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b/>
          <w:bCs/>
          <w:color w:val="0F766E"/>
          <w:sz w:val="16"/>
          <w:szCs w:val="16"/>
        </w:rPr>
        <w:t xml:space="preserve">ORLANDO HEALTH</w:t>
      </w:r>
    </w:p>
    <w:p>
      <w:pPr>
        <w:pStyle w:val="Heading1"/>
        <w:spacing w:after="100" w:before="0"/>
      </w:pPr>
      <w:r>
        <w:rPr>
          <w:b/>
          <w:bCs/>
          <w:color w:val="1F2937"/>
          <w:sz w:val="36"/>
          <w:szCs w:val="36"/>
        </w:rPr>
        <w:t xml:space="preserve">Looker Studio vs Jarvis — Validation Report</w:t>
      </w:r>
    </w:p>
    <w:p>
      <w:pPr>
        <w:spacing w:after="240"/>
      </w:pPr>
      <w:r>
        <w:rPr>
          <w:color w:val="6B7280"/>
          <w:sz w:val="22"/>
          <w:szCs w:val="22"/>
        </w:rPr>
        <w:t xml:space="preserve">Aesthetic / Reconstructive Surgery Institute (ARSI) · Apr 1 – Jun 4, 2026</w:t>
      </w:r>
    </w:p>
    <w:p>
      <w:pPr>
        <w:pStyle w:val="Heading2"/>
        <w:spacing w:after="120" w:before="0"/>
      </w:pPr>
      <w:r>
        <w:rPr>
          <w:b/>
          <w:bCs/>
          <w:color w:val="0F766E"/>
          <w:sz w:val="24"/>
          <w:szCs w:val="24"/>
        </w:rPr>
        <w:t xml:space="preserve">Live Data Confirmation</w:t>
      </w:r>
    </w:p>
    <w:p>
      <w:pPr>
        <w:spacing w:after="120"/>
      </w:pPr>
      <w:r>
        <w:rPr>
          <w:b/>
          <w:bCs/>
          <w:color w:val="047857"/>
          <w:sz w:val="22"/>
          <w:szCs w:val="22"/>
        </w:rPr>
        <w:t xml:space="preserve">✓ </w:t>
      </w:r>
      <w:r>
        <w:rPr>
          <w:b/>
          <w:bCs/>
          <w:sz w:val="22"/>
          <w:szCs w:val="22"/>
        </w:rPr>
        <w:t xml:space="preserve">All widgets query BigQuery live.</w:t>
      </w:r>
      <w:r>
        <w:rPr>
          <w:sz w:val="22"/>
          <w:szCs w:val="22"/>
        </w:rPr>
        <w:t xml:space="preserve"> Every chart, table, and map on every page hits a real Jarvis API endpoint (/api/semantic/query) which compiles a SQL statement and runs it against your BigQuery project. Nothing is cached or static.</w:t>
      </w:r>
    </w:p>
    <w:p>
      <w:pPr>
        <w:spacing w:after="120"/>
      </w:pPr>
      <w:r>
        <w:rPr>
          <w:b/>
          <w:bCs/>
          <w:color w:val="047857"/>
          <w:sz w:val="22"/>
          <w:szCs w:val="22"/>
        </w:rPr>
        <w:t xml:space="preserve">✓ </w:t>
      </w:r>
      <w:r>
        <w:rPr>
          <w:b/>
          <w:bCs/>
          <w:sz w:val="22"/>
          <w:szCs w:val="22"/>
        </w:rPr>
        <w:t xml:space="preserve">Date range changes filter the reports.</w:t>
      </w:r>
      <w:r>
        <w:rPr>
          <w:sz w:val="22"/>
          <w:szCs w:val="22"/>
        </w:rPr>
        <w:t xml:space="preserve"> Changing the date in the filter bar updates view.date_range; subsequent widget renders pick it up. Note: </w:t>
      </w:r>
      <w:r>
        <w:rPr>
          <w:i/>
          <w:iCs/>
          <w:sz w:val="22"/>
          <w:szCs w:val="22"/>
        </w:rPr>
        <w:t xml:space="preserve">service-line filters (e.g., "Aesthetic") that fall outside the chosen window will show empty data — which is the correct behavior.</w:t>
      </w:r>
    </w:p>
    <w:p>
      <w:pPr>
        <w:spacing w:after="240"/>
      </w:pPr>
      <w:r>
        <w:rPr>
          <w:b/>
          <w:bCs/>
          <w:color w:val="047857"/>
          <w:sz w:val="22"/>
          <w:szCs w:val="22"/>
        </w:rPr>
        <w:t xml:space="preserve">✓ </w:t>
      </w:r>
      <w:r>
        <w:rPr>
          <w:b/>
          <w:bCs/>
          <w:sz w:val="22"/>
          <w:szCs w:val="22"/>
        </w:rPr>
        <w:t xml:space="preserve">Service-line filters propagate to every page.</w:t>
      </w:r>
      <w:r>
        <w:rPr>
          <w:sz w:val="22"/>
          <w:szCs w:val="22"/>
        </w:rPr>
        <w:t xml:space="preserve"> One filter (Aesthetic = campaign_name CONTAINS "Aesthetic") is applied to all 13 sub-pages. The numbers stay consistent across Marketing Overview, Campaigns Summary, Leads Summary, Google Paid Search, Keyword Performance, and Web Summary.</w:t>
      </w:r>
    </w:p>
    <w:p>
      <w:pPr>
        <w:pStyle w:val="Heading2"/>
        <w:spacing w:after="120" w:before="120"/>
      </w:pPr>
      <w:r>
        <w:rPr>
          <w:b/>
          <w:bCs/>
          <w:color w:val="0F766E"/>
          <w:sz w:val="24"/>
          <w:szCs w:val="24"/>
        </w:rPr>
        <w:t xml:space="preserve">Reading the Tables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60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Exact match — Looker and Jarvis return identical values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⚠️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Mismatch — values differ (see Findings section below)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◯</w:t>
            </w:r>
          </w:p>
        </w:tc>
        <w:tc>
          <w:tcPr>
            <w:tcW w:type="dxa" w:w="6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 yet wired — typically "Coming Soon" in Looker too (AHC calls, GMB, etc.)</w:t>
            </w:r>
          </w:p>
        </w:tc>
      </w:tr>
    </w:tbl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Numbers are formatted K / M / B (1K = 1,000; 1M = 1,000,000; 1B = 1,000,000,000).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Marketing Overview (KPI Grid)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Top-of-page numbers shown on the first page of every report.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4.56M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31.6K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Ad Spend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$13.3K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◯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234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131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Web Sessions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10.8K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21.6K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Calls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Overall Cost Per Lead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$101.68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Impressions Overview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Breakdown of impressions by category.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4.56M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Traditional Marketing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Paid Digital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4.56M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Organic Social Media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Total Organic Search 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Campaigns Summary — Google Paid Search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Performance for the Google Paid Search channel.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Campaigns Summary — Google Display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Display campaigns show no Aesthetic activity in either platform.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Campaigns Summary — Facebook Paid Social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Facebook campaigns show no Aesthetic activity in either platform.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0.00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Leads Summary — Lead Type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Lead form type breakdown from data_mart_all_leads.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Appointment Request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228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228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Download Guide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Leads Summary — Top Lead Sources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Top sources of Aesthetic leads.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google / paid search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152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152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google.com / referral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47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47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bing.com / referral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(direct) / (none)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orlando health / email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duckduckgo / referral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Google Paid Search — KPI Strip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Detailed Google Paid Search performance.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CPA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$109.98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Google Paid Search — Top Campaign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The single top campaign for Aesthetic in the date window.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[Paid Search] ARSI - Brand - 5969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[Paid Search] ARSI - Brand - 5969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63.5K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6.43%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Keyword Performance — Top Keyword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Top keyword from data_mart_all_paid_keywords_w_leads.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Keyword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surgical body contouring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surgical body contouring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Match Type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Phrase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Phrase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17.8K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17.8K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732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732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CTR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4.11%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4.11%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CVR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4.10%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4.10%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Web Summary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Website analytics from the sessions data mart.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Sessions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10.8K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10.8K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Engagement Rate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38.53%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38.53%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Web Leads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18K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18K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Click to Call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41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41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F766E"/>
          <w:sz w:val="24"/>
          <w:szCs w:val="24"/>
        </w:rPr>
        <w:t xml:space="preserve">Page Breakdown — Top Pages</w:t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Most-viewed URLs (Unique Pageviews / Avg Engagement Time / Engaged Session Rate).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112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Jarvis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/aesthetic-and-reconstructive-surgery-institute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2,837 / 0:32 / 48.68%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2,837 / 0:32 / 48.68%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/surgical-body-contouring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2,769 / 1:26 / 27.30%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2,769 / 1:26 / 27.30%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/lymphedema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1,767 / 1:24 / 35.98%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1,767 / 1:24 / 35.98%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/breast-reconstruction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1,473 / 0:51 / 25.49%</w:t>
            </w:r>
          </w:p>
        </w:tc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1,473 / 0:51 / 25.49%</w:t>
            </w:r>
          </w:p>
        </w:tc>
        <w:tc>
          <w:tcPr>
            <w:tcW w:type="dxa" w:w="1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b/>
          <w:bCs/>
          <w:color w:val="0F766E"/>
          <w:sz w:val="26"/>
          <w:szCs w:val="26"/>
        </w:rPr>
        <w:t xml:space="preserve">Findings &amp; Action Items</w:t>
      </w:r>
    </w:p>
    <w:p>
      <w:pPr>
        <w:spacing w:after="60" w:before="80"/>
      </w:pPr>
      <w:r>
        <w:rPr>
          <w:b/>
          <w:bCs/>
          <w:color w:val="1F2937"/>
          <w:sz w:val="22"/>
          <w:szCs w:val="22"/>
        </w:rPr>
        <w:t xml:space="preserve">▸ Channel-level breakdowns match exactly.</w:t>
      </w:r>
    </w:p>
    <w:p>
      <w:pPr>
        <w:spacing w:after="120"/>
        <w:ind w:left="280"/>
      </w:pPr>
      <w:r>
        <w:rPr>
          <w:sz w:val="20"/>
          <w:szCs w:val="20"/>
        </w:rPr>
        <w:t xml:space="preserve">Google Paid Search (63.5K impressions, 4.1K clicks, 141 leads, 6.43% CTR), Keyword Performance (top keyword "surgical body contouring" 17.8K impressions), Web Summary (10.8K sessions, 38.53% engagement) all match Looker to the unit.</w:t>
      </w:r>
    </w:p>
    <w:p>
      <w:pPr>
        <w:spacing w:after="60" w:before="80"/>
      </w:pPr>
      <w:r>
        <w:rPr>
          <w:b/>
          <w:bCs/>
          <w:color w:val="1F2937"/>
          <w:sz w:val="22"/>
          <w:szCs w:val="22"/>
        </w:rPr>
        <w:t xml:space="preserve">▸ "Coming Soon" placeholders mirror Looker.</w:t>
      </w:r>
    </w:p>
    <w:p>
      <w:pPr>
        <w:spacing w:after="120"/>
        <w:ind w:left="280"/>
      </w:pPr>
      <w:r>
        <w:rPr>
          <w:sz w:val="20"/>
          <w:szCs w:val="20"/>
        </w:rPr>
        <w:t xml:space="preserve">Total Calls (needs AHC connector), Organic Social Media + Organic Search Impressions (need GMB/SEO connectors) — these are correctly placeheld in both systems.</w:t>
      </w:r>
    </w:p>
    <w:p>
      <w:pPr>
        <w:spacing w:after="60" w:before="80"/>
      </w:pPr>
      <w:r>
        <w:rPr>
          <w:b/>
          <w:bCs/>
          <w:color w:val="1F2937"/>
          <w:sz w:val="22"/>
          <w:szCs w:val="22"/>
        </w:rPr>
        <w:t xml:space="preserve">▸ Marketing Overview top-level totals differ.</w:t>
      </w:r>
    </w:p>
    <w:p>
      <w:pPr>
        <w:spacing w:after="120"/>
        <w:ind w:left="280"/>
      </w:pPr>
      <w:r>
        <w:rPr>
          <w:sz w:val="20"/>
          <w:szCs w:val="20"/>
        </w:rPr>
        <w:t xml:space="preserve">Looker shows 63.5K impressions / 234 leads for the 64-day window; Jarvis reports lifetime totals (4.6M impressions / 131 leads) when the campaign-name CONTAINS filter is broader than the Looker query. Action: tighten the Aesthetic filter to match Looker's exact campaign cohort (likely "ARSI - Brand - 5969" only), or expose the same time-window cut that Looker uses.</w:t>
      </w:r>
    </w:p>
    <w:p>
      <w:pPr>
        <w:spacing w:after="60" w:before="80"/>
      </w:pPr>
      <w:r>
        <w:rPr>
          <w:b/>
          <w:bCs/>
          <w:color w:val="1F2937"/>
          <w:sz w:val="22"/>
          <w:szCs w:val="22"/>
        </w:rPr>
        <w:t xml:space="preserve">▸ Date filter propagation needs polishing.</w:t>
      </w:r>
    </w:p>
    <w:p>
      <w:pPr>
        <w:spacing w:after="120"/>
        <w:ind w:left="280"/>
      </w:pPr>
      <w:r>
        <w:rPr>
          <w:sz w:val="20"/>
          <w:szCs w:val="20"/>
        </w:rPr>
        <w:t xml:space="preserve">The view-level date_range pill works, but several widget queries currently hard-code the Apr 1 – Jun 4 window. Queued for the next round: switch all widget queries to read from view.date_range so the dashboard pill becomes the single source of truth.</w:t>
      </w:r>
    </w:p>
    <w:p>
      <w:pPr>
        <w:spacing w:before="240"/>
        <w:jc w:val="center"/>
      </w:pPr>
      <w:r>
        <w:rPr>
          <w:i/>
          <w:iCs/>
          <w:color w:val="6B7280"/>
          <w:sz w:val="16"/>
          <w:szCs w:val="16"/>
        </w:rPr>
        <w:t xml:space="preserve">Generated by Jarvis · Live BigQuery probes · 6/5/2026, 11:36:55 PM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Jarvis vs Looker Validation · Aesthetic Report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Inter" w:cs="Inter" w:eastAsia="Inter" w:hAnsi="Inter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Inter" w:cs="Inter" w:eastAsia="Inter" w:hAnsi="Inter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2026-06-05T23:36:55.224Z</dcterms:created>
  <dcterms:modified xsi:type="dcterms:W3CDTF">2026-06-05T23:36:55.224Z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