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188" w:rsidRDefault="001371DF">
      <w:p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APPENDIX</w:t>
      </w:r>
    </w:p>
    <w:p w:rsidR="000F5188" w:rsidRDefault="001371DF">
      <w:pPr>
        <w:numPr>
          <w:ilvl w:val="0"/>
          <w:numId w:val="1"/>
        </w:num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Figures</w:t>
      </w:r>
    </w:p>
    <w:p w:rsidR="000F5188" w:rsidRDefault="00C155E7">
      <w:pPr>
        <w:spacing w:after="16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drawing>
          <wp:inline distT="0" distB="0" distL="0" distR="0">
            <wp:extent cx="5724525" cy="400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88" w:rsidRDefault="001371DF">
      <w:pPr>
        <w:spacing w:after="16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Figure A.1. Non-metric multidimensional scaling (NMDS) and Analysis of Similarity (ANOSIM) of LBF assemblages between the zones (A, B) and between years (C, D).</w:t>
      </w:r>
    </w:p>
    <w:p w:rsidR="000F5188" w:rsidRDefault="000F5188">
      <w:pPr>
        <w:spacing w:after="160" w:line="240" w:lineRule="auto"/>
        <w:rPr>
          <w:rFonts w:ascii="Calibri" w:eastAsia="Calibri" w:hAnsi="Calibri" w:cs="Calibri"/>
          <w:i/>
        </w:rPr>
      </w:pPr>
    </w:p>
    <w:p w:rsidR="000F5188" w:rsidRDefault="001371DF">
      <w:pPr>
        <w:spacing w:after="16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lastRenderedPageBreak/>
        <w:drawing>
          <wp:inline distT="114300" distB="114300" distL="114300" distR="114300">
            <wp:extent cx="5248866" cy="84534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866" cy="845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188" w:rsidRDefault="001371DF">
      <w:pPr>
        <w:spacing w:after="16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Figure A.2. Diversity indices calculated for each year and per habitat.</w:t>
      </w:r>
    </w:p>
    <w:p w:rsidR="000F5188" w:rsidRDefault="00C155E7">
      <w:pPr>
        <w:spacing w:after="16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lastRenderedPageBreak/>
        <w:drawing>
          <wp:inline distT="0" distB="0" distL="0" distR="0">
            <wp:extent cx="5724525" cy="2990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188" w:rsidRDefault="001371DF">
      <w:pPr>
        <w:spacing w:after="16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Figure A.3. Simple linear regression applied on each species at each sampling island for the reef flat (A) and reef slope (B). Species with a positive linear regression slope are marked in red (increasing in abundance over time) and with a negative slope in blue (decreasing in abundance over time). Black: absent species at the location (mean relative abundance = 0); hatched: no data available. Blue stars: indicator species on the reef flat; magenta stars: indicator species on the reef slope.</w:t>
      </w:r>
    </w:p>
    <w:p w:rsidR="000F5188" w:rsidRDefault="000F5188">
      <w:pPr>
        <w:spacing w:after="160"/>
        <w:jc w:val="both"/>
        <w:rPr>
          <w:rFonts w:ascii="Calibri" w:eastAsia="Calibri" w:hAnsi="Calibri" w:cs="Calibri"/>
          <w:i/>
        </w:rPr>
      </w:pPr>
    </w:p>
    <w:p w:rsidR="003D097C" w:rsidRDefault="00C155E7">
      <w:pPr>
        <w:spacing w:after="1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drawing>
          <wp:inline distT="0" distB="0" distL="0" distR="0">
            <wp:extent cx="5734050" cy="448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B1" w:rsidRPr="002A4EB1" w:rsidRDefault="003D097C" w:rsidP="002A4EB1">
      <w:pPr>
        <w:pStyle w:val="NormalWeb"/>
        <w:spacing w:before="0" w:beforeAutospacing="0" w:after="160" w:afterAutospacing="0"/>
        <w:jc w:val="both"/>
        <w:rPr>
          <w:lang w:val="en-US"/>
        </w:rPr>
      </w:pPr>
      <w:r w:rsidRPr="002A4EB1">
        <w:rPr>
          <w:rFonts w:ascii="Calibri" w:eastAsia="Calibri" w:hAnsi="Calibri" w:cs="Calibri"/>
          <w:i/>
          <w:lang w:val="en-US"/>
        </w:rPr>
        <w:lastRenderedPageBreak/>
        <w:t>Figure A.4.</w:t>
      </w:r>
      <w:r w:rsidR="002A4EB1" w:rsidRPr="002A4EB1">
        <w:rPr>
          <w:rFonts w:ascii="Calibri" w:eastAsia="Calibri" w:hAnsi="Calibri" w:cs="Calibri"/>
          <w:i/>
          <w:lang w:val="en-US"/>
        </w:rPr>
        <w:t xml:space="preserve"> </w:t>
      </w:r>
      <w:r w:rsidR="002A4EB1">
        <w:rPr>
          <w:rFonts w:ascii="Calibri" w:hAnsi="Calibri" w:cs="Calibri"/>
          <w:i/>
          <w:iCs/>
          <w:sz w:val="22"/>
          <w:szCs w:val="22"/>
          <w:lang w:val="en-US"/>
        </w:rPr>
        <w:t>Time series of a</w:t>
      </w:r>
      <w:r w:rsidR="002A4EB1" w:rsidRPr="002A4EB1">
        <w:rPr>
          <w:rFonts w:ascii="Calibri" w:hAnsi="Calibri" w:cs="Calibri"/>
          <w:i/>
          <w:iCs/>
          <w:sz w:val="22"/>
          <w:szCs w:val="22"/>
          <w:lang w:val="en-US"/>
        </w:rPr>
        <w:t xml:space="preserve">ssemblages of LBF </w:t>
      </w:r>
      <w:r w:rsidR="002A4EB1">
        <w:rPr>
          <w:rFonts w:ascii="Calibri" w:hAnsi="Calibri" w:cs="Calibri"/>
          <w:i/>
          <w:iCs/>
          <w:sz w:val="22"/>
          <w:szCs w:val="22"/>
          <w:lang w:val="en-US"/>
        </w:rPr>
        <w:t>(including rare species) on the reef flat and the reef slope.</w:t>
      </w:r>
      <w:r w:rsidR="002A4EB1" w:rsidRPr="002A4EB1">
        <w:rPr>
          <w:rFonts w:ascii="Calibri" w:hAnsi="Calibri" w:cs="Calibri"/>
          <w:i/>
          <w:iCs/>
          <w:sz w:val="22"/>
          <w:szCs w:val="22"/>
          <w:lang w:val="en-US"/>
        </w:rPr>
        <w:t xml:space="preserve"> The shaded area indicates the standard error of the mean relative abundance. </w:t>
      </w:r>
    </w:p>
    <w:p w:rsidR="003D097C" w:rsidRPr="002A4EB1" w:rsidRDefault="003D097C">
      <w:pPr>
        <w:spacing w:after="160"/>
        <w:jc w:val="both"/>
        <w:rPr>
          <w:rFonts w:ascii="Calibri" w:eastAsia="Calibri" w:hAnsi="Calibri" w:cs="Calibri"/>
          <w:i/>
          <w:lang w:val="en-US"/>
        </w:rPr>
      </w:pPr>
    </w:p>
    <w:p w:rsidR="003D097C" w:rsidRDefault="003D097C">
      <w:pPr>
        <w:spacing w:after="160"/>
        <w:jc w:val="both"/>
        <w:rPr>
          <w:rFonts w:ascii="Calibri" w:eastAsia="Calibri" w:hAnsi="Calibri" w:cs="Calibri"/>
          <w:i/>
        </w:rPr>
      </w:pPr>
    </w:p>
    <w:p w:rsidR="003D097C" w:rsidRDefault="00C155E7">
      <w:pPr>
        <w:spacing w:after="1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w:drawing>
          <wp:inline distT="0" distB="0" distL="0" distR="0">
            <wp:extent cx="5724525" cy="3838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C6" w:rsidRPr="002A4EB1" w:rsidRDefault="003D097C" w:rsidP="004157C6">
      <w:pPr>
        <w:pStyle w:val="NormalWeb"/>
        <w:spacing w:before="0" w:beforeAutospacing="0" w:after="160" w:afterAutospacing="0"/>
        <w:jc w:val="both"/>
        <w:rPr>
          <w:lang w:val="en-US"/>
        </w:rPr>
      </w:pPr>
      <w:r w:rsidRPr="002A4EB1">
        <w:rPr>
          <w:rFonts w:ascii="Calibri" w:eastAsia="Calibri" w:hAnsi="Calibri" w:cs="Calibri"/>
          <w:i/>
          <w:lang w:val="en-US"/>
        </w:rPr>
        <w:t>Figure A.5.</w:t>
      </w:r>
      <w:r w:rsidR="004157C6" w:rsidRPr="002A4EB1">
        <w:rPr>
          <w:rFonts w:ascii="Calibri" w:eastAsia="Calibri" w:hAnsi="Calibri" w:cs="Calibri"/>
          <w:i/>
          <w:lang w:val="en-US"/>
        </w:rPr>
        <w:t xml:space="preserve"> </w:t>
      </w:r>
      <w:r w:rsidR="004157C6" w:rsidRPr="002A4EB1">
        <w:rPr>
          <w:rFonts w:ascii="Calibri" w:hAnsi="Calibri" w:cs="Calibri"/>
          <w:i/>
          <w:iCs/>
          <w:sz w:val="22"/>
          <w:szCs w:val="22"/>
          <w:lang w:val="en-US"/>
        </w:rPr>
        <w:t xml:space="preserve">Temporal </w:t>
      </w:r>
      <w:r w:rsidR="002A4EB1">
        <w:rPr>
          <w:rFonts w:ascii="Calibri" w:hAnsi="Calibri" w:cs="Calibri"/>
          <w:i/>
          <w:iCs/>
          <w:sz w:val="22"/>
          <w:szCs w:val="22"/>
          <w:lang w:val="en-US"/>
        </w:rPr>
        <w:t xml:space="preserve">change of </w:t>
      </w:r>
      <w:r w:rsidR="004157C6" w:rsidRPr="002A4EB1">
        <w:rPr>
          <w:rFonts w:ascii="Calibri" w:hAnsi="Calibri" w:cs="Calibri"/>
          <w:i/>
          <w:iCs/>
          <w:sz w:val="22"/>
          <w:szCs w:val="22"/>
          <w:lang w:val="en-US"/>
        </w:rPr>
        <w:t xml:space="preserve">foraminiferal relative abundances </w:t>
      </w:r>
      <w:r w:rsidR="002A4EB1">
        <w:rPr>
          <w:rFonts w:ascii="Calibri" w:hAnsi="Calibri" w:cs="Calibri"/>
          <w:i/>
          <w:iCs/>
          <w:sz w:val="22"/>
          <w:szCs w:val="22"/>
          <w:lang w:val="en-US"/>
        </w:rPr>
        <w:t xml:space="preserve">(of all taxa, including rare species) </w:t>
      </w:r>
      <w:r w:rsidR="004157C6" w:rsidRPr="002A4EB1">
        <w:rPr>
          <w:rFonts w:ascii="Calibri" w:hAnsi="Calibri" w:cs="Calibri"/>
          <w:i/>
          <w:iCs/>
          <w:sz w:val="22"/>
          <w:szCs w:val="22"/>
          <w:lang w:val="en-US"/>
        </w:rPr>
        <w:t xml:space="preserve">to different substrate types on A) the reef flat and B) the reef slope. Color and size of the circles are related to the mean relative abundance of a species in a sample. Substrate types: sand (S), coral rubble (R), coral rubble with sand (RS), coral rubble with seagrass (RG), coral rubble with </w:t>
      </w:r>
      <w:proofErr w:type="spellStart"/>
      <w:r w:rsidR="004157C6" w:rsidRPr="002A4EB1">
        <w:rPr>
          <w:rFonts w:ascii="Calibri" w:hAnsi="Calibri" w:cs="Calibri"/>
          <w:i/>
          <w:iCs/>
          <w:sz w:val="22"/>
          <w:szCs w:val="22"/>
          <w:lang w:val="en-US"/>
        </w:rPr>
        <w:t>Halimeda</w:t>
      </w:r>
      <w:proofErr w:type="spellEnd"/>
      <w:r w:rsidR="004157C6" w:rsidRPr="002A4EB1">
        <w:rPr>
          <w:rFonts w:ascii="Calibri" w:hAnsi="Calibri" w:cs="Calibri"/>
          <w:i/>
          <w:iCs/>
          <w:sz w:val="22"/>
          <w:szCs w:val="22"/>
          <w:lang w:val="en-US"/>
        </w:rPr>
        <w:t xml:space="preserve"> (RH), coral rubble with sand and algae (RSA), coral rubble with algae (RA), seagrass with algae (GA) and algae (A).</w:t>
      </w:r>
    </w:p>
    <w:p w:rsidR="003D097C" w:rsidRDefault="003D097C">
      <w:pPr>
        <w:spacing w:after="160"/>
        <w:jc w:val="both"/>
        <w:rPr>
          <w:rFonts w:ascii="Calibri" w:eastAsia="Calibri" w:hAnsi="Calibri" w:cs="Calibri"/>
          <w:i/>
        </w:rPr>
      </w:pPr>
      <w:bookmarkStart w:id="0" w:name="_GoBack"/>
      <w:bookmarkEnd w:id="0"/>
    </w:p>
    <w:p w:rsidR="003D097C" w:rsidRDefault="003D097C">
      <w:pPr>
        <w:spacing w:after="160"/>
        <w:jc w:val="both"/>
        <w:rPr>
          <w:rFonts w:ascii="Calibri" w:eastAsia="Calibri" w:hAnsi="Calibri" w:cs="Calibri"/>
          <w:i/>
        </w:rPr>
      </w:pPr>
    </w:p>
    <w:p w:rsidR="000F5188" w:rsidRDefault="001371DF">
      <w:pPr>
        <w:numPr>
          <w:ilvl w:val="0"/>
          <w:numId w:val="1"/>
        </w:numPr>
        <w:spacing w:after="16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Tables</w:t>
      </w:r>
    </w:p>
    <w:p w:rsidR="000F5188" w:rsidRDefault="001371DF">
      <w:pPr>
        <w:spacing w:after="1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Table A.1. Number of samples collected per year and per habitat.</w:t>
      </w:r>
    </w:p>
    <w:p w:rsidR="000F5188" w:rsidRDefault="001371DF">
      <w:pPr>
        <w:spacing w:after="1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</w:rPr>
        <w:t>Table A.2. Results of the Analysis of Similarity (ANOSIM) for each habitat and each zone between the years.</w:t>
      </w:r>
    </w:p>
    <w:p w:rsidR="000F5188" w:rsidRDefault="001371DF">
      <w:pPr>
        <w:spacing w:after="1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Table A.3. Results of the Indicator species analysis for each species and per habitat.</w:t>
      </w:r>
    </w:p>
    <w:p w:rsidR="000F5188" w:rsidRDefault="001371DF">
      <w:pPr>
        <w:spacing w:after="16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Table A.4. Results of the Analysis of Variance (One-way ANOVA) for each species and per habitat.</w:t>
      </w:r>
    </w:p>
    <w:p w:rsidR="000F5188" w:rsidRDefault="000F5188"/>
    <w:sectPr w:rsidR="000F518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BD9"/>
    <w:multiLevelType w:val="multilevel"/>
    <w:tmpl w:val="A4002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88"/>
    <w:rsid w:val="000F5188"/>
    <w:rsid w:val="001371DF"/>
    <w:rsid w:val="002A4EB1"/>
    <w:rsid w:val="003D097C"/>
    <w:rsid w:val="004157C6"/>
    <w:rsid w:val="00C1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3A4C9"/>
  <w15:docId w15:val="{8D4EDE4C-BE57-4D5E-874D-450233DE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1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Naturalis Biodiversity Center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Elsa Girard</cp:lastModifiedBy>
  <cp:revision>5</cp:revision>
  <dcterms:created xsi:type="dcterms:W3CDTF">2021-08-21T15:20:00Z</dcterms:created>
  <dcterms:modified xsi:type="dcterms:W3CDTF">2021-09-22T13:30:00Z</dcterms:modified>
</cp:coreProperties>
</file>