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433" w:rsidRDefault="007F0433" w:rsidP="0063401C">
      <w:pPr>
        <w:ind w:left="-1350" w:right="-1260"/>
        <w:jc w:val="center"/>
        <w:rPr>
          <w:b/>
          <w:sz w:val="28"/>
          <w:szCs w:val="28"/>
        </w:rPr>
      </w:pPr>
      <w:r>
        <w:rPr>
          <w:b/>
          <w:sz w:val="28"/>
          <w:szCs w:val="28"/>
        </w:rPr>
        <w:t>Supplemental Information for:</w:t>
      </w:r>
    </w:p>
    <w:p w:rsidR="007F0433" w:rsidRPr="007F0433" w:rsidRDefault="007F0433" w:rsidP="0063401C">
      <w:pPr>
        <w:ind w:left="-1350" w:right="-1260"/>
        <w:jc w:val="center"/>
        <w:rPr>
          <w:b/>
          <w:sz w:val="28"/>
          <w:szCs w:val="28"/>
        </w:rPr>
      </w:pPr>
    </w:p>
    <w:p w:rsidR="002C5704" w:rsidRDefault="002C5704" w:rsidP="0063401C">
      <w:pPr>
        <w:ind w:left="-1350" w:right="-1260"/>
        <w:jc w:val="center"/>
        <w:rPr>
          <w:b/>
          <w:color w:val="002060"/>
          <w:sz w:val="32"/>
          <w:szCs w:val="32"/>
        </w:rPr>
      </w:pPr>
      <w:r w:rsidRPr="002C5704">
        <w:rPr>
          <w:b/>
          <w:color w:val="002060"/>
          <w:sz w:val="32"/>
          <w:szCs w:val="32"/>
        </w:rPr>
        <w:t xml:space="preserve">COI metabarcoding of large benthic Foraminifera: method validation </w:t>
      </w:r>
    </w:p>
    <w:p w:rsidR="004034EA" w:rsidRDefault="002C5704" w:rsidP="0063401C">
      <w:pPr>
        <w:ind w:left="-1350" w:right="-1260"/>
        <w:jc w:val="center"/>
        <w:rPr>
          <w:b/>
          <w:color w:val="002060"/>
        </w:rPr>
      </w:pPr>
      <w:r w:rsidRPr="002C5704">
        <w:rPr>
          <w:b/>
          <w:color w:val="002060"/>
          <w:sz w:val="32"/>
          <w:szCs w:val="32"/>
        </w:rPr>
        <w:t>for application in ecological studies</w:t>
      </w:r>
    </w:p>
    <w:p w:rsidR="00086FF9" w:rsidRDefault="00086FF9" w:rsidP="00086FF9">
      <w:pPr>
        <w:ind w:left="-1350" w:right="-1260"/>
        <w:jc w:val="center"/>
      </w:pPr>
      <w:r>
        <w:t xml:space="preserve">Elsa B. </w:t>
      </w:r>
      <w:proofErr w:type="spellStart"/>
      <w:r>
        <w:t>Girard</w:t>
      </w:r>
      <w:r w:rsidRPr="00086FF9">
        <w:rPr>
          <w:vertAlign w:val="superscript"/>
        </w:rPr>
        <w:t>a,b</w:t>
      </w:r>
      <w:proofErr w:type="spellEnd"/>
      <w:r>
        <w:t>, Jan-</w:t>
      </w:r>
      <w:proofErr w:type="spellStart"/>
      <w:r>
        <w:t>Niklas</w:t>
      </w:r>
      <w:proofErr w:type="spellEnd"/>
      <w:r>
        <w:t xml:space="preserve"> </w:t>
      </w:r>
      <w:proofErr w:type="spellStart"/>
      <w:r>
        <w:t>Macher</w:t>
      </w:r>
      <w:r w:rsidRPr="00086FF9">
        <w:rPr>
          <w:vertAlign w:val="superscript"/>
        </w:rPr>
        <w:t>a</w:t>
      </w:r>
      <w:proofErr w:type="spellEnd"/>
      <w:r>
        <w:t xml:space="preserve">, Jamaluddin </w:t>
      </w:r>
      <w:proofErr w:type="spellStart"/>
      <w:r>
        <w:t>Jompa</w:t>
      </w:r>
      <w:r w:rsidRPr="00086FF9">
        <w:rPr>
          <w:vertAlign w:val="superscript"/>
        </w:rPr>
        <w:t>c</w:t>
      </w:r>
      <w:proofErr w:type="spellEnd"/>
      <w:r>
        <w:t xml:space="preserve">, Willem </w:t>
      </w:r>
      <w:proofErr w:type="spellStart"/>
      <w:r>
        <w:t>Renema</w:t>
      </w:r>
      <w:r w:rsidRPr="00086FF9">
        <w:rPr>
          <w:vertAlign w:val="superscript"/>
        </w:rPr>
        <w:t>a,b</w:t>
      </w:r>
      <w:proofErr w:type="spellEnd"/>
    </w:p>
    <w:p w:rsidR="00086FF9" w:rsidRDefault="00086FF9" w:rsidP="00086FF9">
      <w:pPr>
        <w:ind w:left="-1350" w:right="-1260"/>
        <w:jc w:val="center"/>
      </w:pPr>
    </w:p>
    <w:p w:rsidR="00086FF9" w:rsidRDefault="00086FF9" w:rsidP="00086FF9">
      <w:pPr>
        <w:ind w:left="-1350" w:right="-1260" w:firstLine="1350"/>
      </w:pPr>
      <w:r>
        <w:t xml:space="preserve">a Naturalis Biodiversity Center, </w:t>
      </w:r>
      <w:proofErr w:type="spellStart"/>
      <w:r>
        <w:t>Darwinweg</w:t>
      </w:r>
      <w:proofErr w:type="spellEnd"/>
      <w:r>
        <w:t xml:space="preserve"> 2, 2333 CR Leiden, the Netherlands</w:t>
      </w:r>
    </w:p>
    <w:p w:rsidR="00086FF9" w:rsidRDefault="00086FF9" w:rsidP="00086FF9">
      <w:pPr>
        <w:ind w:left="-1350" w:right="-1260" w:firstLine="1350"/>
      </w:pPr>
      <w:r>
        <w:t xml:space="preserve">b IBED, University of Amsterdam, </w:t>
      </w:r>
      <w:proofErr w:type="spellStart"/>
      <w:r>
        <w:t>Sciencepark</w:t>
      </w:r>
      <w:proofErr w:type="spellEnd"/>
      <w:r>
        <w:t xml:space="preserve"> 904, 1098 XH Amsterdam, the Netherlands</w:t>
      </w:r>
    </w:p>
    <w:p w:rsidR="00086FF9" w:rsidRDefault="00086FF9" w:rsidP="00086FF9">
      <w:pPr>
        <w:ind w:left="-1350" w:right="-1260" w:firstLine="1350"/>
      </w:pPr>
      <w:r>
        <w:t xml:space="preserve">c Marine Science Department, Faculty of Marine Science and Fisheries, </w:t>
      </w:r>
      <w:proofErr w:type="spellStart"/>
      <w:r>
        <w:t>Hasanuddin</w:t>
      </w:r>
      <w:proofErr w:type="spellEnd"/>
      <w:r>
        <w:t xml:space="preserve"> University, Jl. </w:t>
      </w:r>
    </w:p>
    <w:p w:rsidR="004034EA" w:rsidRDefault="00086FF9" w:rsidP="00086FF9">
      <w:pPr>
        <w:ind w:left="-1350" w:right="-1260" w:firstLine="1350"/>
      </w:pPr>
      <w:proofErr w:type="spellStart"/>
      <w:r>
        <w:t>Perintis</w:t>
      </w:r>
      <w:proofErr w:type="spellEnd"/>
      <w:r>
        <w:t xml:space="preserve"> </w:t>
      </w:r>
      <w:proofErr w:type="spellStart"/>
      <w:r>
        <w:t>Kemerdekaan</w:t>
      </w:r>
      <w:proofErr w:type="spellEnd"/>
      <w:r>
        <w:t xml:space="preserve"> Km. 10 </w:t>
      </w:r>
      <w:proofErr w:type="spellStart"/>
      <w:r>
        <w:t>Tamalenrea</w:t>
      </w:r>
      <w:proofErr w:type="spellEnd"/>
      <w:r>
        <w:t>, Makassar 90245, Indonesia</w:t>
      </w:r>
    </w:p>
    <w:p w:rsidR="004034EA" w:rsidRDefault="004034EA" w:rsidP="000C5B4D">
      <w:pPr>
        <w:ind w:right="-1260"/>
      </w:pPr>
    </w:p>
    <w:p w:rsidR="00086FF9" w:rsidRDefault="00086FF9" w:rsidP="000C5B4D">
      <w:pPr>
        <w:ind w:right="-1260"/>
      </w:pPr>
    </w:p>
    <w:p w:rsidR="00086FF9" w:rsidRDefault="00086FF9" w:rsidP="000C5B4D">
      <w:pPr>
        <w:ind w:right="-1260"/>
      </w:pPr>
    </w:p>
    <w:p w:rsidR="00086FF9" w:rsidRDefault="00086FF9" w:rsidP="000C5B4D">
      <w:pPr>
        <w:ind w:right="-1260"/>
      </w:pPr>
    </w:p>
    <w:p w:rsidR="00086FF9" w:rsidRDefault="00086FF9" w:rsidP="000C5B4D">
      <w:pPr>
        <w:ind w:right="-1260"/>
      </w:pPr>
    </w:p>
    <w:p w:rsidR="00086FF9" w:rsidRDefault="00086FF9" w:rsidP="000C5B4D">
      <w:pPr>
        <w:ind w:right="-1260"/>
      </w:pPr>
      <w:bookmarkStart w:id="0" w:name="_GoBack"/>
      <w:bookmarkEnd w:id="0"/>
    </w:p>
    <w:p w:rsidR="000C5B4D" w:rsidRDefault="000C5B4D" w:rsidP="000C5B4D">
      <w:pPr>
        <w:ind w:right="-1260"/>
        <w:rPr>
          <w:b/>
          <w:color w:val="002060"/>
          <w:sz w:val="32"/>
          <w:szCs w:val="32"/>
        </w:rPr>
      </w:pPr>
      <w:r>
        <w:tab/>
      </w:r>
      <w:r>
        <w:rPr>
          <w:b/>
          <w:color w:val="002060"/>
          <w:sz w:val="32"/>
          <w:szCs w:val="32"/>
        </w:rPr>
        <w:t>Table of Contents:</w:t>
      </w:r>
    </w:p>
    <w:tbl>
      <w:tblPr>
        <w:tblStyle w:val="TableGrid"/>
        <w:tblW w:w="0" w:type="auto"/>
        <w:tblLook w:val="04A0" w:firstRow="1" w:lastRow="0" w:firstColumn="1" w:lastColumn="0" w:noHBand="0" w:noVBand="1"/>
      </w:tblPr>
      <w:tblGrid>
        <w:gridCol w:w="4788"/>
        <w:gridCol w:w="4788"/>
      </w:tblGrid>
      <w:tr w:rsidR="00574328" w:rsidTr="00574328">
        <w:tc>
          <w:tcPr>
            <w:tcW w:w="4788" w:type="dxa"/>
          </w:tcPr>
          <w:p w:rsidR="00574328" w:rsidRDefault="00934211" w:rsidP="00574328">
            <w:pPr>
              <w:ind w:right="-1260"/>
              <w:rPr>
                <w:b/>
                <w:color w:val="002060"/>
                <w:sz w:val="32"/>
                <w:szCs w:val="32"/>
              </w:rPr>
            </w:pPr>
            <w:r>
              <w:rPr>
                <w:b/>
                <w:color w:val="002060"/>
                <w:sz w:val="32"/>
                <w:szCs w:val="32"/>
              </w:rPr>
              <w:t>Supplementary Figure S1</w:t>
            </w:r>
          </w:p>
        </w:tc>
        <w:tc>
          <w:tcPr>
            <w:tcW w:w="4788" w:type="dxa"/>
          </w:tcPr>
          <w:p w:rsidR="00574328" w:rsidRPr="00574328" w:rsidRDefault="00574328" w:rsidP="00574328">
            <w:pPr>
              <w:tabs>
                <w:tab w:val="left" w:pos="585"/>
                <w:tab w:val="right" w:pos="5832"/>
              </w:tabs>
              <w:ind w:right="-1260"/>
              <w:jc w:val="center"/>
              <w:rPr>
                <w:color w:val="002060"/>
                <w:sz w:val="32"/>
                <w:szCs w:val="32"/>
              </w:rPr>
            </w:pPr>
            <w:r w:rsidRPr="00574328">
              <w:rPr>
                <w:color w:val="002060"/>
                <w:sz w:val="32"/>
                <w:szCs w:val="32"/>
              </w:rPr>
              <w:t xml:space="preserve">Page </w:t>
            </w:r>
            <w:r w:rsidR="00934211">
              <w:rPr>
                <w:color w:val="002060"/>
                <w:sz w:val="32"/>
                <w:szCs w:val="32"/>
              </w:rPr>
              <w:t>2</w:t>
            </w:r>
          </w:p>
        </w:tc>
      </w:tr>
      <w:tr w:rsidR="00574328" w:rsidTr="00574328">
        <w:tc>
          <w:tcPr>
            <w:tcW w:w="4788" w:type="dxa"/>
          </w:tcPr>
          <w:p w:rsidR="00574328" w:rsidRDefault="00934211" w:rsidP="00574328">
            <w:pPr>
              <w:ind w:right="-1260"/>
              <w:rPr>
                <w:b/>
                <w:color w:val="002060"/>
                <w:sz w:val="32"/>
                <w:szCs w:val="32"/>
              </w:rPr>
            </w:pPr>
            <w:r>
              <w:rPr>
                <w:b/>
                <w:color w:val="002060"/>
                <w:sz w:val="32"/>
                <w:szCs w:val="32"/>
              </w:rPr>
              <w:t>Supplementary Figure S2</w:t>
            </w:r>
          </w:p>
        </w:tc>
        <w:tc>
          <w:tcPr>
            <w:tcW w:w="4788" w:type="dxa"/>
          </w:tcPr>
          <w:p w:rsidR="00574328" w:rsidRPr="00574328" w:rsidRDefault="00574328" w:rsidP="00574328">
            <w:pPr>
              <w:tabs>
                <w:tab w:val="left" w:pos="975"/>
              </w:tabs>
              <w:ind w:right="-1260"/>
              <w:jc w:val="center"/>
              <w:rPr>
                <w:color w:val="002060"/>
                <w:sz w:val="32"/>
                <w:szCs w:val="32"/>
              </w:rPr>
            </w:pPr>
            <w:r w:rsidRPr="00574328">
              <w:rPr>
                <w:color w:val="002060"/>
                <w:sz w:val="32"/>
                <w:szCs w:val="32"/>
              </w:rPr>
              <w:t xml:space="preserve">Page </w:t>
            </w:r>
            <w:r w:rsidR="00934211">
              <w:rPr>
                <w:color w:val="002060"/>
                <w:sz w:val="32"/>
                <w:szCs w:val="32"/>
              </w:rPr>
              <w:t>3</w:t>
            </w:r>
          </w:p>
        </w:tc>
      </w:tr>
      <w:tr w:rsidR="00574328" w:rsidTr="00574328">
        <w:tc>
          <w:tcPr>
            <w:tcW w:w="4788" w:type="dxa"/>
          </w:tcPr>
          <w:p w:rsidR="00574328" w:rsidRDefault="00934211" w:rsidP="00574328">
            <w:pPr>
              <w:ind w:right="-1260"/>
              <w:rPr>
                <w:b/>
                <w:color w:val="002060"/>
                <w:sz w:val="32"/>
                <w:szCs w:val="32"/>
              </w:rPr>
            </w:pPr>
            <w:r>
              <w:rPr>
                <w:b/>
                <w:color w:val="002060"/>
                <w:sz w:val="32"/>
                <w:szCs w:val="32"/>
              </w:rPr>
              <w:t>Supplementary Figure S3</w:t>
            </w:r>
          </w:p>
        </w:tc>
        <w:tc>
          <w:tcPr>
            <w:tcW w:w="4788" w:type="dxa"/>
          </w:tcPr>
          <w:p w:rsidR="00574328" w:rsidRPr="00574328" w:rsidRDefault="00574328" w:rsidP="00574328">
            <w:pPr>
              <w:tabs>
                <w:tab w:val="left" w:pos="1110"/>
              </w:tabs>
              <w:ind w:right="-1260"/>
              <w:jc w:val="center"/>
              <w:rPr>
                <w:color w:val="002060"/>
                <w:sz w:val="32"/>
                <w:szCs w:val="32"/>
              </w:rPr>
            </w:pPr>
            <w:r w:rsidRPr="00574328">
              <w:rPr>
                <w:color w:val="002060"/>
                <w:sz w:val="32"/>
                <w:szCs w:val="32"/>
              </w:rPr>
              <w:t xml:space="preserve">Page </w:t>
            </w:r>
            <w:r w:rsidR="00934211">
              <w:rPr>
                <w:color w:val="002060"/>
                <w:sz w:val="32"/>
                <w:szCs w:val="32"/>
              </w:rPr>
              <w:t>4</w:t>
            </w:r>
          </w:p>
        </w:tc>
      </w:tr>
      <w:tr w:rsidR="00574328" w:rsidTr="00574328">
        <w:tc>
          <w:tcPr>
            <w:tcW w:w="4788" w:type="dxa"/>
          </w:tcPr>
          <w:p w:rsidR="00574328" w:rsidRDefault="00934211" w:rsidP="00574328">
            <w:pPr>
              <w:ind w:right="-1260"/>
              <w:rPr>
                <w:b/>
                <w:color w:val="002060"/>
                <w:sz w:val="32"/>
                <w:szCs w:val="32"/>
              </w:rPr>
            </w:pPr>
            <w:r>
              <w:rPr>
                <w:b/>
                <w:color w:val="002060"/>
                <w:sz w:val="32"/>
                <w:szCs w:val="32"/>
              </w:rPr>
              <w:t>Supplementary Figure S4</w:t>
            </w:r>
          </w:p>
        </w:tc>
        <w:tc>
          <w:tcPr>
            <w:tcW w:w="4788" w:type="dxa"/>
          </w:tcPr>
          <w:p w:rsidR="00574328" w:rsidRPr="00574328" w:rsidRDefault="00574328" w:rsidP="00574328">
            <w:pPr>
              <w:tabs>
                <w:tab w:val="left" w:pos="1110"/>
              </w:tabs>
              <w:ind w:right="-1260"/>
              <w:jc w:val="center"/>
              <w:rPr>
                <w:color w:val="002060"/>
                <w:sz w:val="32"/>
                <w:szCs w:val="32"/>
              </w:rPr>
            </w:pPr>
            <w:r w:rsidRPr="00574328">
              <w:rPr>
                <w:color w:val="002060"/>
                <w:sz w:val="32"/>
                <w:szCs w:val="32"/>
              </w:rPr>
              <w:t xml:space="preserve">Page </w:t>
            </w:r>
            <w:r w:rsidR="00934211">
              <w:rPr>
                <w:color w:val="002060"/>
                <w:sz w:val="32"/>
                <w:szCs w:val="32"/>
              </w:rPr>
              <w:t>5</w:t>
            </w:r>
          </w:p>
        </w:tc>
      </w:tr>
      <w:tr w:rsidR="00574328" w:rsidTr="00574328">
        <w:tc>
          <w:tcPr>
            <w:tcW w:w="4788" w:type="dxa"/>
          </w:tcPr>
          <w:p w:rsidR="00574328" w:rsidRPr="00934211" w:rsidRDefault="00934211" w:rsidP="00574328">
            <w:pPr>
              <w:ind w:right="-1260"/>
              <w:rPr>
                <w:color w:val="002060"/>
                <w:sz w:val="32"/>
                <w:szCs w:val="32"/>
              </w:rPr>
            </w:pPr>
            <w:r>
              <w:rPr>
                <w:b/>
                <w:color w:val="002060"/>
                <w:sz w:val="32"/>
                <w:szCs w:val="32"/>
              </w:rPr>
              <w:t>Supplementary Figure S5</w:t>
            </w:r>
          </w:p>
        </w:tc>
        <w:tc>
          <w:tcPr>
            <w:tcW w:w="4788" w:type="dxa"/>
          </w:tcPr>
          <w:p w:rsidR="00574328" w:rsidRPr="00574328" w:rsidRDefault="00574328" w:rsidP="00574328">
            <w:pPr>
              <w:tabs>
                <w:tab w:val="left" w:pos="750"/>
              </w:tabs>
              <w:ind w:right="-1260"/>
              <w:jc w:val="center"/>
              <w:rPr>
                <w:color w:val="002060"/>
                <w:sz w:val="32"/>
                <w:szCs w:val="32"/>
              </w:rPr>
            </w:pPr>
            <w:r w:rsidRPr="00574328">
              <w:rPr>
                <w:color w:val="002060"/>
                <w:sz w:val="32"/>
                <w:szCs w:val="32"/>
              </w:rPr>
              <w:t xml:space="preserve">Page </w:t>
            </w:r>
            <w:r w:rsidR="00934211">
              <w:rPr>
                <w:color w:val="002060"/>
                <w:sz w:val="32"/>
                <w:szCs w:val="32"/>
              </w:rPr>
              <w:t>6</w:t>
            </w:r>
          </w:p>
        </w:tc>
      </w:tr>
      <w:tr w:rsidR="00574328" w:rsidTr="00574328">
        <w:tc>
          <w:tcPr>
            <w:tcW w:w="4788" w:type="dxa"/>
          </w:tcPr>
          <w:p w:rsidR="00574328" w:rsidRDefault="00934211" w:rsidP="00574328">
            <w:pPr>
              <w:ind w:right="-1260"/>
              <w:rPr>
                <w:b/>
                <w:color w:val="002060"/>
                <w:sz w:val="32"/>
                <w:szCs w:val="32"/>
              </w:rPr>
            </w:pPr>
            <w:r>
              <w:rPr>
                <w:b/>
                <w:color w:val="002060"/>
                <w:sz w:val="32"/>
                <w:szCs w:val="32"/>
              </w:rPr>
              <w:t>Captions supplementary tables</w:t>
            </w:r>
          </w:p>
        </w:tc>
        <w:tc>
          <w:tcPr>
            <w:tcW w:w="4788" w:type="dxa"/>
          </w:tcPr>
          <w:p w:rsidR="00574328" w:rsidRPr="00574328" w:rsidRDefault="00574328" w:rsidP="00574328">
            <w:pPr>
              <w:tabs>
                <w:tab w:val="left" w:pos="525"/>
              </w:tabs>
              <w:ind w:right="-1260"/>
              <w:jc w:val="center"/>
              <w:rPr>
                <w:color w:val="002060"/>
                <w:sz w:val="32"/>
                <w:szCs w:val="32"/>
              </w:rPr>
            </w:pPr>
            <w:r w:rsidRPr="00574328">
              <w:rPr>
                <w:color w:val="002060"/>
                <w:sz w:val="32"/>
                <w:szCs w:val="32"/>
              </w:rPr>
              <w:t xml:space="preserve">Page </w:t>
            </w:r>
            <w:r w:rsidR="00934211">
              <w:rPr>
                <w:color w:val="002060"/>
                <w:sz w:val="32"/>
                <w:szCs w:val="32"/>
              </w:rPr>
              <w:t>7</w:t>
            </w:r>
          </w:p>
        </w:tc>
      </w:tr>
    </w:tbl>
    <w:p w:rsidR="000C5B4D" w:rsidRDefault="000C5B4D" w:rsidP="000C5B4D">
      <w:pPr>
        <w:ind w:right="-1260"/>
        <w:jc w:val="center"/>
        <w:rPr>
          <w:b/>
          <w:color w:val="002060"/>
          <w:sz w:val="32"/>
          <w:szCs w:val="32"/>
        </w:rPr>
      </w:pPr>
    </w:p>
    <w:p w:rsidR="007F3854" w:rsidRDefault="007F3854" w:rsidP="007F3854">
      <w:pPr>
        <w:ind w:right="-1260"/>
        <w:rPr>
          <w:b/>
          <w:color w:val="002060"/>
          <w:sz w:val="32"/>
          <w:szCs w:val="32"/>
        </w:rPr>
      </w:pPr>
    </w:p>
    <w:p w:rsidR="00086FF9" w:rsidRDefault="00086FF9" w:rsidP="00934211">
      <w:pPr>
        <w:rPr>
          <w:sz w:val="32"/>
          <w:szCs w:val="32"/>
        </w:rPr>
      </w:pPr>
    </w:p>
    <w:p w:rsidR="00934211" w:rsidRDefault="00934211" w:rsidP="00934211">
      <w:pPr>
        <w:rPr>
          <w:sz w:val="32"/>
          <w:szCs w:val="32"/>
        </w:rPr>
      </w:pPr>
    </w:p>
    <w:p w:rsidR="00934211" w:rsidRDefault="00934211" w:rsidP="00934211">
      <w:pPr>
        <w:rPr>
          <w:sz w:val="32"/>
          <w:szCs w:val="32"/>
        </w:rPr>
      </w:pPr>
    </w:p>
    <w:p w:rsidR="00086FF9" w:rsidRDefault="00086FF9" w:rsidP="00934211">
      <w:pPr>
        <w:rPr>
          <w:sz w:val="32"/>
          <w:szCs w:val="32"/>
        </w:rPr>
      </w:pPr>
    </w:p>
    <w:p w:rsidR="00086FF9" w:rsidRDefault="00086FF9" w:rsidP="00934211">
      <w:pPr>
        <w:rPr>
          <w:sz w:val="32"/>
          <w:szCs w:val="32"/>
        </w:rPr>
      </w:pPr>
    </w:p>
    <w:p w:rsidR="00086FF9" w:rsidRDefault="00086FF9" w:rsidP="00934211">
      <w:pPr>
        <w:rPr>
          <w:sz w:val="32"/>
          <w:szCs w:val="32"/>
        </w:rPr>
      </w:pPr>
    </w:p>
    <w:p w:rsidR="00086FF9" w:rsidRDefault="00086FF9" w:rsidP="00934211">
      <w:pPr>
        <w:rPr>
          <w:sz w:val="32"/>
          <w:szCs w:val="32"/>
        </w:rPr>
      </w:pPr>
    </w:p>
    <w:p w:rsidR="002C5704" w:rsidRDefault="002C5704" w:rsidP="00934211">
      <w:pPr>
        <w:rPr>
          <w:sz w:val="32"/>
          <w:szCs w:val="32"/>
        </w:rPr>
      </w:pPr>
    </w:p>
    <w:p w:rsidR="002C5704" w:rsidRDefault="002C5704" w:rsidP="00934211">
      <w:pPr>
        <w:rPr>
          <w:sz w:val="32"/>
          <w:szCs w:val="32"/>
        </w:rPr>
      </w:pPr>
    </w:p>
    <w:p w:rsidR="00934211" w:rsidRDefault="00934211" w:rsidP="00934211">
      <w:pPr>
        <w:rPr>
          <w:sz w:val="32"/>
          <w:szCs w:val="32"/>
        </w:rPr>
      </w:pPr>
    </w:p>
    <w:p w:rsidR="00934211" w:rsidRDefault="00934211" w:rsidP="00934211">
      <w:pPr>
        <w:rPr>
          <w:sz w:val="32"/>
          <w:szCs w:val="32"/>
        </w:rPr>
      </w:pPr>
    </w:p>
    <w:p w:rsidR="00934211" w:rsidRPr="00E62E8A" w:rsidRDefault="00934211" w:rsidP="00934211">
      <w:pPr>
        <w:pStyle w:val="ListParagraph"/>
        <w:numPr>
          <w:ilvl w:val="0"/>
          <w:numId w:val="3"/>
        </w:numPr>
        <w:spacing w:after="160" w:line="259" w:lineRule="auto"/>
        <w:rPr>
          <w:b/>
        </w:rPr>
      </w:pPr>
      <w:r>
        <w:rPr>
          <w:b/>
        </w:rPr>
        <w:lastRenderedPageBreak/>
        <w:t>Supplementary f</w:t>
      </w:r>
      <w:r w:rsidRPr="00E62E8A">
        <w:rPr>
          <w:b/>
        </w:rPr>
        <w:t>igures</w:t>
      </w:r>
    </w:p>
    <w:p w:rsidR="00934211" w:rsidRDefault="00934211" w:rsidP="00934211">
      <w:pPr>
        <w:jc w:val="center"/>
      </w:pPr>
      <w:r>
        <w:rPr>
          <w:noProof/>
        </w:rPr>
        <w:drawing>
          <wp:inline distT="0" distB="0" distL="0" distR="0" wp14:anchorId="091C0D44" wp14:editId="14358F52">
            <wp:extent cx="571500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810250"/>
                    </a:xfrm>
                    <a:prstGeom prst="rect">
                      <a:avLst/>
                    </a:prstGeom>
                    <a:noFill/>
                    <a:ln>
                      <a:noFill/>
                    </a:ln>
                  </pic:spPr>
                </pic:pic>
              </a:graphicData>
            </a:graphic>
          </wp:inline>
        </w:drawing>
      </w:r>
    </w:p>
    <w:p w:rsidR="00934211" w:rsidRDefault="00934211" w:rsidP="00934211">
      <w:pPr>
        <w:rPr>
          <w:i/>
        </w:rPr>
      </w:pPr>
      <w:r w:rsidRPr="00D26AE8">
        <w:rPr>
          <w:i/>
        </w:rPr>
        <w:t>Supplementary Fig</w:t>
      </w:r>
      <w:r>
        <w:rPr>
          <w:i/>
        </w:rPr>
        <w:t>ure</w:t>
      </w:r>
      <w:r w:rsidRPr="00D26AE8">
        <w:rPr>
          <w:i/>
        </w:rPr>
        <w:t xml:space="preserve"> S1. A) Identity percentage threshold used to fit our COI foraminiferal reference database to the following: 75% Phylum, 80% Class, 84% Order, 96% Family and 99.4% Species.</w:t>
      </w:r>
    </w:p>
    <w:p w:rsidR="00934211" w:rsidRPr="00D26AE8" w:rsidRDefault="00934211" w:rsidP="00934211">
      <w:pPr>
        <w:jc w:val="center"/>
        <w:rPr>
          <w:i/>
        </w:rPr>
      </w:pPr>
      <w:r>
        <w:rPr>
          <w:i/>
          <w:noProof/>
        </w:rPr>
        <w:lastRenderedPageBreak/>
        <w:drawing>
          <wp:inline distT="0" distB="0" distL="0" distR="0" wp14:anchorId="65C7F74E" wp14:editId="43676638">
            <wp:extent cx="5724525" cy="2219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rsidR="00934211" w:rsidRPr="00A43C29" w:rsidRDefault="00934211" w:rsidP="00934211">
      <w:pPr>
        <w:rPr>
          <w:i/>
        </w:rPr>
      </w:pPr>
      <w:r w:rsidRPr="00D26AE8">
        <w:rPr>
          <w:i/>
        </w:rPr>
        <w:t>Supplementary Fig</w:t>
      </w:r>
      <w:r>
        <w:rPr>
          <w:i/>
        </w:rPr>
        <w:t>ure</w:t>
      </w:r>
      <w:r w:rsidRPr="00D26AE8">
        <w:rPr>
          <w:i/>
        </w:rPr>
        <w:t xml:space="preserve"> S</w:t>
      </w:r>
      <w:r>
        <w:rPr>
          <w:i/>
        </w:rPr>
        <w:t>2</w:t>
      </w:r>
      <w:r w:rsidRPr="00D26AE8">
        <w:rPr>
          <w:i/>
        </w:rPr>
        <w:t>.</w:t>
      </w:r>
      <w:r>
        <w:rPr>
          <w:i/>
        </w:rPr>
        <w:t xml:space="preserve"> </w:t>
      </w:r>
      <w:r w:rsidRPr="00A43C29">
        <w:rPr>
          <w:i/>
        </w:rPr>
        <w:t>Non-metric dimensional scaling representation of the</w:t>
      </w:r>
      <w:r>
        <w:rPr>
          <w:i/>
        </w:rPr>
        <w:t xml:space="preserve"> </w:t>
      </w:r>
      <w:r w:rsidRPr="00A43C29">
        <w:rPr>
          <w:i/>
        </w:rPr>
        <w:t>bulk-DNA and eDNA samples (</w:t>
      </w:r>
      <w:r>
        <w:rPr>
          <w:i/>
        </w:rPr>
        <w:t>A</w:t>
      </w:r>
      <w:r w:rsidRPr="00A43C29">
        <w:rPr>
          <w:i/>
        </w:rPr>
        <w:t>)</w:t>
      </w:r>
      <w:r>
        <w:rPr>
          <w:i/>
        </w:rPr>
        <w:t xml:space="preserve"> </w:t>
      </w:r>
      <w:r w:rsidRPr="00A43C29">
        <w:rPr>
          <w:i/>
        </w:rPr>
        <w:t>and eDNA samples from the ethanol preservative alone</w:t>
      </w:r>
      <w:r>
        <w:rPr>
          <w:i/>
        </w:rPr>
        <w:t xml:space="preserve"> (B)</w:t>
      </w:r>
      <w:r w:rsidRPr="00A43C29">
        <w:rPr>
          <w:i/>
        </w:rPr>
        <w:t>, including all their replicates and all ASVs.</w:t>
      </w:r>
      <w:r>
        <w:rPr>
          <w:i/>
        </w:rPr>
        <w:t xml:space="preserve"> </w:t>
      </w:r>
      <w:r w:rsidRPr="00A43C29">
        <w:rPr>
          <w:i/>
        </w:rPr>
        <w:t xml:space="preserve">Analysis of similarity (ANOSIM) results are indicated at the lower right corner of each graph (grouping per site). </w:t>
      </w:r>
      <w:r>
        <w:rPr>
          <w:i/>
        </w:rPr>
        <w:t>Sampling</w:t>
      </w:r>
      <w:r w:rsidRPr="00A43C29">
        <w:rPr>
          <w:i/>
        </w:rPr>
        <w:t xml:space="preserve"> sites are marked by different </w:t>
      </w:r>
      <w:proofErr w:type="spellStart"/>
      <w:r w:rsidRPr="00A43C29">
        <w:rPr>
          <w:i/>
        </w:rPr>
        <w:t>colours</w:t>
      </w:r>
      <w:proofErr w:type="spellEnd"/>
      <w:r w:rsidRPr="00A43C29">
        <w:rPr>
          <w:i/>
        </w:rPr>
        <w:t>.</w:t>
      </w:r>
    </w:p>
    <w:p w:rsidR="00934211" w:rsidRDefault="00934211" w:rsidP="00934211">
      <w:pPr>
        <w:jc w:val="center"/>
      </w:pPr>
      <w:r>
        <w:rPr>
          <w:noProof/>
        </w:rPr>
        <w:lastRenderedPageBreak/>
        <w:drawing>
          <wp:inline distT="0" distB="0" distL="0" distR="0" wp14:anchorId="70C947FC" wp14:editId="74DB7FFC">
            <wp:extent cx="5073471" cy="727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6345" cy="7281223"/>
                    </a:xfrm>
                    <a:prstGeom prst="rect">
                      <a:avLst/>
                    </a:prstGeom>
                    <a:noFill/>
                    <a:ln>
                      <a:noFill/>
                    </a:ln>
                  </pic:spPr>
                </pic:pic>
              </a:graphicData>
            </a:graphic>
          </wp:inline>
        </w:drawing>
      </w:r>
    </w:p>
    <w:p w:rsidR="00934211" w:rsidRDefault="00934211" w:rsidP="00934211">
      <w:pPr>
        <w:rPr>
          <w:i/>
        </w:rPr>
      </w:pPr>
      <w:r w:rsidRPr="00D26AE8">
        <w:rPr>
          <w:i/>
        </w:rPr>
        <w:t>Supplementary Fig</w:t>
      </w:r>
      <w:r>
        <w:rPr>
          <w:i/>
        </w:rPr>
        <w:t>ure</w:t>
      </w:r>
      <w:r w:rsidRPr="00D26AE8">
        <w:rPr>
          <w:i/>
        </w:rPr>
        <w:t xml:space="preserve"> S</w:t>
      </w:r>
      <w:r>
        <w:rPr>
          <w:i/>
        </w:rPr>
        <w:t>3</w:t>
      </w:r>
      <w:r w:rsidRPr="00D26AE8">
        <w:rPr>
          <w:i/>
        </w:rPr>
        <w:t>.</w:t>
      </w:r>
      <w:r>
        <w:rPr>
          <w:i/>
        </w:rPr>
        <w:t xml:space="preserve"> Species richness assess for each sample type at each sampling location. On the left panel, the complete foraminiferal assemblage composition from bulk-DNA (S) and eDNA (E) samples are compared. On the right panel, only the LBF assemblage composition from morphological (M), bulk-DNA and eDNA samples is compared. Morphological samples in blue, bulk-DNA samples in green and eDNA samples in red.  </w:t>
      </w:r>
    </w:p>
    <w:p w:rsidR="00934211" w:rsidRDefault="00934211" w:rsidP="00934211">
      <w:pPr>
        <w:rPr>
          <w:i/>
        </w:rPr>
      </w:pPr>
      <w:r>
        <w:rPr>
          <w:i/>
        </w:rPr>
        <w:lastRenderedPageBreak/>
        <w:softHyphen/>
      </w:r>
    </w:p>
    <w:p w:rsidR="00CF4A40" w:rsidRDefault="00CF4A40" w:rsidP="00934211">
      <w:pPr>
        <w:rPr>
          <w:i/>
        </w:rPr>
      </w:pPr>
    </w:p>
    <w:p w:rsidR="00CF4A40" w:rsidRDefault="00CF4A40" w:rsidP="00934211">
      <w:pPr>
        <w:rPr>
          <w:i/>
        </w:rPr>
      </w:pPr>
    </w:p>
    <w:p w:rsidR="00CF4A40" w:rsidRPr="00772957" w:rsidRDefault="00CF4A40" w:rsidP="00934211">
      <w:pPr>
        <w:rPr>
          <w:i/>
        </w:rPr>
      </w:pPr>
    </w:p>
    <w:p w:rsidR="00934211" w:rsidRDefault="00934211" w:rsidP="00934211">
      <w:pPr>
        <w:jc w:val="center"/>
      </w:pPr>
      <w:r>
        <w:rPr>
          <w:noProof/>
        </w:rPr>
        <w:drawing>
          <wp:inline distT="0" distB="0" distL="0" distR="0" wp14:anchorId="23C9E70D" wp14:editId="13B1A4FC">
            <wp:extent cx="5725160" cy="25844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2584450"/>
                    </a:xfrm>
                    <a:prstGeom prst="rect">
                      <a:avLst/>
                    </a:prstGeom>
                    <a:noFill/>
                    <a:ln>
                      <a:noFill/>
                    </a:ln>
                  </pic:spPr>
                </pic:pic>
              </a:graphicData>
            </a:graphic>
          </wp:inline>
        </w:drawing>
      </w:r>
    </w:p>
    <w:p w:rsidR="00934211" w:rsidRDefault="00934211" w:rsidP="00934211">
      <w:pPr>
        <w:rPr>
          <w:i/>
        </w:rPr>
      </w:pPr>
      <w:r w:rsidRPr="00D26AE8">
        <w:rPr>
          <w:i/>
        </w:rPr>
        <w:t>Supplementary Fig</w:t>
      </w:r>
      <w:r>
        <w:rPr>
          <w:i/>
        </w:rPr>
        <w:t>ure</w:t>
      </w:r>
      <w:r w:rsidRPr="00D26AE8">
        <w:rPr>
          <w:i/>
        </w:rPr>
        <w:t xml:space="preserve"> S</w:t>
      </w:r>
      <w:r>
        <w:rPr>
          <w:i/>
        </w:rPr>
        <w:t>4</w:t>
      </w:r>
      <w:r w:rsidRPr="00D26AE8">
        <w:rPr>
          <w:i/>
        </w:rPr>
        <w:t xml:space="preserve">. </w:t>
      </w:r>
      <w:r>
        <w:rPr>
          <w:i/>
        </w:rPr>
        <w:t xml:space="preserve">Number of reads per species presented for each replicate of each mock community. Black circles are scaled to the number of reads. Absence of a circle means that no ASV matching the species at &gt; 99.4% ID matched our database and the species is therefore considered absent from the sample. The red “X” represent the expected species present in each mock community, respectively. </w:t>
      </w:r>
    </w:p>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 w:rsidR="00934211" w:rsidRDefault="00934211" w:rsidP="00934211">
      <w:pPr>
        <w:jc w:val="center"/>
        <w:rPr>
          <w:i/>
        </w:rPr>
      </w:pPr>
      <w:r>
        <w:rPr>
          <w:noProof/>
        </w:rPr>
        <w:lastRenderedPageBreak/>
        <w:drawing>
          <wp:inline distT="0" distB="0" distL="0" distR="0" wp14:anchorId="2113010F" wp14:editId="711C680D">
            <wp:extent cx="4682592" cy="75342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0442" cy="7546906"/>
                    </a:xfrm>
                    <a:prstGeom prst="rect">
                      <a:avLst/>
                    </a:prstGeom>
                    <a:noFill/>
                    <a:ln>
                      <a:noFill/>
                    </a:ln>
                  </pic:spPr>
                </pic:pic>
              </a:graphicData>
            </a:graphic>
          </wp:inline>
        </w:drawing>
      </w:r>
    </w:p>
    <w:p w:rsidR="00934211" w:rsidRDefault="00934211" w:rsidP="00934211">
      <w:pPr>
        <w:jc w:val="center"/>
      </w:pPr>
      <w:r w:rsidRPr="00D26AE8">
        <w:rPr>
          <w:i/>
        </w:rPr>
        <w:t>Supplementary Fig</w:t>
      </w:r>
      <w:r>
        <w:rPr>
          <w:i/>
        </w:rPr>
        <w:t>ure</w:t>
      </w:r>
      <w:r w:rsidRPr="00D26AE8">
        <w:rPr>
          <w:i/>
        </w:rPr>
        <w:t xml:space="preserve"> S</w:t>
      </w:r>
      <w:r>
        <w:rPr>
          <w:i/>
        </w:rPr>
        <w:t>5</w:t>
      </w:r>
      <w:r w:rsidRPr="00D26AE8">
        <w:rPr>
          <w:i/>
        </w:rPr>
        <w:t xml:space="preserve">. </w:t>
      </w:r>
      <w:r>
        <w:rPr>
          <w:i/>
        </w:rPr>
        <w:t>A) Rarefaction curve analysis and B) bar chart showing the number of ASVs cumulated in 1, 2, 3, 4, 5 (and 6, 7) technical replicates for each bulk-DNA samples. More than 70% of the total number of ASVs was retrieved with three replicates.</w:t>
      </w:r>
    </w:p>
    <w:p w:rsidR="00934211" w:rsidRDefault="00934211" w:rsidP="00934211"/>
    <w:p w:rsidR="00934211" w:rsidRDefault="00934211" w:rsidP="00934211"/>
    <w:p w:rsidR="00934211" w:rsidRPr="00DE5041" w:rsidRDefault="00934211" w:rsidP="00934211">
      <w:pPr>
        <w:pStyle w:val="ListParagraph"/>
        <w:numPr>
          <w:ilvl w:val="0"/>
          <w:numId w:val="3"/>
        </w:numPr>
        <w:spacing w:after="160" w:line="259" w:lineRule="auto"/>
        <w:rPr>
          <w:b/>
        </w:rPr>
      </w:pPr>
      <w:r>
        <w:rPr>
          <w:b/>
        </w:rPr>
        <w:t>Supplementary t</w:t>
      </w:r>
      <w:r w:rsidRPr="00E62E8A">
        <w:rPr>
          <w:b/>
        </w:rPr>
        <w:t>ables</w:t>
      </w:r>
    </w:p>
    <w:p w:rsidR="00934211" w:rsidRDefault="00934211" w:rsidP="00934211">
      <w:pPr>
        <w:rPr>
          <w:i/>
        </w:rPr>
      </w:pPr>
      <w:r w:rsidRPr="00D26AE8">
        <w:rPr>
          <w:i/>
        </w:rPr>
        <w:t xml:space="preserve">Supplementary </w:t>
      </w:r>
      <w:r>
        <w:rPr>
          <w:i/>
        </w:rPr>
        <w:t>Table</w:t>
      </w:r>
      <w:r w:rsidRPr="00D26AE8">
        <w:rPr>
          <w:i/>
        </w:rPr>
        <w:t xml:space="preserve"> S</w:t>
      </w:r>
      <w:r>
        <w:rPr>
          <w:i/>
        </w:rPr>
        <w:t>1</w:t>
      </w:r>
      <w:r w:rsidRPr="00D26AE8">
        <w:rPr>
          <w:i/>
        </w:rPr>
        <w:t>.</w:t>
      </w:r>
      <w:r>
        <w:rPr>
          <w:i/>
        </w:rPr>
        <w:t xml:space="preserve"> Metadata on sediment samples.</w:t>
      </w:r>
    </w:p>
    <w:p w:rsidR="00934211" w:rsidRDefault="00934211" w:rsidP="00934211">
      <w:pPr>
        <w:rPr>
          <w:i/>
        </w:rPr>
      </w:pPr>
      <w:r w:rsidRPr="00D26AE8">
        <w:rPr>
          <w:i/>
        </w:rPr>
        <w:t xml:space="preserve">Supplementary </w:t>
      </w:r>
      <w:r>
        <w:rPr>
          <w:i/>
        </w:rPr>
        <w:t>Table</w:t>
      </w:r>
      <w:r w:rsidRPr="00D26AE8">
        <w:rPr>
          <w:i/>
        </w:rPr>
        <w:t xml:space="preserve"> S</w:t>
      </w:r>
      <w:r>
        <w:rPr>
          <w:i/>
        </w:rPr>
        <w:t>2</w:t>
      </w:r>
      <w:r w:rsidRPr="00D26AE8">
        <w:rPr>
          <w:i/>
        </w:rPr>
        <w:t>.</w:t>
      </w:r>
      <w:r>
        <w:rPr>
          <w:i/>
        </w:rPr>
        <w:t xml:space="preserve"> Mock community composition. </w:t>
      </w:r>
    </w:p>
    <w:p w:rsidR="00934211" w:rsidRPr="004318E1" w:rsidRDefault="00934211" w:rsidP="00934211">
      <w:pPr>
        <w:rPr>
          <w:i/>
        </w:rPr>
      </w:pPr>
      <w:r w:rsidRPr="00D26AE8">
        <w:rPr>
          <w:i/>
        </w:rPr>
        <w:t xml:space="preserve">Supplementary </w:t>
      </w:r>
      <w:r>
        <w:rPr>
          <w:i/>
        </w:rPr>
        <w:t>Table</w:t>
      </w:r>
      <w:r w:rsidRPr="00D26AE8">
        <w:rPr>
          <w:i/>
        </w:rPr>
        <w:t xml:space="preserve"> S</w:t>
      </w:r>
      <w:r>
        <w:rPr>
          <w:i/>
        </w:rPr>
        <w:t>3</w:t>
      </w:r>
      <w:r w:rsidRPr="00D26AE8">
        <w:rPr>
          <w:i/>
        </w:rPr>
        <w:t>.</w:t>
      </w:r>
      <w:r>
        <w:rPr>
          <w:i/>
        </w:rPr>
        <w:t xml:space="preserve"> Foraminiferal reference database of Mitochondrial COI used for this study. References added to the database in this study are stated in the column “Reference”. Sequences associated to more than one morphospecies are clearly indicated by having multiple species name in the column “Morphospecies”. References coming from a single specimen are marked with an additional number to the species name (e.g., </w:t>
      </w:r>
      <w:proofErr w:type="spellStart"/>
      <w:r w:rsidRPr="004318E1">
        <w:t>Calcarina</w:t>
      </w:r>
      <w:proofErr w:type="spellEnd"/>
      <w:r w:rsidRPr="004318E1">
        <w:rPr>
          <w:i/>
        </w:rPr>
        <w:t xml:space="preserve"> sp. NBCLAB5164 or </w:t>
      </w:r>
      <w:proofErr w:type="spellStart"/>
      <w:r w:rsidRPr="004318E1">
        <w:t>Bizarria</w:t>
      </w:r>
      <w:proofErr w:type="spellEnd"/>
      <w:r w:rsidRPr="004318E1">
        <w:t xml:space="preserve"> </w:t>
      </w:r>
      <w:proofErr w:type="spellStart"/>
      <w:r w:rsidRPr="004318E1">
        <w:t>bryiformis</w:t>
      </w:r>
      <w:proofErr w:type="spellEnd"/>
      <w:r w:rsidRPr="004318E1">
        <w:rPr>
          <w:i/>
        </w:rPr>
        <w:t xml:space="preserve"> 18256</w:t>
      </w:r>
      <w:r>
        <w:rPr>
          <w:i/>
        </w:rPr>
        <w:t xml:space="preserve">).   </w:t>
      </w:r>
    </w:p>
    <w:p w:rsidR="00934211" w:rsidRDefault="00934211" w:rsidP="00934211">
      <w:pPr>
        <w:rPr>
          <w:i/>
        </w:rPr>
      </w:pPr>
      <w:r w:rsidRPr="00D26AE8">
        <w:rPr>
          <w:i/>
        </w:rPr>
        <w:t xml:space="preserve">Supplementary </w:t>
      </w:r>
      <w:r>
        <w:rPr>
          <w:i/>
        </w:rPr>
        <w:t>Table</w:t>
      </w:r>
      <w:r w:rsidRPr="00D26AE8">
        <w:rPr>
          <w:i/>
        </w:rPr>
        <w:t xml:space="preserve"> S</w:t>
      </w:r>
      <w:r>
        <w:rPr>
          <w:i/>
        </w:rPr>
        <w:t>4</w:t>
      </w:r>
      <w:r w:rsidRPr="00D26AE8">
        <w:rPr>
          <w:i/>
        </w:rPr>
        <w:t>.</w:t>
      </w:r>
      <w:r>
        <w:rPr>
          <w:i/>
        </w:rPr>
        <w:t xml:space="preserve"> List of LBF species used to compare the sediment and EtOH samples with the traditional ones reported in Girard et al. (2022). </w:t>
      </w:r>
    </w:p>
    <w:p w:rsidR="00934211" w:rsidRDefault="00934211" w:rsidP="00934211">
      <w:pPr>
        <w:rPr>
          <w:i/>
        </w:rPr>
      </w:pPr>
      <w:r w:rsidRPr="00D26AE8">
        <w:rPr>
          <w:i/>
        </w:rPr>
        <w:t xml:space="preserve">Supplementary </w:t>
      </w:r>
      <w:r>
        <w:rPr>
          <w:i/>
        </w:rPr>
        <w:t>Table</w:t>
      </w:r>
      <w:r w:rsidRPr="00D26AE8">
        <w:rPr>
          <w:i/>
        </w:rPr>
        <w:t xml:space="preserve"> </w:t>
      </w:r>
      <w:r>
        <w:rPr>
          <w:i/>
        </w:rPr>
        <w:t xml:space="preserve">S5. </w:t>
      </w:r>
      <w:r w:rsidRPr="00733E5E">
        <w:rPr>
          <w:i/>
        </w:rPr>
        <w:t xml:space="preserve">Detailed read numbers for all samples at three different step on the filtering process: 1) raw reads from the sequencer, 2) number of reads after filtering but before cutoff and 3) number of reads after cutoff. </w:t>
      </w:r>
    </w:p>
    <w:p w:rsidR="00934211" w:rsidRDefault="00934211" w:rsidP="00934211">
      <w:pPr>
        <w:rPr>
          <w:i/>
        </w:rPr>
      </w:pPr>
      <w:r w:rsidRPr="00D26AE8">
        <w:rPr>
          <w:i/>
        </w:rPr>
        <w:t xml:space="preserve">Supplementary </w:t>
      </w:r>
      <w:r>
        <w:rPr>
          <w:i/>
        </w:rPr>
        <w:t>Table</w:t>
      </w:r>
      <w:r w:rsidRPr="00D26AE8">
        <w:rPr>
          <w:i/>
        </w:rPr>
        <w:t xml:space="preserve"> </w:t>
      </w:r>
      <w:r>
        <w:rPr>
          <w:i/>
        </w:rPr>
        <w:t>S6. Assessment of the number of share ASVs among bulk-DNA technical replicates at different thresholds: selected 10, 20, 30, 40 and 50 most abundant ASVs per bulk-DNA sample.</w:t>
      </w:r>
    </w:p>
    <w:p w:rsidR="00934211" w:rsidRPr="002D16C9" w:rsidRDefault="00934211" w:rsidP="00934211">
      <w:pPr>
        <w:rPr>
          <w:i/>
        </w:rPr>
      </w:pPr>
      <w:r w:rsidRPr="00D26AE8">
        <w:rPr>
          <w:i/>
        </w:rPr>
        <w:t xml:space="preserve">Supplementary </w:t>
      </w:r>
      <w:r>
        <w:rPr>
          <w:i/>
        </w:rPr>
        <w:t>Table</w:t>
      </w:r>
      <w:r w:rsidRPr="00D26AE8">
        <w:rPr>
          <w:i/>
        </w:rPr>
        <w:t xml:space="preserve"> </w:t>
      </w:r>
      <w:r>
        <w:rPr>
          <w:i/>
        </w:rPr>
        <w:t xml:space="preserve">S7. One-way </w:t>
      </w:r>
      <w:proofErr w:type="spellStart"/>
      <w:r>
        <w:rPr>
          <w:i/>
        </w:rPr>
        <w:t>PermANOVA</w:t>
      </w:r>
      <w:proofErr w:type="spellEnd"/>
      <w:r>
        <w:rPr>
          <w:i/>
        </w:rPr>
        <w:t xml:space="preserve"> analysis results with different grouping designs.</w:t>
      </w:r>
    </w:p>
    <w:p w:rsidR="00934211" w:rsidRPr="002D16C9" w:rsidRDefault="00934211" w:rsidP="00934211">
      <w:pPr>
        <w:rPr>
          <w:i/>
        </w:rPr>
      </w:pPr>
      <w:r w:rsidRPr="00D26AE8">
        <w:rPr>
          <w:i/>
        </w:rPr>
        <w:t xml:space="preserve">Supplementary </w:t>
      </w:r>
      <w:r>
        <w:rPr>
          <w:i/>
        </w:rPr>
        <w:t>Table</w:t>
      </w:r>
      <w:r w:rsidRPr="00D26AE8">
        <w:rPr>
          <w:i/>
        </w:rPr>
        <w:t xml:space="preserve"> </w:t>
      </w:r>
      <w:r>
        <w:rPr>
          <w:i/>
        </w:rPr>
        <w:t xml:space="preserve">S8. Multi-factorial </w:t>
      </w:r>
      <w:proofErr w:type="spellStart"/>
      <w:r>
        <w:rPr>
          <w:i/>
        </w:rPr>
        <w:t>PermANOVA</w:t>
      </w:r>
      <w:proofErr w:type="spellEnd"/>
      <w:r>
        <w:rPr>
          <w:i/>
        </w:rPr>
        <w:t xml:space="preserve"> analysis results to assess interactions between factors</w:t>
      </w:r>
      <w:r w:rsidR="00A86E9B">
        <w:rPr>
          <w:i/>
        </w:rPr>
        <w:t xml:space="preserve">, including full </w:t>
      </w:r>
      <w:proofErr w:type="spellStart"/>
      <w:r w:rsidR="00A86E9B">
        <w:rPr>
          <w:i/>
        </w:rPr>
        <w:t>PermANOVA</w:t>
      </w:r>
      <w:proofErr w:type="spellEnd"/>
      <w:r w:rsidR="00A86E9B">
        <w:rPr>
          <w:i/>
        </w:rPr>
        <w:t xml:space="preserve"> table for the three dimensional analyses.</w:t>
      </w:r>
    </w:p>
    <w:p w:rsidR="00934211" w:rsidRPr="002D16C9" w:rsidRDefault="00934211" w:rsidP="00934211">
      <w:pPr>
        <w:rPr>
          <w:i/>
        </w:rPr>
      </w:pPr>
    </w:p>
    <w:p w:rsidR="00934211" w:rsidRPr="00934211" w:rsidRDefault="00934211" w:rsidP="00934211">
      <w:pPr>
        <w:rPr>
          <w:sz w:val="32"/>
          <w:szCs w:val="32"/>
        </w:rPr>
      </w:pPr>
    </w:p>
    <w:sectPr w:rsidR="00934211" w:rsidRPr="00934211" w:rsidSect="000C5B4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056" w:rsidRDefault="00814056" w:rsidP="0063401C">
      <w:r>
        <w:separator/>
      </w:r>
    </w:p>
  </w:endnote>
  <w:endnote w:type="continuationSeparator" w:id="0">
    <w:p w:rsidR="00814056" w:rsidRDefault="00814056" w:rsidP="00634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0238"/>
      <w:docPartObj>
        <w:docPartGallery w:val="Page Numbers (Bottom of Page)"/>
        <w:docPartUnique/>
      </w:docPartObj>
    </w:sdtPr>
    <w:sdtEndPr>
      <w:rPr>
        <w:noProof/>
      </w:rPr>
    </w:sdtEndPr>
    <w:sdtContent>
      <w:p w:rsidR="0063401C" w:rsidRDefault="0063401C">
        <w:pPr>
          <w:pStyle w:val="Footer"/>
          <w:jc w:val="center"/>
        </w:pPr>
        <w:r>
          <w:fldChar w:fldCharType="begin"/>
        </w:r>
        <w:r>
          <w:instrText xml:space="preserve"> PAGE   \* MERGEFORMAT </w:instrText>
        </w:r>
        <w:r>
          <w:fldChar w:fldCharType="separate"/>
        </w:r>
        <w:r w:rsidR="00EE48EB">
          <w:rPr>
            <w:noProof/>
          </w:rPr>
          <w:t>1</w:t>
        </w:r>
        <w:r>
          <w:rPr>
            <w:noProof/>
          </w:rPr>
          <w:fldChar w:fldCharType="end"/>
        </w:r>
      </w:p>
    </w:sdtContent>
  </w:sdt>
  <w:p w:rsidR="0063401C" w:rsidRDefault="00634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056" w:rsidRDefault="00814056" w:rsidP="0063401C">
      <w:r>
        <w:separator/>
      </w:r>
    </w:p>
  </w:footnote>
  <w:footnote w:type="continuationSeparator" w:id="0">
    <w:p w:rsidR="00814056" w:rsidRDefault="00814056" w:rsidP="006340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401C" w:rsidRDefault="0063401C" w:rsidP="00997FE7">
    <w:pPr>
      <w:pStyle w:val="Header"/>
      <w:jc w:val="center"/>
    </w:pPr>
  </w:p>
  <w:p w:rsidR="0063401C" w:rsidRDefault="00634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A0909"/>
    <w:multiLevelType w:val="hybridMultilevel"/>
    <w:tmpl w:val="44142744"/>
    <w:lvl w:ilvl="0" w:tplc="FE6AE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3B414A"/>
    <w:multiLevelType w:val="hybridMultilevel"/>
    <w:tmpl w:val="6CE886AE"/>
    <w:lvl w:ilvl="0" w:tplc="90CEB16E">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EE288A"/>
    <w:multiLevelType w:val="hybridMultilevel"/>
    <w:tmpl w:val="DDA0F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48EB"/>
    <w:rsid w:val="00014E13"/>
    <w:rsid w:val="00086FF9"/>
    <w:rsid w:val="000C5B4D"/>
    <w:rsid w:val="000E162A"/>
    <w:rsid w:val="001B41A5"/>
    <w:rsid w:val="002819E1"/>
    <w:rsid w:val="002C5704"/>
    <w:rsid w:val="00376C4D"/>
    <w:rsid w:val="004034EA"/>
    <w:rsid w:val="00574328"/>
    <w:rsid w:val="005910E5"/>
    <w:rsid w:val="0063401C"/>
    <w:rsid w:val="00670D94"/>
    <w:rsid w:val="007F0433"/>
    <w:rsid w:val="007F3854"/>
    <w:rsid w:val="00814056"/>
    <w:rsid w:val="0085762C"/>
    <w:rsid w:val="00934211"/>
    <w:rsid w:val="00997FE7"/>
    <w:rsid w:val="009F0762"/>
    <w:rsid w:val="00A86E9B"/>
    <w:rsid w:val="00B40DA6"/>
    <w:rsid w:val="00B41415"/>
    <w:rsid w:val="00BD4601"/>
    <w:rsid w:val="00C03544"/>
    <w:rsid w:val="00C25B86"/>
    <w:rsid w:val="00CA03E7"/>
    <w:rsid w:val="00CA34B5"/>
    <w:rsid w:val="00CF4A40"/>
    <w:rsid w:val="00EC62E0"/>
    <w:rsid w:val="00EE48EB"/>
    <w:rsid w:val="00F506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42D52"/>
  <w15:docId w15:val="{6C968488-729B-465E-B66D-1252406E4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401C"/>
    <w:rPr>
      <w:rFonts w:ascii="Tahoma" w:hAnsi="Tahoma" w:cs="Tahoma"/>
      <w:sz w:val="16"/>
      <w:szCs w:val="16"/>
    </w:rPr>
  </w:style>
  <w:style w:type="character" w:customStyle="1" w:styleId="BalloonTextChar">
    <w:name w:val="Balloon Text Char"/>
    <w:basedOn w:val="DefaultParagraphFont"/>
    <w:link w:val="BalloonText"/>
    <w:uiPriority w:val="99"/>
    <w:semiHidden/>
    <w:rsid w:val="0063401C"/>
    <w:rPr>
      <w:rFonts w:ascii="Tahoma" w:hAnsi="Tahoma" w:cs="Tahoma"/>
      <w:sz w:val="16"/>
      <w:szCs w:val="16"/>
    </w:rPr>
  </w:style>
  <w:style w:type="paragraph" w:styleId="Header">
    <w:name w:val="header"/>
    <w:basedOn w:val="Normal"/>
    <w:link w:val="HeaderChar"/>
    <w:uiPriority w:val="99"/>
    <w:unhideWhenUsed/>
    <w:rsid w:val="0063401C"/>
    <w:pPr>
      <w:tabs>
        <w:tab w:val="center" w:pos="4680"/>
        <w:tab w:val="right" w:pos="9360"/>
      </w:tabs>
    </w:pPr>
  </w:style>
  <w:style w:type="character" w:customStyle="1" w:styleId="HeaderChar">
    <w:name w:val="Header Char"/>
    <w:basedOn w:val="DefaultParagraphFont"/>
    <w:link w:val="Header"/>
    <w:uiPriority w:val="99"/>
    <w:rsid w:val="0063401C"/>
  </w:style>
  <w:style w:type="paragraph" w:styleId="Footer">
    <w:name w:val="footer"/>
    <w:basedOn w:val="Normal"/>
    <w:link w:val="FooterChar"/>
    <w:uiPriority w:val="99"/>
    <w:unhideWhenUsed/>
    <w:rsid w:val="0063401C"/>
    <w:pPr>
      <w:tabs>
        <w:tab w:val="center" w:pos="4680"/>
        <w:tab w:val="right" w:pos="9360"/>
      </w:tabs>
    </w:pPr>
  </w:style>
  <w:style w:type="character" w:customStyle="1" w:styleId="FooterChar">
    <w:name w:val="Footer Char"/>
    <w:basedOn w:val="DefaultParagraphFont"/>
    <w:link w:val="Footer"/>
    <w:uiPriority w:val="99"/>
    <w:rsid w:val="0063401C"/>
  </w:style>
  <w:style w:type="paragraph" w:styleId="ListParagraph">
    <w:name w:val="List Paragraph"/>
    <w:basedOn w:val="Normal"/>
    <w:uiPriority w:val="34"/>
    <w:qFormat/>
    <w:rsid w:val="000C5B4D"/>
    <w:pPr>
      <w:ind w:left="720"/>
      <w:contextualSpacing/>
    </w:pPr>
  </w:style>
  <w:style w:type="table" w:styleId="TableGrid">
    <w:name w:val="Table Grid"/>
    <w:basedOn w:val="TableNormal"/>
    <w:uiPriority w:val="39"/>
    <w:rsid w:val="00574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onte\Desktop\MER%20Supplemental%20Information%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MER Supplemental Information (2)</Template>
  <TotalTime>7</TotalTime>
  <Pages>7</Pages>
  <Words>607</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John Wiley and Sons, Inc.</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Monte, Maria - Hoboken</dc:creator>
  <cp:lastModifiedBy>Elsa Girard</cp:lastModifiedBy>
  <cp:revision>7</cp:revision>
  <dcterms:created xsi:type="dcterms:W3CDTF">2017-03-23T18:51:00Z</dcterms:created>
  <dcterms:modified xsi:type="dcterms:W3CDTF">2022-10-19T07:01:00Z</dcterms:modified>
</cp:coreProperties>
</file>