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F58" w:rsidRDefault="00901F58">
      <w:pPr>
        <w:jc w:val="center"/>
        <w:rPr>
          <w:b/>
          <w:sz w:val="40"/>
          <w:szCs w:val="40"/>
          <w:u w:val="single"/>
        </w:rPr>
      </w:pPr>
      <w:bookmarkStart w:id="0" w:name="_GoBack"/>
      <w:bookmarkEnd w:id="0"/>
    </w:p>
    <w:p w:rsidR="00901F58" w:rsidRDefault="00901F58" w:rsidP="00901F58">
      <w:pPr>
        <w:ind w:left="-1350" w:right="-1260"/>
        <w:jc w:val="center"/>
        <w:rPr>
          <w:b/>
          <w:sz w:val="28"/>
          <w:szCs w:val="28"/>
        </w:rPr>
      </w:pPr>
      <w:r>
        <w:rPr>
          <w:b/>
          <w:sz w:val="28"/>
          <w:szCs w:val="28"/>
        </w:rPr>
        <w:t>Supplemental Information for:</w:t>
      </w:r>
    </w:p>
    <w:p w:rsidR="00901F58" w:rsidRPr="007F0433" w:rsidRDefault="00901F58" w:rsidP="00901F58">
      <w:pPr>
        <w:ind w:left="-1350" w:right="-1260"/>
        <w:jc w:val="center"/>
        <w:rPr>
          <w:b/>
          <w:sz w:val="28"/>
          <w:szCs w:val="28"/>
        </w:rPr>
      </w:pPr>
    </w:p>
    <w:p w:rsidR="00901F58" w:rsidRDefault="00901F58" w:rsidP="00901F58">
      <w:pPr>
        <w:spacing w:line="240" w:lineRule="auto"/>
        <w:ind w:left="-1350" w:right="-1260"/>
        <w:jc w:val="center"/>
        <w:rPr>
          <w:b/>
          <w:color w:val="002060"/>
          <w:sz w:val="32"/>
          <w:szCs w:val="32"/>
        </w:rPr>
      </w:pPr>
      <w:r w:rsidRPr="00901F58">
        <w:rPr>
          <w:b/>
          <w:color w:val="002060"/>
          <w:sz w:val="32"/>
          <w:szCs w:val="32"/>
        </w:rPr>
        <w:t>Quantitative assessment of reef foraminifera</w:t>
      </w:r>
    </w:p>
    <w:p w:rsidR="00901F58" w:rsidRDefault="00901F58" w:rsidP="00901F58">
      <w:pPr>
        <w:spacing w:line="240" w:lineRule="auto"/>
        <w:ind w:left="-1350" w:right="-1260"/>
        <w:jc w:val="center"/>
        <w:rPr>
          <w:b/>
          <w:color w:val="002060"/>
        </w:rPr>
      </w:pPr>
      <w:r w:rsidRPr="00901F58">
        <w:rPr>
          <w:b/>
          <w:color w:val="002060"/>
          <w:sz w:val="32"/>
          <w:szCs w:val="32"/>
        </w:rPr>
        <w:t>community from metabarcoding data</w:t>
      </w:r>
    </w:p>
    <w:p w:rsidR="00E6472C" w:rsidRPr="00126D06" w:rsidRDefault="00E6472C" w:rsidP="00901F58">
      <w:pPr>
        <w:spacing w:line="240" w:lineRule="auto"/>
        <w:jc w:val="center"/>
      </w:pPr>
    </w:p>
    <w:p w:rsidR="00E6472C" w:rsidRPr="00126D06" w:rsidRDefault="00E6472C" w:rsidP="00901F58">
      <w:pPr>
        <w:spacing w:line="240" w:lineRule="auto"/>
        <w:rPr>
          <w:vertAlign w:val="superscript"/>
        </w:rPr>
      </w:pPr>
      <w:r w:rsidRPr="00126D06">
        <w:t xml:space="preserve">Elsa B. </w:t>
      </w:r>
      <w:proofErr w:type="spellStart"/>
      <w:r w:rsidRPr="00126D06">
        <w:t>Girard</w:t>
      </w:r>
      <w:r w:rsidRPr="00126D06">
        <w:rPr>
          <w:vertAlign w:val="superscript"/>
        </w:rPr>
        <w:t>a,b</w:t>
      </w:r>
      <w:proofErr w:type="spellEnd"/>
      <w:r w:rsidRPr="00126D06">
        <w:t xml:space="preserve">, Emilie A. </w:t>
      </w:r>
      <w:proofErr w:type="spellStart"/>
      <w:r w:rsidRPr="00126D06">
        <w:t>Didaskalou</w:t>
      </w:r>
      <w:r w:rsidRPr="00126D06">
        <w:rPr>
          <w:vertAlign w:val="superscript"/>
        </w:rPr>
        <w:t>c</w:t>
      </w:r>
      <w:proofErr w:type="spellEnd"/>
      <w:r w:rsidRPr="00126D06">
        <w:t xml:space="preserve">, Andi M. A. </w:t>
      </w:r>
      <w:proofErr w:type="spellStart"/>
      <w:r w:rsidRPr="00126D06">
        <w:t>Pratama</w:t>
      </w:r>
      <w:r w:rsidRPr="00126D06">
        <w:rPr>
          <w:vertAlign w:val="superscript"/>
        </w:rPr>
        <w:t>d</w:t>
      </w:r>
      <w:proofErr w:type="spellEnd"/>
      <w:r w:rsidRPr="00126D06">
        <w:t xml:space="preserve">, Carolina </w:t>
      </w:r>
      <w:proofErr w:type="spellStart"/>
      <w:r w:rsidRPr="00126D06">
        <w:t>Rattner</w:t>
      </w:r>
      <w:r w:rsidRPr="00126D06">
        <w:rPr>
          <w:vertAlign w:val="superscript"/>
        </w:rPr>
        <w:t>a</w:t>
      </w:r>
      <w:proofErr w:type="spellEnd"/>
      <w:r w:rsidRPr="00126D06">
        <w:t xml:space="preserve">, Raphaël </w:t>
      </w:r>
      <w:proofErr w:type="spellStart"/>
      <w:r w:rsidRPr="00126D06">
        <w:t>Morard</w:t>
      </w:r>
      <w:r w:rsidRPr="00126D06">
        <w:rPr>
          <w:vertAlign w:val="superscript"/>
        </w:rPr>
        <w:t>e</w:t>
      </w:r>
      <w:proofErr w:type="spellEnd"/>
      <w:r w:rsidRPr="00126D06">
        <w:t xml:space="preserve">, Willem </w:t>
      </w:r>
      <w:proofErr w:type="spellStart"/>
      <w:r w:rsidRPr="00126D06">
        <w:t>Renema</w:t>
      </w:r>
      <w:r w:rsidRPr="00126D06">
        <w:rPr>
          <w:vertAlign w:val="superscript"/>
        </w:rPr>
        <w:t>a,b</w:t>
      </w:r>
      <w:proofErr w:type="spellEnd"/>
    </w:p>
    <w:p w:rsidR="00E6472C" w:rsidRPr="00126D06" w:rsidRDefault="00E6472C" w:rsidP="00901F58">
      <w:pPr>
        <w:spacing w:line="240" w:lineRule="auto"/>
      </w:pPr>
    </w:p>
    <w:p w:rsidR="00E6472C" w:rsidRPr="00126D06" w:rsidRDefault="00E6472C" w:rsidP="00901F58">
      <w:pPr>
        <w:spacing w:line="240" w:lineRule="auto"/>
      </w:pPr>
      <w:r w:rsidRPr="00126D06">
        <w:rPr>
          <w:vertAlign w:val="superscript"/>
        </w:rPr>
        <w:t>a</w:t>
      </w:r>
      <w:r w:rsidRPr="00126D06">
        <w:t xml:space="preserve"> Naturalis Biodiversity Center, </w:t>
      </w:r>
      <w:proofErr w:type="spellStart"/>
      <w:r w:rsidRPr="00126D06">
        <w:t>Darwinweg</w:t>
      </w:r>
      <w:proofErr w:type="spellEnd"/>
      <w:r w:rsidRPr="00126D06">
        <w:t xml:space="preserve"> 2, 2333 CR Leiden, the Netherlands</w:t>
      </w:r>
    </w:p>
    <w:p w:rsidR="00E6472C" w:rsidRPr="00126D06" w:rsidRDefault="00E6472C" w:rsidP="00901F58">
      <w:pPr>
        <w:spacing w:line="240" w:lineRule="auto"/>
      </w:pPr>
      <w:r w:rsidRPr="00126D06">
        <w:rPr>
          <w:vertAlign w:val="superscript"/>
        </w:rPr>
        <w:t>b</w:t>
      </w:r>
      <w:r w:rsidRPr="00126D06">
        <w:t xml:space="preserve"> IBED, University of Amsterdam, </w:t>
      </w:r>
      <w:proofErr w:type="spellStart"/>
      <w:r w:rsidRPr="00126D06">
        <w:t>Sciencepark</w:t>
      </w:r>
      <w:proofErr w:type="spellEnd"/>
      <w:r w:rsidRPr="00126D06">
        <w:t xml:space="preserve"> 904, 1098 XH Amsterdam, the Netherlands</w:t>
      </w:r>
    </w:p>
    <w:p w:rsidR="00E6472C" w:rsidRPr="00126D06" w:rsidRDefault="00E6472C" w:rsidP="00901F58">
      <w:pPr>
        <w:spacing w:line="240" w:lineRule="auto"/>
        <w:rPr>
          <w:lang w:val="nl-NL"/>
        </w:rPr>
      </w:pPr>
      <w:r w:rsidRPr="00126D06">
        <w:rPr>
          <w:vertAlign w:val="superscript"/>
          <w:lang w:val="nl-NL"/>
        </w:rPr>
        <w:t>c</w:t>
      </w:r>
      <w:r w:rsidRPr="00126D06">
        <w:rPr>
          <w:lang w:val="nl-NL"/>
        </w:rPr>
        <w:t xml:space="preserve"> CML, University of Leiden, Einsteinweg 2, 2333 CC Leiden, </w:t>
      </w:r>
      <w:proofErr w:type="spellStart"/>
      <w:r w:rsidRPr="00126D06">
        <w:rPr>
          <w:lang w:val="nl-NL"/>
        </w:rPr>
        <w:t>the</w:t>
      </w:r>
      <w:proofErr w:type="spellEnd"/>
      <w:r w:rsidRPr="00126D06">
        <w:rPr>
          <w:lang w:val="nl-NL"/>
        </w:rPr>
        <w:t xml:space="preserve"> Netherlands</w:t>
      </w:r>
    </w:p>
    <w:p w:rsidR="00E6472C" w:rsidRPr="00126D06" w:rsidRDefault="00E6472C" w:rsidP="00901F58">
      <w:pPr>
        <w:spacing w:line="240" w:lineRule="auto"/>
      </w:pPr>
      <w:r w:rsidRPr="00126D06">
        <w:rPr>
          <w:vertAlign w:val="superscript"/>
        </w:rPr>
        <w:t xml:space="preserve">d </w:t>
      </w:r>
      <w:r w:rsidRPr="00126D06">
        <w:t xml:space="preserve">Marine Science Department, Faculty of Marine Science and Fisheries, </w:t>
      </w:r>
      <w:proofErr w:type="spellStart"/>
      <w:r w:rsidRPr="00126D06">
        <w:t>Hasanuddin</w:t>
      </w:r>
      <w:proofErr w:type="spellEnd"/>
      <w:r w:rsidRPr="00126D06">
        <w:t xml:space="preserve"> University, Jl. </w:t>
      </w:r>
      <w:proofErr w:type="spellStart"/>
      <w:r w:rsidRPr="00126D06">
        <w:t>Perintis</w:t>
      </w:r>
      <w:proofErr w:type="spellEnd"/>
      <w:r w:rsidRPr="00126D06">
        <w:t xml:space="preserve"> </w:t>
      </w:r>
      <w:proofErr w:type="spellStart"/>
      <w:r w:rsidRPr="00126D06">
        <w:t>Kemerdekaan</w:t>
      </w:r>
      <w:proofErr w:type="spellEnd"/>
      <w:r w:rsidRPr="00126D06">
        <w:t xml:space="preserve"> Km. 10 </w:t>
      </w:r>
      <w:proofErr w:type="spellStart"/>
      <w:r w:rsidRPr="00126D06">
        <w:t>Tamalenrea</w:t>
      </w:r>
      <w:proofErr w:type="spellEnd"/>
      <w:r w:rsidRPr="00126D06">
        <w:t>, Makassar 90245, Indonesia</w:t>
      </w:r>
    </w:p>
    <w:p w:rsidR="00E6472C" w:rsidRPr="00126D06" w:rsidRDefault="00E6472C" w:rsidP="00901F58">
      <w:pPr>
        <w:spacing w:line="240" w:lineRule="auto"/>
      </w:pPr>
      <w:r w:rsidRPr="00126D06">
        <w:rPr>
          <w:vertAlign w:val="superscript"/>
        </w:rPr>
        <w:t>e</w:t>
      </w:r>
      <w:r w:rsidRPr="00126D06">
        <w:t xml:space="preserve"> MARUM, University of Bremen, </w:t>
      </w:r>
      <w:proofErr w:type="spellStart"/>
      <w:r w:rsidRPr="00126D06">
        <w:t>Leobener</w:t>
      </w:r>
      <w:proofErr w:type="spellEnd"/>
      <w:r w:rsidRPr="00126D06">
        <w:t xml:space="preserve"> Str. 8, 28359 Bremen, Germany</w:t>
      </w:r>
    </w:p>
    <w:p w:rsidR="00E6472C" w:rsidRPr="00126D06" w:rsidRDefault="00E6472C" w:rsidP="00901F58">
      <w:pPr>
        <w:spacing w:line="240" w:lineRule="auto"/>
        <w:rPr>
          <w:b/>
        </w:rPr>
      </w:pPr>
    </w:p>
    <w:p w:rsidR="00E6472C" w:rsidRPr="00126D06" w:rsidRDefault="00E6472C" w:rsidP="00901F58">
      <w:pPr>
        <w:spacing w:line="240" w:lineRule="auto"/>
      </w:pPr>
      <w:r w:rsidRPr="00126D06">
        <w:rPr>
          <w:b/>
        </w:rPr>
        <w:t>Running title:</w:t>
      </w:r>
      <w:r w:rsidRPr="00126D06">
        <w:t xml:space="preserve"> Quantitative metabarcoding for foraminifera</w:t>
      </w:r>
    </w:p>
    <w:p w:rsidR="00E6472C" w:rsidRPr="00126D06" w:rsidRDefault="00E6472C" w:rsidP="00901F58">
      <w:pPr>
        <w:spacing w:line="240" w:lineRule="auto"/>
      </w:pPr>
    </w:p>
    <w:p w:rsidR="00E6472C" w:rsidRPr="00126D06" w:rsidRDefault="00E6472C" w:rsidP="00901F58">
      <w:pPr>
        <w:spacing w:line="240" w:lineRule="auto"/>
      </w:pPr>
      <w:r w:rsidRPr="00126D06">
        <w:rPr>
          <w:b/>
        </w:rPr>
        <w:t>Corresponding author:</w:t>
      </w:r>
      <w:r w:rsidRPr="00126D06">
        <w:t xml:space="preserve"> Elsa B. Girard</w:t>
      </w:r>
    </w:p>
    <w:p w:rsidR="00E6472C" w:rsidRPr="00126D06" w:rsidRDefault="00E6472C" w:rsidP="00901F58">
      <w:pPr>
        <w:spacing w:line="240" w:lineRule="auto"/>
      </w:pPr>
      <w:r w:rsidRPr="00126D06">
        <w:rPr>
          <w:b/>
        </w:rPr>
        <w:t>Email:</w:t>
      </w:r>
      <w:r w:rsidRPr="00126D06">
        <w:t xml:space="preserve"> elsa.girard@naturalis.nl</w:t>
      </w:r>
    </w:p>
    <w:p w:rsidR="00E6472C" w:rsidRPr="00126D06" w:rsidRDefault="00E6472C" w:rsidP="00901F58">
      <w:pPr>
        <w:spacing w:line="240" w:lineRule="auto"/>
        <w:rPr>
          <w:b/>
        </w:rPr>
      </w:pPr>
    </w:p>
    <w:p w:rsidR="00E6472C" w:rsidRPr="00126D06" w:rsidRDefault="00E6472C" w:rsidP="00E6472C">
      <w:pPr>
        <w:spacing w:line="240" w:lineRule="auto"/>
        <w:rPr>
          <w:b/>
        </w:rPr>
      </w:pPr>
    </w:p>
    <w:p w:rsidR="00E6472C" w:rsidRPr="00126D06" w:rsidRDefault="00E6472C" w:rsidP="00E6472C">
      <w:pPr>
        <w:spacing w:line="240" w:lineRule="auto"/>
        <w:rPr>
          <w:b/>
        </w:rPr>
      </w:pPr>
    </w:p>
    <w:p w:rsidR="00E6472C" w:rsidRPr="00126D06" w:rsidRDefault="00E6472C" w:rsidP="00E6472C">
      <w:pPr>
        <w:spacing w:line="240" w:lineRule="auto"/>
        <w:rPr>
          <w:b/>
        </w:rPr>
      </w:pPr>
    </w:p>
    <w:p w:rsidR="00510403" w:rsidRPr="006348AF" w:rsidRDefault="00510403"/>
    <w:p w:rsidR="00510403" w:rsidRPr="006348AF" w:rsidRDefault="00510403"/>
    <w:p w:rsidR="00510403" w:rsidRDefault="00510403"/>
    <w:p w:rsidR="000F5FA0" w:rsidRDefault="000F5FA0"/>
    <w:p w:rsidR="00510403" w:rsidRPr="006348AF" w:rsidRDefault="00510403"/>
    <w:p w:rsidR="00510403" w:rsidRPr="006348AF" w:rsidRDefault="006348AF">
      <w:pPr>
        <w:spacing w:after="0" w:line="240" w:lineRule="auto"/>
        <w:rPr>
          <w:rFonts w:ascii="Times New Roman" w:eastAsia="Times New Roman" w:hAnsi="Times New Roman" w:cs="Times New Roman"/>
          <w:sz w:val="24"/>
          <w:szCs w:val="24"/>
        </w:rPr>
      </w:pPr>
      <w:r w:rsidRPr="006348AF">
        <w:rPr>
          <w:rFonts w:ascii="Arial" w:eastAsia="Arial" w:hAnsi="Arial" w:cs="Arial"/>
          <w:b/>
          <w:color w:val="000000"/>
          <w:u w:val="single"/>
        </w:rPr>
        <w:t>Supplementary figures</w:t>
      </w:r>
    </w:p>
    <w:p w:rsidR="00510403" w:rsidRPr="006348AF" w:rsidRDefault="00510403">
      <w:pPr>
        <w:spacing w:after="0" w:line="240" w:lineRule="auto"/>
        <w:rPr>
          <w:rFonts w:ascii="Times New Roman" w:eastAsia="Times New Roman" w:hAnsi="Times New Roman" w:cs="Times New Roman"/>
          <w:sz w:val="24"/>
          <w:szCs w:val="24"/>
        </w:rPr>
      </w:pPr>
    </w:p>
    <w:p w:rsidR="00510403" w:rsidRPr="006348AF" w:rsidRDefault="00510403">
      <w:pPr>
        <w:spacing w:after="0" w:line="240" w:lineRule="auto"/>
        <w:rPr>
          <w:rFonts w:ascii="Times New Roman" w:eastAsia="Times New Roman" w:hAnsi="Times New Roman" w:cs="Times New Roman"/>
          <w:sz w:val="24"/>
          <w:szCs w:val="24"/>
        </w:rPr>
      </w:pPr>
    </w:p>
    <w:p w:rsidR="00510403" w:rsidRPr="006348AF" w:rsidRDefault="006348AF">
      <w:pPr>
        <w:spacing w:after="0" w:line="276" w:lineRule="auto"/>
        <w:rPr>
          <w:rFonts w:ascii="Arial" w:eastAsia="Arial" w:hAnsi="Arial" w:cs="Arial"/>
        </w:rPr>
      </w:pPr>
      <w:r w:rsidRPr="006348AF">
        <w:rPr>
          <w:rFonts w:ascii="Arial" w:eastAsia="Arial" w:hAnsi="Arial" w:cs="Arial"/>
          <w:noProof/>
        </w:rPr>
        <w:drawing>
          <wp:inline distT="114300" distB="114300" distL="114300" distR="114300">
            <wp:extent cx="5972810" cy="408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72810" cy="4089400"/>
                    </a:xfrm>
                    <a:prstGeom prst="rect">
                      <a:avLst/>
                    </a:prstGeom>
                    <a:ln/>
                  </pic:spPr>
                </pic:pic>
              </a:graphicData>
            </a:graphic>
          </wp:inline>
        </w:drawing>
      </w:r>
    </w:p>
    <w:p w:rsidR="00E6472C" w:rsidRDefault="00E6472C" w:rsidP="00E6472C">
      <w:pPr>
        <w:spacing w:after="0" w:line="276" w:lineRule="auto"/>
        <w:rPr>
          <w:rFonts w:ascii="Arial" w:eastAsia="Arial" w:hAnsi="Arial" w:cs="Arial"/>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rPr>
        <w:t xml:space="preserve">Figure S1. The similarity between all data types is shown by the species distribution along a depth gradient from the three islands studied, </w:t>
      </w:r>
      <w:proofErr w:type="spellStart"/>
      <w:r w:rsidRPr="006348AF">
        <w:rPr>
          <w:rFonts w:ascii="Arial" w:eastAsia="Arial" w:hAnsi="Arial" w:cs="Arial"/>
        </w:rPr>
        <w:t>Badi</w:t>
      </w:r>
      <w:proofErr w:type="spellEnd"/>
      <w:r w:rsidRPr="006348AF">
        <w:rPr>
          <w:rFonts w:ascii="Arial" w:eastAsia="Arial" w:hAnsi="Arial" w:cs="Arial"/>
        </w:rPr>
        <w:t xml:space="preserve">, </w:t>
      </w:r>
      <w:proofErr w:type="spellStart"/>
      <w:r w:rsidRPr="006348AF">
        <w:rPr>
          <w:rFonts w:ascii="Arial" w:eastAsia="Arial" w:hAnsi="Arial" w:cs="Arial"/>
        </w:rPr>
        <w:t>Lumu-lumu</w:t>
      </w:r>
      <w:proofErr w:type="spellEnd"/>
      <w:r w:rsidRPr="006348AF">
        <w:rPr>
          <w:rFonts w:ascii="Arial" w:eastAsia="Arial" w:hAnsi="Arial" w:cs="Arial"/>
        </w:rPr>
        <w:t xml:space="preserve"> and </w:t>
      </w:r>
      <w:proofErr w:type="spellStart"/>
      <w:r w:rsidRPr="006348AF">
        <w:rPr>
          <w:rFonts w:ascii="Arial" w:eastAsia="Arial" w:hAnsi="Arial" w:cs="Arial"/>
        </w:rPr>
        <w:t>Pajenekang</w:t>
      </w:r>
      <w:proofErr w:type="spellEnd"/>
      <w:r w:rsidRPr="006348AF">
        <w:rPr>
          <w:rFonts w:ascii="Arial" w:eastAsia="Arial" w:hAnsi="Arial" w:cs="Arial"/>
        </w:rPr>
        <w:t>. Proportion of genera for four data types (i.e. relative abundance, proportional surface area, relative pre-</w:t>
      </w:r>
      <w:r>
        <w:rPr>
          <w:rFonts w:ascii="Arial" w:eastAsia="Arial" w:hAnsi="Arial" w:cs="Arial"/>
        </w:rPr>
        <w:t xml:space="preserve"> and</w:t>
      </w:r>
      <w:r w:rsidRPr="006348AF">
        <w:rPr>
          <w:rFonts w:ascii="Arial" w:eastAsia="Arial" w:hAnsi="Arial" w:cs="Arial"/>
        </w:rPr>
        <w:t xml:space="preserve"> post-corrected number of reads).</w:t>
      </w:r>
    </w:p>
    <w:p w:rsidR="00510403" w:rsidRPr="006348AF" w:rsidRDefault="00510403" w:rsidP="00E6472C">
      <w:pPr>
        <w:spacing w:after="240" w:line="276" w:lineRule="auto"/>
        <w:rPr>
          <w:rFonts w:ascii="Times New Roman" w:eastAsia="Times New Roman" w:hAnsi="Times New Roman" w:cs="Times New Roman"/>
          <w:sz w:val="24"/>
          <w:szCs w:val="24"/>
        </w:rPr>
      </w:pPr>
    </w:p>
    <w:p w:rsidR="00510403" w:rsidRPr="006348AF" w:rsidRDefault="00510403" w:rsidP="00E6472C">
      <w:pPr>
        <w:spacing w:after="240" w:line="276" w:lineRule="auto"/>
        <w:rPr>
          <w:rFonts w:ascii="Times New Roman" w:eastAsia="Times New Roman" w:hAnsi="Times New Roman" w:cs="Times New Roman"/>
          <w:sz w:val="24"/>
          <w:szCs w:val="24"/>
        </w:rPr>
      </w:pPr>
    </w:p>
    <w:p w:rsidR="00510403" w:rsidRPr="006348AF" w:rsidRDefault="00510403" w:rsidP="00E6472C">
      <w:pPr>
        <w:spacing w:after="240" w:line="276" w:lineRule="auto"/>
        <w:rPr>
          <w:rFonts w:ascii="Times New Roman" w:eastAsia="Times New Roman" w:hAnsi="Times New Roman" w:cs="Times New Roman"/>
          <w:sz w:val="24"/>
          <w:szCs w:val="24"/>
        </w:rPr>
      </w:pPr>
    </w:p>
    <w:p w:rsidR="00510403" w:rsidRDefault="00510403" w:rsidP="00E6472C">
      <w:pPr>
        <w:spacing w:after="240" w:line="276" w:lineRule="auto"/>
        <w:rPr>
          <w:rFonts w:ascii="Times New Roman" w:eastAsia="Times New Roman" w:hAnsi="Times New Roman" w:cs="Times New Roman"/>
          <w:sz w:val="24"/>
          <w:szCs w:val="24"/>
        </w:rPr>
      </w:pPr>
    </w:p>
    <w:p w:rsidR="00901F58" w:rsidRDefault="00901F58" w:rsidP="00E6472C">
      <w:pPr>
        <w:spacing w:after="240" w:line="276" w:lineRule="auto"/>
        <w:rPr>
          <w:rFonts w:ascii="Times New Roman" w:eastAsia="Times New Roman" w:hAnsi="Times New Roman" w:cs="Times New Roman"/>
          <w:sz w:val="24"/>
          <w:szCs w:val="24"/>
        </w:rPr>
      </w:pPr>
    </w:p>
    <w:p w:rsidR="00901F58" w:rsidRDefault="00901F58" w:rsidP="00E6472C">
      <w:pPr>
        <w:spacing w:after="240" w:line="276" w:lineRule="auto"/>
        <w:rPr>
          <w:rFonts w:ascii="Times New Roman" w:eastAsia="Times New Roman" w:hAnsi="Times New Roman" w:cs="Times New Roman"/>
          <w:sz w:val="24"/>
          <w:szCs w:val="24"/>
        </w:rPr>
      </w:pPr>
    </w:p>
    <w:p w:rsidR="00901F58" w:rsidRDefault="00901F58" w:rsidP="00E6472C">
      <w:pPr>
        <w:spacing w:after="240" w:line="276" w:lineRule="auto"/>
        <w:rPr>
          <w:rFonts w:ascii="Times New Roman" w:eastAsia="Times New Roman" w:hAnsi="Times New Roman" w:cs="Times New Roman"/>
          <w:sz w:val="24"/>
          <w:szCs w:val="24"/>
        </w:rPr>
      </w:pPr>
    </w:p>
    <w:p w:rsidR="00901F58" w:rsidRPr="006348AF" w:rsidRDefault="00901F58" w:rsidP="00E6472C">
      <w:pPr>
        <w:spacing w:after="24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b/>
          <w:color w:val="000000"/>
          <w:u w:val="single"/>
        </w:rPr>
        <w:t>Supplementary tables</w:t>
      </w:r>
    </w:p>
    <w:p w:rsidR="00510403" w:rsidRPr="006348AF" w:rsidRDefault="00510403" w:rsidP="00E6472C">
      <w:pPr>
        <w:spacing w:after="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color w:val="000000"/>
        </w:rPr>
        <w:t>Table S1. Sampling details information, including category “Purpose” stating what the sample was used for (</w:t>
      </w:r>
      <w:proofErr w:type="spellStart"/>
      <w:r w:rsidRPr="006348AF">
        <w:rPr>
          <w:rFonts w:ascii="Arial" w:eastAsia="Arial" w:hAnsi="Arial" w:cs="Arial"/>
          <w:color w:val="000000"/>
        </w:rPr>
        <w:t>ddPCR</w:t>
      </w:r>
      <w:proofErr w:type="spellEnd"/>
      <w:r w:rsidRPr="006348AF">
        <w:rPr>
          <w:rFonts w:ascii="Arial" w:eastAsia="Arial" w:hAnsi="Arial" w:cs="Arial"/>
          <w:color w:val="000000"/>
        </w:rPr>
        <w:t>, Micro-CT scan and metabarcoding). </w:t>
      </w:r>
    </w:p>
    <w:p w:rsidR="00510403" w:rsidRPr="006348AF" w:rsidRDefault="00510403" w:rsidP="00E6472C">
      <w:pPr>
        <w:spacing w:after="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color w:val="000000"/>
        </w:rPr>
        <w:t xml:space="preserve">Table S2. Results from the </w:t>
      </w:r>
      <w:proofErr w:type="spellStart"/>
      <w:r w:rsidRPr="006348AF">
        <w:rPr>
          <w:rFonts w:ascii="Arial" w:eastAsia="Arial" w:hAnsi="Arial" w:cs="Arial"/>
          <w:color w:val="000000"/>
        </w:rPr>
        <w:t>ddPCR</w:t>
      </w:r>
      <w:proofErr w:type="spellEnd"/>
      <w:r w:rsidRPr="006348AF">
        <w:rPr>
          <w:rFonts w:ascii="Arial" w:eastAsia="Arial" w:hAnsi="Arial" w:cs="Arial"/>
          <w:color w:val="000000"/>
        </w:rPr>
        <w:t xml:space="preserve"> triplicate testing. Results show that the number of gene copies quantified for all three replicates for each sample and for each species have the same order of magnitude. Error scales up in samples with lower number of gene copies. Based on those results, we decided to perform only one replicate per sample.</w:t>
      </w:r>
    </w:p>
    <w:p w:rsidR="00510403" w:rsidRPr="006348AF" w:rsidRDefault="00510403" w:rsidP="00E6472C">
      <w:pPr>
        <w:spacing w:after="0" w:line="276" w:lineRule="auto"/>
        <w:rPr>
          <w:rFonts w:ascii="Times New Roman" w:eastAsia="Times New Roman" w:hAnsi="Times New Roman" w:cs="Times New Roman"/>
          <w:sz w:val="24"/>
          <w:szCs w:val="24"/>
        </w:rPr>
      </w:pPr>
    </w:p>
    <w:p w:rsidR="00843193" w:rsidRPr="006348AF" w:rsidRDefault="00843193" w:rsidP="00E6472C">
      <w:pPr>
        <w:spacing w:after="0" w:line="276" w:lineRule="auto"/>
        <w:rPr>
          <w:rFonts w:ascii="Times New Roman" w:eastAsia="Times New Roman" w:hAnsi="Times New Roman" w:cs="Times New Roman"/>
          <w:sz w:val="24"/>
          <w:szCs w:val="24"/>
        </w:rPr>
      </w:pPr>
      <w:r w:rsidRPr="006348AF">
        <w:rPr>
          <w:rFonts w:ascii="Arial" w:eastAsia="Arial" w:hAnsi="Arial" w:cs="Arial"/>
        </w:rPr>
        <w:t>Table S</w:t>
      </w:r>
      <w:r w:rsidR="006348AF" w:rsidRPr="006348AF">
        <w:rPr>
          <w:rFonts w:ascii="Arial" w:eastAsia="Arial" w:hAnsi="Arial" w:cs="Arial"/>
        </w:rPr>
        <w:t>3</w:t>
      </w:r>
      <w:r w:rsidRPr="006348AF">
        <w:rPr>
          <w:rFonts w:ascii="Arial" w:eastAsia="Arial" w:hAnsi="Arial" w:cs="Arial"/>
        </w:rPr>
        <w:t>. Data processing from the raw sequencing output to the ESV table, using APSCALE. Settings and software versions are included.</w:t>
      </w:r>
    </w:p>
    <w:p w:rsidR="00843193" w:rsidRPr="006348AF" w:rsidRDefault="00843193" w:rsidP="00E6472C">
      <w:pPr>
        <w:spacing w:after="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color w:val="000000"/>
        </w:rPr>
        <w:t xml:space="preserve">Table S4. Custom-built reference sequences for large benthic foraminifera in the </w:t>
      </w:r>
      <w:proofErr w:type="spellStart"/>
      <w:r w:rsidRPr="006348AF">
        <w:rPr>
          <w:rFonts w:ascii="Arial" w:eastAsia="Arial" w:hAnsi="Arial" w:cs="Arial"/>
          <w:color w:val="000000"/>
        </w:rPr>
        <w:t>Spermonde</w:t>
      </w:r>
      <w:proofErr w:type="spellEnd"/>
      <w:r w:rsidRPr="006348AF">
        <w:rPr>
          <w:rFonts w:ascii="Arial" w:eastAsia="Arial" w:hAnsi="Arial" w:cs="Arial"/>
          <w:color w:val="000000"/>
        </w:rPr>
        <w:t xml:space="preserve"> Archipelago </w:t>
      </w:r>
      <w:hyperlink r:id="rId8">
        <w:r w:rsidRPr="006348AF">
          <w:rPr>
            <w:rFonts w:ascii="Arial" w:eastAsia="Arial" w:hAnsi="Arial" w:cs="Arial"/>
            <w:color w:val="1155CC"/>
            <w:u w:val="single"/>
          </w:rPr>
          <w:t>(Girard et al. 2022)</w:t>
        </w:r>
      </w:hyperlink>
      <w:r w:rsidRPr="006348AF">
        <w:rPr>
          <w:rFonts w:ascii="Arial" w:eastAsia="Arial" w:hAnsi="Arial" w:cs="Arial"/>
          <w:color w:val="000000"/>
        </w:rPr>
        <w:t>.</w:t>
      </w:r>
    </w:p>
    <w:p w:rsidR="00510403" w:rsidRPr="006348AF" w:rsidRDefault="00510403" w:rsidP="00E6472C">
      <w:pPr>
        <w:spacing w:after="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color w:val="000000"/>
        </w:rPr>
        <w:t>Table S5. Complete results on the fit of the two models (linear and logarithmic) tested in this study, between the number of gene copies and the measured surface area, including formulas.</w:t>
      </w:r>
    </w:p>
    <w:p w:rsidR="00510403" w:rsidRPr="006348AF" w:rsidRDefault="00510403" w:rsidP="00E6472C">
      <w:pPr>
        <w:spacing w:after="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bookmarkStart w:id="1" w:name="_heading=h.gjdgxs" w:colFirst="0" w:colLast="0"/>
      <w:bookmarkEnd w:id="1"/>
      <w:r w:rsidRPr="006348AF">
        <w:rPr>
          <w:rFonts w:ascii="Arial" w:eastAsia="Arial" w:hAnsi="Arial" w:cs="Arial"/>
          <w:color w:val="000000"/>
        </w:rPr>
        <w:t>Table S</w:t>
      </w:r>
      <w:r w:rsidRPr="006348AF">
        <w:rPr>
          <w:rFonts w:ascii="Arial" w:eastAsia="Arial" w:hAnsi="Arial" w:cs="Arial"/>
        </w:rPr>
        <w:t>6</w:t>
      </w:r>
      <w:r w:rsidRPr="006348AF">
        <w:rPr>
          <w:rFonts w:ascii="Arial" w:eastAsia="Arial" w:hAnsi="Arial" w:cs="Arial"/>
          <w:color w:val="000000"/>
        </w:rPr>
        <w:t xml:space="preserve">. Welch Two Sample t-test and F-test analysis results showing whether the difference between estimations (raw reads and linearly corrected reads) and measurements (specimen counts and measured surface area) was statistically significant. </w:t>
      </w:r>
      <w:r w:rsidRPr="006348AF">
        <w:rPr>
          <w:rFonts w:ascii="Arial" w:eastAsia="Arial" w:hAnsi="Arial" w:cs="Arial"/>
        </w:rPr>
        <w:t>High significance is shown at p-value &lt; 0.01.</w:t>
      </w:r>
    </w:p>
    <w:p w:rsidR="00510403" w:rsidRPr="006348AF" w:rsidRDefault="00510403" w:rsidP="00E6472C">
      <w:pPr>
        <w:spacing w:after="0" w:line="276" w:lineRule="auto"/>
        <w:rPr>
          <w:rFonts w:ascii="Times New Roman" w:eastAsia="Times New Roman" w:hAnsi="Times New Roman" w:cs="Times New Roman"/>
          <w:sz w:val="24"/>
          <w:szCs w:val="24"/>
        </w:rPr>
      </w:pPr>
    </w:p>
    <w:p w:rsidR="00510403" w:rsidRPr="006348AF"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color w:val="000000"/>
        </w:rPr>
        <w:t>Table S</w:t>
      </w:r>
      <w:r w:rsidRPr="006348AF">
        <w:rPr>
          <w:rFonts w:ascii="Arial" w:eastAsia="Arial" w:hAnsi="Arial" w:cs="Arial"/>
        </w:rPr>
        <w:t>7</w:t>
      </w:r>
      <w:r w:rsidRPr="006348AF">
        <w:rPr>
          <w:rFonts w:ascii="Arial" w:eastAsia="Arial" w:hAnsi="Arial" w:cs="Arial"/>
          <w:color w:val="000000"/>
        </w:rPr>
        <w:t>. Pairwise t-test analysis results showing no significant difference between the proportion of different metrics (specimen counts, measured area, raw reads and linearly corrected reads). </w:t>
      </w:r>
    </w:p>
    <w:p w:rsidR="00510403" w:rsidRPr="006348AF" w:rsidRDefault="00510403" w:rsidP="00E6472C">
      <w:pPr>
        <w:spacing w:after="0" w:line="276" w:lineRule="auto"/>
        <w:rPr>
          <w:rFonts w:ascii="Times New Roman" w:eastAsia="Times New Roman" w:hAnsi="Times New Roman" w:cs="Times New Roman"/>
          <w:sz w:val="24"/>
          <w:szCs w:val="24"/>
        </w:rPr>
      </w:pPr>
    </w:p>
    <w:p w:rsidR="00510403" w:rsidRDefault="006348AF" w:rsidP="00E6472C">
      <w:pPr>
        <w:spacing w:after="0" w:line="276" w:lineRule="auto"/>
        <w:rPr>
          <w:rFonts w:ascii="Times New Roman" w:eastAsia="Times New Roman" w:hAnsi="Times New Roman" w:cs="Times New Roman"/>
          <w:sz w:val="24"/>
          <w:szCs w:val="24"/>
        </w:rPr>
      </w:pPr>
      <w:r w:rsidRPr="006348AF">
        <w:rPr>
          <w:rFonts w:ascii="Arial" w:eastAsia="Arial" w:hAnsi="Arial" w:cs="Arial"/>
          <w:color w:val="000000"/>
        </w:rPr>
        <w:t>Table S</w:t>
      </w:r>
      <w:r w:rsidRPr="006348AF">
        <w:rPr>
          <w:rFonts w:ascii="Arial" w:eastAsia="Arial" w:hAnsi="Arial" w:cs="Arial"/>
        </w:rPr>
        <w:t>8</w:t>
      </w:r>
      <w:r w:rsidRPr="006348AF">
        <w:rPr>
          <w:rFonts w:ascii="Arial" w:eastAsia="Arial" w:hAnsi="Arial" w:cs="Arial"/>
          <w:color w:val="000000"/>
        </w:rPr>
        <w:t>. Pairwise t-test analysis results showing no significant difference between the proportion of raw reads from unsorted and sorted samples and between the replicates.</w:t>
      </w:r>
    </w:p>
    <w:p w:rsidR="00510403" w:rsidRDefault="006348AF" w:rsidP="00E6472C">
      <w:pPr>
        <w:spacing w:line="276" w:lineRule="auto"/>
      </w:pPr>
      <w:r>
        <w:rPr>
          <w:rFonts w:ascii="Times New Roman" w:eastAsia="Times New Roman" w:hAnsi="Times New Roman" w:cs="Times New Roman"/>
          <w:sz w:val="24"/>
          <w:szCs w:val="24"/>
        </w:rPr>
        <w:br/>
      </w:r>
    </w:p>
    <w:sectPr w:rsidR="00510403">
      <w:headerReference w:type="default" r:id="rId9"/>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F9A" w:rsidRDefault="00B15F9A" w:rsidP="00901F58">
      <w:pPr>
        <w:spacing w:after="0" w:line="240" w:lineRule="auto"/>
      </w:pPr>
      <w:r>
        <w:separator/>
      </w:r>
    </w:p>
  </w:endnote>
  <w:endnote w:type="continuationSeparator" w:id="0">
    <w:p w:rsidR="00B15F9A" w:rsidRDefault="00B15F9A" w:rsidP="0090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F9A" w:rsidRDefault="00B15F9A" w:rsidP="00901F58">
      <w:pPr>
        <w:spacing w:after="0" w:line="240" w:lineRule="auto"/>
      </w:pPr>
      <w:r>
        <w:separator/>
      </w:r>
    </w:p>
  </w:footnote>
  <w:footnote w:type="continuationSeparator" w:id="0">
    <w:p w:rsidR="00B15F9A" w:rsidRDefault="00B15F9A" w:rsidP="0090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F58" w:rsidRDefault="00901F58" w:rsidP="004B0EE6">
    <w:pPr>
      <w:pStyle w:val="Header"/>
      <w:jc w:val="center"/>
    </w:pPr>
    <w:r>
      <w:rPr>
        <w:noProof/>
      </w:rPr>
      <w:drawing>
        <wp:inline distT="0" distB="0" distL="0" distR="0" wp14:anchorId="40ED44B9" wp14:editId="69724E29">
          <wp:extent cx="5531644" cy="876300"/>
          <wp:effectExtent l="0" t="0" r="0" b="0"/>
          <wp:docPr id="1" name="Picture 1" descr="http://onlinelibrary.wiley.com/store/10.1111/(ISSN)1755-0998/asset/olbannercenter.gif?v=1&amp;s=461bba13dc862037c63fd362e625b54da4c20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library.wiley.com/store/10.1111/(ISSN)1755-0998/asset/olbannercenter.gif?v=1&amp;s=461bba13dc862037c63fd362e625b54da4c20f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1644" cy="8763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403"/>
    <w:rsid w:val="000F5FA0"/>
    <w:rsid w:val="004B0EE6"/>
    <w:rsid w:val="00510403"/>
    <w:rsid w:val="006348AF"/>
    <w:rsid w:val="00843193"/>
    <w:rsid w:val="00901F58"/>
    <w:rsid w:val="00B15F9A"/>
    <w:rsid w:val="00BE77B0"/>
    <w:rsid w:val="00E647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9B07C-113B-42D5-8A84-9313AE5E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01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F58"/>
  </w:style>
  <w:style w:type="paragraph" w:styleId="Footer">
    <w:name w:val="footer"/>
    <w:basedOn w:val="Normal"/>
    <w:link w:val="FooterChar"/>
    <w:uiPriority w:val="99"/>
    <w:unhideWhenUsed/>
    <w:rsid w:val="00901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aperpile.com/c/2whfen/0SW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s+0x5KIi+NlGBUByv2IISTc4w==">CgMxLjAyCGguZ2pkZ3hzMghoLmdqZGd4czgAciExZFNaODNuZGFIMElQUW92Sk5VcndtNHVKdlFZM1NMeFI=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412</Words>
  <Characters>2468</Characters>
  <Application>Microsoft Office Word</Application>
  <DocSecurity>0</DocSecurity>
  <Lines>79</Lines>
  <Paragraphs>27</Paragraphs>
  <ScaleCrop>false</ScaleCrop>
  <HeadingPairs>
    <vt:vector size="2" baseType="variant">
      <vt:variant>
        <vt:lpstr>Title</vt:lpstr>
      </vt:variant>
      <vt:variant>
        <vt:i4>1</vt:i4>
      </vt:variant>
    </vt:vector>
  </HeadingPairs>
  <TitlesOfParts>
    <vt:vector size="1" baseType="lpstr">
      <vt:lpstr/>
    </vt:vector>
  </TitlesOfParts>
  <Company>Naturalis</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Elsa Girard</cp:lastModifiedBy>
  <cp:revision>6</cp:revision>
  <dcterms:created xsi:type="dcterms:W3CDTF">2024-06-19T12:52:00Z</dcterms:created>
  <dcterms:modified xsi:type="dcterms:W3CDTF">2024-06-20T08:05:00Z</dcterms:modified>
</cp:coreProperties>
</file>