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TECHNICAL COMPANION DOCUMENT</w:t>
      </w:r>
    </w:p>
    <w:p>
      <w:pPr>
        <w:spacing w:after="40"/>
      </w:pPr>
      <w:r>
        <w:rPr>
          <w:b/>
          <w:bCs/>
          <w:sz w:val="40"/>
          <w:szCs w:val="40"/>
        </w:rPr>
        <w:t xml:space="preserve">HR Recruitment &amp; Workforce Platform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Full-Feature Architecture · Workflows · Requirements Coverage &amp;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Bhavani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June 1,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technical review</w:t>
            </w:r>
          </w:p>
        </w:tc>
      </w:tr>
    </w:tbl>
    <w:p>
      <w:pPr>
        <w:pStyle w:val="Heading1"/>
        <w:pBdr>
          <w:bottom w:val="single" w:color="2E75B6" w:sz="6" w:space="4"/>
        </w:pBdr>
      </w:pPr>
      <w:r>
        <w:t xml:space="preserve">1. Purpose &amp; Scope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document is the engineering companion to the business proposal. It answers three questions: (a) how the full feature set — recruitment/ATS, HRMS, payroll, accounts &amp; finance, the AI engine and analytics — is architected; (b) how data and work flow through the system end to end; and (c) whether the requirements are fully covered by the proposed build plan, with an honest gap analysis where they are not.</w:t>
      </w:r>
    </w:p>
    <w:p>
      <w:pPr>
        <w:spacing w:after="80" w:before="80"/>
      </w:pPr>
      <w:r>
        <w:rPr>
          <w:b w:val="false"/>
          <w:bCs w:val="false"/>
          <w:i/>
          <w:iCs/>
        </w:rPr>
        <w:t xml:space="preserve">Headline finding (detailed in Sections 9–11): the feature catalogue is comprehensive and internally consistent — the “what” is well defined. The build plan in the proposal (3–4 developers over ~34 weeks) does not fully cover that scope — the “how, who and when” is under-scoped, chiefly for payroll statutory compliance and the full accounting suite. This document sets out what is covered, what is not, and a realistic path to close the gap.</w:t>
      </w:r>
    </w:p>
    <w:p>
      <w:pPr>
        <w:pStyle w:val="Heading1"/>
        <w:pBdr>
          <w:bottom w:val="single" w:color="2E75B6" w:sz="6" w:space="4"/>
        </w:pBdr>
      </w:pPr>
      <w:r>
        <w:t xml:space="preserve">2. System Architecture Overview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platform is a multi-tenant system built as a set of domain services behind a single API gateway, sharing one data layer and one cross-cutting AI engine. The diagram below shows the six logical layers.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470535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1 — Layered system architecture of the all-in-one platform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defining architectural choice is the shared data layer (Layer 5). Because recruitment, HRMS, payroll and accounts read and write the same tenant-scoped dataset, a candidate hired in the ATS becomes an employee, then a payslip, then a ledger entry without any module re-keying data. This is the source of the automation advantage — and also the reason tenant isolation, validation and audit must be first-class.</w:t>
      </w:r>
    </w:p>
    <w:p>
      <w:r>
        <w:t xml:space="preserve"> </w:t>
      </w:r>
    </w:p>
    <w:p>
      <w:pPr>
        <w:pStyle w:val="Heading2"/>
      </w:pPr>
      <w:r>
        <w:t xml:space="preserve">2.1 Technology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4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Next.js 14 / React / Tailwind; native iOS &amp; Android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Client, Candidate/Employee portals + chat bots; role-based routing on one codebase.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Gateway &amp; Auth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gateway; JWT + Google OAuth/SSO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Authn/authz, tenant + role scoping, rate limiting, request validation before any service.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Domain services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(core) + Python/FastAPI (AI)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Recruitment, HRMS, Payroll, Accounts, Analytics, AI — independently deployable.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Async backbone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RabbitMQ + Redis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Queues for email/SMS, BGV, payslip &amp; return generation, AI scoring, webhook retries.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layer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PostgreSQL, Elasticsearch, Redis, S3/R2, vector store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of record, search, cache, document storage, embeddings for AI match/RAG.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Job boards, GST/IRP-GSP, Razorpay, SendGrid/Twilio/Interakt, BGV, calendars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Outbound connectors to regulated and third-party systems.</w:t>
            </w:r>
          </w:p>
        </w:tc>
      </w:tr>
    </w:tbl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Note on “microservices”: at MVP scale a modular monolith (one deployable, clear module boundaries, one database with row-level security) is faster and cheaper to build and operate than true microservices, and can be split out later. The proposal’s microservices language is an aspiration, not a day-1 requirement — flagged again in Section 9.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</w:pPr>
      <w:r>
        <w:t xml:space="preserve">3. The Single-Dataset Backbone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same record is enriched at each stage of the lifecycle rather than copied between systems. This is what removes manual hand-offs.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6670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2 — One record flows from candidate to invoice; AI and governance act on every transition</w:t>
      </w:r>
    </w:p>
    <w:p>
      <w:pPr>
        <w:pStyle w:val="Heading2"/>
      </w:pPr>
      <w:r>
        <w:t xml:space="preserve">3.1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Owned by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Tenant (Client)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onboarding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Root of isolation; owns users, jobs, employees, invoices.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 / 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Linked to Job; converts to Employee on offer acceptance.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HRMS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from Candidate; owns attendance, leave, payroll inputs, assets.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Payroll Run / Payslip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Derives from Employee + attendance + leave; emits statutory liabilities.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Journal Voucher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Auto-posted from payroll, billing and expenses to the General Ledger.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Invoice / Receipt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 (AR)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for placement &amp; payroll-management fees; ties to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Cross-platform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Resume, offer, payslip, invoice — stored in S3/R2, referenced by entity.</w:t>
            </w:r>
          </w:p>
        </w:tc>
      </w:tr>
    </w:tbl>
    <w:p>
      <w:pPr>
        <w:pStyle w:val="Heading1"/>
        <w:pBdr>
          <w:bottom w:val="single" w:color="2E75B6" w:sz="6" w:space="4"/>
        </w:pBdr>
      </w:pPr>
      <w:r>
        <w:t xml:space="preserve">4. Component Architecture by Module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Each domain service is described by its main components, the key data it owns, and its external dependencies.</w:t>
      </w:r>
    </w:p>
    <w:p>
      <w:pPr>
        <w:pStyle w:val="Heading2"/>
      </w:pPr>
      <w:r>
        <w:t xml:space="preserve">4.1 Recruitment / 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JD Builder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AI-generated, ATS-optimised job descriptions from a brief.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engine (LLM)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Sourcing connectors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to and pull from job boards; passive outreach sequences.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Naukri/LinkedIn/Indeed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Resume parser &amp; matcher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Parse, score and semantically rank candidates.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OCR, embeddings, Elasticsearch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Interview orchestration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 sync, slot generation, video links, scorecards.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Google/Outlook, Zoom/Meet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Assessment &amp; BGV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 tests; trigger background verification.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BGV vendors, async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Offer &amp; comms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Branded offers, e-sign, rejection/waitlist mail.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engine, e-sign, SendGrid</w:t>
            </w:r>
          </w:p>
        </w:tc>
      </w:tr>
    </w:tbl>
    <w:p>
      <w:pPr>
        <w:pStyle w:val="Heading2"/>
      </w:pPr>
      <w:r>
        <w:t xml:space="preserve">4.2 HRMS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Employee master &amp; ESS/MSS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Records, self-service, org chart, document vault.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PostgreSQL, S3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Attendance &amp; 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Biometric/geo/web punch, shifts, regularisation.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app, device webhooks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Leave engine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 config, accruals, approvals, calendars.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 engine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Performance &amp; LMS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Goals/OKR, appraisals, courses, skill matrix.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engine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Expense, travel, assets, engagement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Claims, surveys, recognition, asset register.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OCR, AI sentiment, Accounts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Workflow engine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No-code approvals &amp; forms used by all modules.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Async backbone</w:t>
            </w:r>
          </w:p>
        </w:tc>
      </w:tr>
    </w:tbl>
    <w:p>
      <w:pPr>
        <w:pStyle w:val="Heading2"/>
      </w:pPr>
      <w:r>
        <w:t xml:space="preserve">4.3 Payroll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Salary structure &amp; run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CTC builder, multi-pay-group processing, arrears.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Attendance, leave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Statutory engine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PF, ESI, PT, TDS, LWF, gratuity calculation.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Compliance rule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Returns &amp; challans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ECR, Form 24Q, Form 16 generation.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Govt portals / GSP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Disbursement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Bank advice / NEFT / payout files.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Razorpay payouts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Accounting hand-off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journal vouchers to the ledger.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 (GL)</w:t>
            </w:r>
          </w:p>
        </w:tc>
      </w:tr>
    </w:tbl>
    <w:p>
      <w:pPr>
        <w:pStyle w:val="Heading2"/>
      </w:pPr>
      <w:r>
        <w:t xml:space="preserve">4.4 Accounts &amp;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General Ledger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Double-entry, chart of accounts, multi-entity.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 / AP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invoicing &amp; receipts; vendor bills &amp; payments.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Payroll, billing events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Tax engine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GST (GSTR-1/3B/2B), TDS/TCS, e-invoice IRN, e-way bill.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IRP / GSP, govt portals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Statement import, auto-reconciliation, vouchers.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Bank feeds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P&amp;L, Balance Sheet, Cash Flow, Trial Balance.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External sync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Tally / Zoho Books / QuickBooks import-export.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Those product APIs</w:t>
            </w:r>
          </w:p>
        </w:tc>
      </w:tr>
    </w:tbl>
    <w:p>
      <w:pPr>
        <w:pStyle w:val="Heading2"/>
      </w:pPr>
      <w:r>
        <w:t xml:space="preserve">4.5 AI &amp; Automation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LLM service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JD/offer/email/policy generation, summaries.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GPT-4o + embeddings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Matching &amp; ranking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Resume–JD semantic match, shortlisting.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Vector store, Elasticsearch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Predictive models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Attrition risk, payroll/expense anomaly, fraud.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Historical platform data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Conversational AI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24/7 candidate &amp; employee chatbot.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WhatsApp/web, RAG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AI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 &amp; extraction for resumes, BGV, invoices, receipts.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OCR, LLM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NL analytics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“Ask your data” queries + narrative reports.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layer, LLM</w:t>
            </w:r>
          </w:p>
        </w:tc>
      </w:tr>
    </w:tbl>
    <w:p>
      <w:pPr>
        <w:spacing w:after="80" w:before="80"/>
      </w:pPr>
      <w:r>
        <w:rPr>
          <w:b w:val="false"/>
          <w:bCs w:val="false"/>
          <w:i/>
          <w:iCs/>
        </w:rPr>
        <w:t xml:space="preserve">Reality note: the LLM, matching, document-AI and chatbot components are buildable from day one (they rely on third-party models). The predictive models (attrition, fraud, anomaly) face a cold-start problem — they need months of the platform’s own historical data before they are accurate, so they are realistically post-launch, not MVP.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</w:pPr>
      <w:r>
        <w:t xml:space="preserve">5. Integration Architecture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Several integrations are regulated or business-critical and carry real delivery risk. They are isolated behind the async backbone with retries, so a third-party outage degrades gracefully rather than blocking a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/ note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GST IRP via GSP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e-invoice IRN, e-way bill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Regulated; requires a licensed GSP and certification — lead time.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Statutory portals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PF/ESI/TDS returns &amp; challans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liability; formats change with budgets/rules.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Razorpay payouts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Salary &amp; vendor disbursement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Money movement — needs KYC, reconciliation, audit, error handling.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 boards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Posting &amp; sourcing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has its own API, quotas and contracts.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BGV vendors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Background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Async, slow, vendor-dependent SLAs.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Comms (SendGrid/Twilio/Interakt)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Email/SMS/WhatsApp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WhatsApp Business API needs template approval.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Calendars / video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Scheduling &amp; interviews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OAuth scopes per provider.</w:t>
            </w:r>
          </w:p>
        </w:tc>
      </w:tr>
    </w:tbl>
    <w:p>
      <w:pPr>
        <w:pStyle w:val="Heading1"/>
        <w:pBdr>
          <w:bottom w:val="single" w:color="2E75B6" w:sz="6" w:space="4"/>
        </w:pBdr>
      </w:pPr>
      <w:r>
        <w:t xml:space="preserve">6. Key End-to-End Workflows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Five workflows carry most of the operational value. Each is shown as the sequence of automated and human steps.</w:t>
      </w:r>
    </w:p>
    <w:p>
      <w:pPr>
        <w:pStyle w:val="Heading2"/>
      </w:pPr>
      <w:r>
        <w:t xml:space="preserve">6.1 Requisition → Hire →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 / Human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raises requisition in portal; AI drafts JD; HR reviews &amp; publishes.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+ human review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Multi-channel sourcing; resumes parsed, scored, shortlisted.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Assessments dispatched; interviews auto-scheduled with video links.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Panel scores; AI aggregates; client confirms selection.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decision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Offer generated + e-signed; rejections sent; employee record created.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kit, document checklist, IT/asset request dispatched.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</w:tbl>
    <w:p>
      <w:pPr>
        <w:pStyle w:val="Heading2"/>
      </w:pPr>
      <w:r>
        <w:t xml:space="preserve">6.2 Attendance → Payroll → Payslip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 / Human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 &amp; leave captured continuously through the month.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 run pulls attendance, leave, reimbursements, loans.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Statutory engine computes PF/ESI/PT/TDS; AI flags anomalies.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+ review on flags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 approved; payslips generated; bank/NEFT file produced.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approval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Disbursement via Razorpay; payslips published to 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</w:tbl>
    <w:p>
      <w:pPr>
        <w:pStyle w:val="Heading2"/>
      </w:pPr>
      <w:r>
        <w:t xml:space="preserve">6.3 Payroll → Accounting (auto-JV)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 / Human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 payroll emits salary, PF, ESI, TDS liability lines.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Journal vouchers posted to GL by cost centre / department.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Statutory liabilities scheduled in the compliance calendar.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reviews trial balance; period close.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</w:t>
            </w:r>
          </w:p>
        </w:tc>
      </w:tr>
    </w:tbl>
    <w:p>
      <w:pPr>
        <w:pStyle w:val="Heading2"/>
      </w:pPr>
      <w:r>
        <w:t xml:space="preserve">6.4 Client Billing → Invoice → Cash (AR)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 / Human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Billable event (placement fee / monthly payroll fee) detected.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GST invoice raised; IRN + e-way bill obtained via GSP.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sent; payment reminders (dunning) scheduled.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Receipt recorded; bank line auto-reconciled; AR ageing updated.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+ review</w:t>
            </w:r>
          </w:p>
        </w:tc>
      </w:tr>
    </w:tbl>
    <w:p>
      <w:pPr>
        <w:pStyle w:val="Heading2"/>
      </w:pPr>
      <w:r>
        <w:t xml:space="preserve">6.5 Continuous AI Automation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 / Human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transition emits an event to the AI engine.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Models score: match, attrition risk, anomaly, fraud, sentiment.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Below-threshold items proceed; flagged items routed to a human.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routing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decisions feed back as labels to improve the models.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+ retrain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</w:pPr>
      <w:r>
        <w:t xml:space="preserve">7. Non-Functional Requirements &amp; Coverage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Functional features are only half the requirement. For a platform that disburses salaries, files statutory returns and stores personal data, the non-functional requirements below are mandatory. Coverage is rated against the proposal as 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60"/>
        <w:gridCol w:w="28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 here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Covered?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Multi-tenancy isolation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breach must not cross tenants.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row-level security named; needs hard testing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protection (DPDP Act)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 &amp; salary data; Indian DPDP obligations.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— not addressed in proposal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Encryption at rest &amp; in transit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Sensitive PII and payments.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implied, not specified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trail &amp; immutability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Payroll/accounts need tamper-proof logs.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stated for accounts only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Payments compliance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Money movement, KYC, reconciliation.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— relies on Razorpay; controls undefined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Statutory accuracy &amp; liability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PF/TDS = penalties for clients.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— no QA/compliance workstream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Availability / DR / backups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 has hard monthly deadlines.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infra named, no SLA/DR plan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Multi-tenant growth.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Adequate — stack supports 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 failures before payroll day.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CI/CD named, monitoring not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Security certification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 clients ask for SOC2/ISO 27001.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— not planned</w:t>
            </w:r>
          </w:p>
        </w:tc>
      </w:tr>
    </w:tbl>
    <w:p>
      <w:pPr>
        <w:pStyle w:val="Heading1"/>
        <w:pBdr>
          <w:bottom w:val="single" w:color="2E75B6" w:sz="6" w:space="4"/>
        </w:pBdr>
      </w:pPr>
      <w:r>
        <w:t xml:space="preserve">8. Functional Requirements Coverage Matrix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Each pillar is rated for how completely the proposal’s plan covers it. “Defined” = features are specified; “Build plan” = whether team &amp; timeline realistically deliver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60"/>
        <w:gridCol w:w="38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Features defined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Build plan covers it?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Recruitment / ATS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8 modules, detailed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realistic for MVP (Phases 1–4)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HRMS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14 modules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light HRMS feasible; full suite is not in 34 weeks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Payroll + statutory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detailed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8 weeks (Ph.5) is far too little to build &amp; certify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Accounts &amp; Finance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12 modules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not allocated build time; an ERP-scale effort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engine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18 capabilities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LLM/match/chat yes; predictive models post-launch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Analytics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feasible (Phase 6)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Non-functional / compliance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security, DPDP, DR, audit not planned</w:t>
            </w:r>
          </w:p>
        </w:tc>
      </w:tr>
    </w:tbl>
    <w:p>
      <w:pPr>
        <w:pStyle w:val="Heading1"/>
        <w:pBdr>
          <w:bottom w:val="single" w:color="2E75B6" w:sz="6" w:space="4"/>
        </w:pBdr>
      </w:pPr>
      <w:r>
        <w:t xml:space="preserve">9. Gap Analysis &amp; Reality Check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Direct answer to “is it fully covered or not?” — the requirements are fully defined, but the build plan does not fully cover them. The feature list quietly grew from a recruitment platform into three products: an ATS, a full HRMS+payroll suite, and an accounting/ERP system, all with an AI layer. The original 3–4 developer / ~34-week plan was scoped for the first of those only.</w:t>
      </w:r>
    </w:p>
    <w:p>
      <w:r>
        <w:t xml:space="preserve"> </w:t>
      </w:r>
    </w:p>
    <w:p>
      <w:pPr>
        <w:pStyle w:val="Heading2"/>
      </w:pPr>
      <w:r>
        <w:t xml:space="preserve">9.1 The biggest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Payroll statutory compliance is a regulated, high-liability domain. Established players spent years getting PF/ESI/PT/TDS, Form 24Q and Form 16 correct across states. Eight weeks cannot build and certify this safely.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full accounting suite (double-entry GL, GST returns, e-invoicing IRN via a licensed GSP, TDS returns, financial statements) is an ERP-scale product on its own and has no dedicated build time in the roadmap.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Predictive AI (attrition, fraud, anomaly) needs the platform’s own historical data to be accurate — a cold-start problem. These are realistically 6–12 months after launch, not in the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Non-functional &amp; compliance work — DPDP Act, encryption specifics, payments/KYC controls, audit immutability, DR, and SOC2/ISO 27001 for enterprise deals — is largely absent and is mandatory for a payroll/finance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Team &amp; timeline: 3–4 developers cannot deliver ATS + HRMS + payroll + accounts + AI in under a year. Realistic for the full all-in-one build is roughly 18–36 months with multiple squads (15–30+ people), or a build-vs-buy strategy.</w:t>
      </w:r>
    </w:p>
    <w:p>
      <w:r>
        <w:t xml:space="preserve"> </w:t>
      </w:r>
    </w:p>
    <w:p>
      <w:pPr>
        <w:pStyle w:val="Heading2"/>
      </w:pPr>
      <w:r>
        <w:t xml:space="preserve">9.2 What IS solidly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recruitment/ATS MVP — sourcing, parsing, scoring, scheduling, offers — is well specified and realistically deliverable in the stated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LLM-based features (JD/offer/email generation, summaries), semantic matching and the chatbot rely on mature third-party models and are buildable 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architecture itself is sound: multi-tenant, shared dataset, async backbone, AI as a cross-cutting layer. The shape is right even if the schedule is not.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</w:pPr>
      <w:r>
        <w:t xml:space="preserve">10. Recommendations &amp; Revised Plan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The fastest, safest route to the all-in-one vision is to build the differentiated core and integrate the commodity, high-liability parts rather than build them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Recruitment / ATS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in-house — this is the differentiator.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the AI advantage lives; manageable scope.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Light HRMS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core (employee, leave, attendance, ESS).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Needed for the single-dataset story; feasible.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Payroll + statutory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Integrate / white-label (e.g. GreytHR/Keka APIs).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 years of compliance liability; proposal already hints at this.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Accounts &amp; Finance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Integrate Zoho Books / Tally; sync, don’t rebuild.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ERP-scale; reuse a certified engine.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Predictive AI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after launch once data exists.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Cold-start; ship LLM/chat features first.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Compliance &amp; security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dedicated workstream from day one.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DPDP, audit, DR, payments controls are mandatory.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 &amp; timeline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Re-scope MVP; resize team to the chosen build-vs-buy mix.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Aligns delivery with reality.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10.1 Suggested realistic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4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 — ATS MVP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1–4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Recruitment + LLM features + light HRMS + analytics.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— Integrate payroll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4–7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 via partner API; statutory handled by partner.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— Integrate accounting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6–9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Zoho/Tally sync for billing &amp; ledger.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 — Compliance hardening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7–10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DPDP, audit, DR, security review / certification 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 — Predictive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10–16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Attrition, anomaly, fraud once data has accumulated.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 — Own payroll (optional)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16–30+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 partner with in-house engine only if volume justifies it.</w:t>
            </w:r>
          </w:p>
        </w:tc>
      </w:tr>
    </w:tbl>
    <w:p>
      <w:pPr>
        <w:pStyle w:val="Heading1"/>
        <w:pBdr>
          <w:bottom w:val="single" w:color="2E75B6" w:sz="6" w:space="4"/>
        </w:pBdr>
      </w:pPr>
      <w:r>
        <w:t xml:space="preserve">11. Verdict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Is it fully covered? The requirements and architecture are — yes, comprehensively defined and coherent. The build plan is not: as written it materially under-scopes payroll compliance, the accounting suite, predictive AI, and the entire non-functional/compliance dimension, and the team and timeline are sized for roughly one third of the actual scope.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This is fixable and does not require cutting the vision. Build the recruitment/ATS core and light HRMS in-house, integrate certified payroll and accounting engines instead of rebuilding them, phase predictive AI until data exists, and add a compliance/security workstream. With that build-vs-buy mix the all-in-one platform is realistic; as a from-scratch build by a small team in eight months, it is not.</w:t>
      </w:r>
    </w:p>
    <w:p>
      <w:r>
        <w:t xml:space="preserve"> 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End of technical companion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Prepared by Bhavani  |  June 1, 2025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HR Platform — Technical Companion</w:t>
    </w:r>
    <w:r>
      <w:rPr>
        <w:b/>
        <w:bCs/>
        <w:color w:val="2E75B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683172de25c5e5f59b7152e1ebeb2b1702999e.png"/><Relationship Id="rId10" Type="http://schemas.openxmlformats.org/officeDocument/2006/relationships/image" Target="media/9052831f0e72a4196e6893c61e864dd95d8957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2026-06-01T13:44:22.438Z</dcterms:created>
  <dcterms:modified xsi:type="dcterms:W3CDTF">2026-06-01T13:44:22.438Z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