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841" w:rsidRPr="00932841" w:rsidRDefault="00932841" w:rsidP="000F3F81">
      <w:pPr>
        <w:pStyle w:val="Heading1"/>
      </w:pPr>
      <w:bookmarkStart w:id="0" w:name="_GoBack"/>
      <w:bookmarkEnd w:id="0"/>
      <w:r w:rsidRPr="00932841">
        <w:t>Supplementary information</w:t>
      </w:r>
    </w:p>
    <w:p w:rsidR="00932841" w:rsidRPr="00932841" w:rsidRDefault="00932841" w:rsidP="00932841">
      <w:pPr>
        <w:rPr>
          <w:rFonts w:cstheme="minorHAnsi"/>
          <w:b/>
        </w:rPr>
      </w:pPr>
      <w:r w:rsidRPr="00932841">
        <w:rPr>
          <w:rFonts w:cstheme="minorHAnsi"/>
          <w:b/>
        </w:rPr>
        <w:t>LPS-induced NF-kappa B activation as described in the literature.</w:t>
      </w:r>
    </w:p>
    <w:p w:rsidR="00932841" w:rsidRDefault="00932841" w:rsidP="00932841">
      <w:pPr>
        <w:rPr>
          <w:rFonts w:cstheme="minorHAnsi"/>
        </w:rPr>
      </w:pPr>
      <w:r w:rsidRPr="00883707">
        <w:rPr>
          <w:rFonts w:cstheme="minorHAnsi"/>
        </w:rPr>
        <w:t xml:space="preserve">The pathway can be split into three modules: 1) The MyD88-dependent pathway, 2) The TRIF-dependent pathway, 3) IκB-NF-κB signalling. </w:t>
      </w:r>
    </w:p>
    <w:p w:rsidR="00932841" w:rsidRDefault="00932841" w:rsidP="00932841">
      <w:pPr>
        <w:rPr>
          <w:rFonts w:cstheme="minorHAnsi"/>
        </w:rPr>
      </w:pPr>
      <w:r w:rsidRPr="00883707">
        <w:rPr>
          <w:rFonts w:cstheme="minorHAnsi"/>
        </w:rPr>
        <w:t>The reactions that describe LPS activation of its receptor Toll Like Receptor 4 (TLR4) are common to both modules 1 and 2: LP</w:t>
      </w:r>
      <w:r>
        <w:rPr>
          <w:rFonts w:cstheme="minorHAnsi"/>
        </w:rPr>
        <w:t>S binds to LPS-binding protein (</w:t>
      </w:r>
      <w:r w:rsidRPr="00883707">
        <w:rPr>
          <w:rFonts w:cstheme="minorHAnsi"/>
        </w:rPr>
        <w:t>LBP</w:t>
      </w:r>
      <w:r>
        <w:rPr>
          <w:rFonts w:cstheme="minorHAnsi"/>
        </w:rPr>
        <w:t>)</w:t>
      </w:r>
      <w:r w:rsidR="000F3F81" w:rsidRPr="000F3F81">
        <w:rPr>
          <w:rFonts w:cstheme="minorHAnsi"/>
          <w:noProof/>
        </w:rPr>
        <w:t>[1]</w:t>
      </w:r>
      <w:r w:rsidRPr="00883707">
        <w:rPr>
          <w:rFonts w:cstheme="minorHAnsi"/>
        </w:rPr>
        <w:t xml:space="preserve"> and this complex binds to and activates CD14 on the cell membrane</w:t>
      </w:r>
      <w:r>
        <w:rPr>
          <w:rFonts w:cstheme="minorHAnsi"/>
        </w:rPr>
        <w:t xml:space="preserve"> </w:t>
      </w:r>
      <w:r w:rsidR="000F3F81" w:rsidRPr="000F3F81">
        <w:rPr>
          <w:rFonts w:cstheme="minorHAnsi"/>
          <w:noProof/>
        </w:rPr>
        <w:t>[2]</w:t>
      </w:r>
      <w:r>
        <w:rPr>
          <w:rFonts w:cstheme="minorHAnsi"/>
        </w:rPr>
        <w:t>.</w:t>
      </w:r>
      <w:r w:rsidRPr="00883707">
        <w:rPr>
          <w:rFonts w:cstheme="minorHAnsi"/>
        </w:rPr>
        <w:t xml:space="preserve"> CD14 then helps transport the LPS-LBP complex to TLR4 where LPS activates the receptor</w:t>
      </w:r>
      <w:r>
        <w:rPr>
          <w:rFonts w:cstheme="minorHAnsi"/>
        </w:rPr>
        <w:t xml:space="preserve"> </w:t>
      </w:r>
      <w:r w:rsidR="000F3F81" w:rsidRPr="000F3F81">
        <w:rPr>
          <w:rFonts w:cstheme="minorHAnsi"/>
          <w:noProof/>
        </w:rPr>
        <w:t>[3–6]</w:t>
      </w:r>
      <w:r>
        <w:rPr>
          <w:rFonts w:cstheme="minorHAnsi"/>
        </w:rPr>
        <w:t>.</w:t>
      </w:r>
      <w:r w:rsidRPr="00883707">
        <w:rPr>
          <w:rFonts w:cstheme="minorHAnsi"/>
        </w:rPr>
        <w:t xml:space="preserve"> </w:t>
      </w:r>
    </w:p>
    <w:p w:rsidR="00932841" w:rsidRPr="00883707" w:rsidRDefault="00932841" w:rsidP="00932841">
      <w:pPr>
        <w:rPr>
          <w:rFonts w:cstheme="minorHAnsi"/>
        </w:rPr>
      </w:pPr>
      <w:r w:rsidRPr="00883707">
        <w:rPr>
          <w:rFonts w:cstheme="minorHAnsi"/>
        </w:rPr>
        <w:t>Further downstream sig</w:t>
      </w:r>
      <w:r>
        <w:rPr>
          <w:rFonts w:cstheme="minorHAnsi"/>
        </w:rPr>
        <w:t>nalling occurs via two pathways:</w:t>
      </w:r>
      <w:r w:rsidRPr="00883707">
        <w:rPr>
          <w:rFonts w:cstheme="minorHAnsi"/>
        </w:rPr>
        <w:t xml:space="preserve"> one dependent on Myeloid Differentiation Primary Response Gene 88 (MyD88) and </w:t>
      </w:r>
      <w:r>
        <w:rPr>
          <w:rFonts w:cstheme="minorHAnsi"/>
        </w:rPr>
        <w:t>the other</w:t>
      </w:r>
      <w:r w:rsidRPr="00883707">
        <w:rPr>
          <w:rFonts w:cstheme="minorHAnsi"/>
        </w:rPr>
        <w:t xml:space="preserve"> dependent on Tir-Domain-Containing Adapter-Inducing Interferon-β (TRIF). The MyD88-dependent pathway is largely responsible for the expression of proinflammatory cytokines</w:t>
      </w:r>
      <w:r>
        <w:rPr>
          <w:rFonts w:cstheme="minorHAnsi"/>
        </w:rPr>
        <w:t xml:space="preserve"> </w:t>
      </w:r>
      <w:r w:rsidR="000F3F81" w:rsidRPr="000F3F81">
        <w:rPr>
          <w:rFonts w:cstheme="minorHAnsi"/>
          <w:noProof/>
        </w:rPr>
        <w:t>[7–12]</w:t>
      </w:r>
      <w:r>
        <w:rPr>
          <w:rFonts w:cstheme="minorHAnsi"/>
        </w:rPr>
        <w:t>,</w:t>
      </w:r>
      <w:r w:rsidRPr="00883707">
        <w:rPr>
          <w:rFonts w:cstheme="minorHAnsi"/>
        </w:rPr>
        <w:t xml:space="preserve"> and the main role of the TRIF-dependent pathway is to induce expression of co-stimulatory molecules and IFN-inducible genes</w:t>
      </w:r>
      <w:r>
        <w:rPr>
          <w:rFonts w:cstheme="minorHAnsi"/>
        </w:rPr>
        <w:t xml:space="preserve"> </w:t>
      </w:r>
      <w:r w:rsidR="000F3F81" w:rsidRPr="000F3F81">
        <w:rPr>
          <w:rFonts w:cstheme="minorHAnsi"/>
          <w:noProof/>
        </w:rPr>
        <w:t>[13–16]</w:t>
      </w:r>
      <w:r>
        <w:rPr>
          <w:rFonts w:cstheme="minorHAnsi"/>
        </w:rPr>
        <w:t>.</w:t>
      </w:r>
      <w:r w:rsidRPr="00883707">
        <w:rPr>
          <w:rFonts w:cstheme="minorHAnsi"/>
        </w:rPr>
        <w:t xml:space="preserve"> NF-κB can be activated via either pathway, and </w:t>
      </w:r>
      <w:r w:rsidRPr="007C7C94">
        <w:rPr>
          <w:rFonts w:cstheme="minorHAnsi"/>
          <w:i/>
        </w:rPr>
        <w:t>in vivo</w:t>
      </w:r>
      <w:r w:rsidRPr="00883707">
        <w:rPr>
          <w:rFonts w:cstheme="minorHAnsi"/>
        </w:rPr>
        <w:t xml:space="preserve"> the two pathways probably interact to maximise expression of inflammatory cytokines</w:t>
      </w:r>
      <w:r>
        <w:rPr>
          <w:rFonts w:cstheme="minorHAnsi"/>
        </w:rPr>
        <w:t xml:space="preserve"> </w:t>
      </w:r>
      <w:r w:rsidR="000F3F81" w:rsidRPr="000F3F81">
        <w:rPr>
          <w:rFonts w:cstheme="minorHAnsi"/>
          <w:noProof/>
        </w:rPr>
        <w:t>[17]</w:t>
      </w:r>
      <w:r>
        <w:rPr>
          <w:rFonts w:cstheme="minorHAnsi"/>
        </w:rPr>
        <w:t>.</w:t>
      </w:r>
      <w:r w:rsidRPr="00883707">
        <w:rPr>
          <w:rFonts w:cstheme="minorHAnsi"/>
        </w:rPr>
        <w:t xml:space="preserve"> </w:t>
      </w:r>
    </w:p>
    <w:p w:rsidR="00932841" w:rsidRPr="00883707" w:rsidRDefault="00932841" w:rsidP="00932841">
      <w:pPr>
        <w:rPr>
          <w:rFonts w:cstheme="minorHAnsi"/>
        </w:rPr>
      </w:pPr>
      <w:r w:rsidRPr="00883707">
        <w:rPr>
          <w:rFonts w:cstheme="minorHAnsi"/>
        </w:rPr>
        <w:t>Module 1) The MyD88-dependent pathway</w:t>
      </w:r>
    </w:p>
    <w:p w:rsidR="00932841" w:rsidRPr="00883707" w:rsidRDefault="00932841" w:rsidP="00932841">
      <w:pPr>
        <w:ind w:left="720"/>
        <w:rPr>
          <w:rFonts w:cstheme="minorHAnsi"/>
        </w:rPr>
      </w:pPr>
      <w:r w:rsidRPr="00883707">
        <w:rPr>
          <w:rFonts w:cstheme="minorHAnsi"/>
        </w:rPr>
        <w:t>The MyD88-dependent pathway begins when TIRAP (toll-interleukin 1 receptor domain containing adaptor protein) is recruited to the cytoplasmic domain of TLR4</w:t>
      </w:r>
      <w:r>
        <w:rPr>
          <w:rFonts w:cstheme="minorHAnsi"/>
        </w:rPr>
        <w:t xml:space="preserve"> </w:t>
      </w:r>
      <w:r w:rsidR="000F3F81" w:rsidRPr="000F3F81">
        <w:rPr>
          <w:rFonts w:cstheme="minorHAnsi"/>
          <w:noProof/>
        </w:rPr>
        <w:t>[18,19]</w:t>
      </w:r>
      <w:r>
        <w:rPr>
          <w:rFonts w:cstheme="minorHAnsi"/>
        </w:rPr>
        <w:t>.</w:t>
      </w:r>
      <w:r w:rsidRPr="00883707">
        <w:rPr>
          <w:rFonts w:cstheme="minorHAnsi"/>
        </w:rPr>
        <w:t xml:space="preserve"> TIRAP recruits MyD88</w:t>
      </w:r>
      <w:r>
        <w:rPr>
          <w:rFonts w:cstheme="minorHAnsi"/>
        </w:rPr>
        <w:t xml:space="preserve"> </w:t>
      </w:r>
      <w:r w:rsidR="000F3F81" w:rsidRPr="000F3F81">
        <w:rPr>
          <w:rFonts w:cstheme="minorHAnsi"/>
          <w:noProof/>
        </w:rPr>
        <w:t>[18–20]</w:t>
      </w:r>
      <w:r>
        <w:rPr>
          <w:rFonts w:cstheme="minorHAnsi"/>
        </w:rPr>
        <w:t>,</w:t>
      </w:r>
      <w:r w:rsidRPr="00883707">
        <w:rPr>
          <w:rFonts w:cstheme="minorHAnsi"/>
        </w:rPr>
        <w:t xml:space="preserve"> which binds IRAK4 (interleukin-1 receptor-associated kinase 4),</w:t>
      </w:r>
      <w:r w:rsidR="000F3F81" w:rsidRPr="000F3F81">
        <w:rPr>
          <w:rFonts w:cstheme="minorHAnsi"/>
          <w:noProof/>
        </w:rPr>
        <w:t>[21,22]</w:t>
      </w:r>
      <w:r w:rsidRPr="00883707">
        <w:rPr>
          <w:rFonts w:cstheme="minorHAnsi"/>
        </w:rPr>
        <w:t xml:space="preserve"> IRAK1 (interleukin-1 receptor-associated kinase 1)</w:t>
      </w:r>
      <w:r w:rsidR="000F3F81" w:rsidRPr="000F3F81">
        <w:rPr>
          <w:rFonts w:cstheme="minorHAnsi"/>
          <w:noProof/>
        </w:rPr>
        <w:t>[23]</w:t>
      </w:r>
      <w:r w:rsidRPr="00883707">
        <w:rPr>
          <w:rFonts w:cstheme="minorHAnsi"/>
        </w:rPr>
        <w:t xml:space="preserve"> and TRAF6 (TNF receptor associated factor 6)</w:t>
      </w:r>
      <w:r>
        <w:rPr>
          <w:rFonts w:cstheme="minorHAnsi"/>
        </w:rPr>
        <w:t xml:space="preserve"> </w:t>
      </w:r>
      <w:r w:rsidR="000F3F81" w:rsidRPr="000F3F81">
        <w:rPr>
          <w:rFonts w:cstheme="minorHAnsi"/>
          <w:noProof/>
        </w:rPr>
        <w:t>[24,25]</w:t>
      </w:r>
      <w:r>
        <w:rPr>
          <w:rFonts w:cstheme="minorHAnsi"/>
        </w:rPr>
        <w:t>.</w:t>
      </w:r>
      <w:r w:rsidRPr="00883707">
        <w:rPr>
          <w:rFonts w:cstheme="minorHAnsi"/>
        </w:rPr>
        <w:t xml:space="preserve"> IRAK1 is phosphorylated by IRAK4</w:t>
      </w:r>
      <w:r>
        <w:rPr>
          <w:rFonts w:cstheme="minorHAnsi"/>
        </w:rPr>
        <w:t xml:space="preserve"> </w:t>
      </w:r>
      <w:r w:rsidR="000F3F81" w:rsidRPr="000F3F81">
        <w:rPr>
          <w:rFonts w:cstheme="minorHAnsi"/>
          <w:noProof/>
        </w:rPr>
        <w:t>[21,26,27]</w:t>
      </w:r>
      <w:r w:rsidRPr="00883707">
        <w:rPr>
          <w:rFonts w:cstheme="minorHAnsi"/>
        </w:rPr>
        <w:t xml:space="preserve"> and then the IRAK1/TRAF6 complex dissociates from the receptor</w:t>
      </w:r>
      <w:r w:rsidR="000F3F81" w:rsidRPr="000F3F81">
        <w:rPr>
          <w:rFonts w:cstheme="minorHAnsi"/>
          <w:noProof/>
        </w:rPr>
        <w:t>[23,27]</w:t>
      </w:r>
      <w:r>
        <w:rPr>
          <w:rFonts w:cstheme="minorHAnsi"/>
        </w:rPr>
        <w:t xml:space="preserve">. </w:t>
      </w:r>
      <w:r w:rsidRPr="00883707">
        <w:rPr>
          <w:rFonts w:cstheme="minorHAnsi"/>
        </w:rPr>
        <w:t xml:space="preserve">TRAF6 then interacts with a complex consisting </w:t>
      </w:r>
      <w:r>
        <w:rPr>
          <w:rFonts w:cstheme="minorHAnsi"/>
        </w:rPr>
        <w:t xml:space="preserve">of the MAPK kinase kinase </w:t>
      </w:r>
      <w:r w:rsidRPr="00883707">
        <w:rPr>
          <w:rFonts w:cstheme="minorHAnsi"/>
        </w:rPr>
        <w:t xml:space="preserve">transforming growth factor-beta-activated </w:t>
      </w:r>
      <w:r w:rsidRPr="00883707">
        <w:rPr>
          <w:rFonts w:cstheme="minorHAnsi"/>
        </w:rPr>
        <w:lastRenderedPageBreak/>
        <w:t>kinase 1</w:t>
      </w:r>
      <w:r>
        <w:rPr>
          <w:rFonts w:cstheme="minorHAnsi"/>
        </w:rPr>
        <w:t xml:space="preserve"> (TAK1</w:t>
      </w:r>
      <w:r w:rsidRPr="00883707">
        <w:rPr>
          <w:rFonts w:cstheme="minorHAnsi"/>
        </w:rPr>
        <w:t>) and its binding proteins TAB1 and TAB2</w:t>
      </w:r>
      <w:r>
        <w:rPr>
          <w:rFonts w:cstheme="minorHAnsi"/>
        </w:rPr>
        <w:t xml:space="preserve"> </w:t>
      </w:r>
      <w:r w:rsidR="000F3F81" w:rsidRPr="000F3F81">
        <w:rPr>
          <w:rFonts w:cstheme="minorHAnsi"/>
          <w:noProof/>
        </w:rPr>
        <w:t>[28]</w:t>
      </w:r>
      <w:r>
        <w:rPr>
          <w:rFonts w:cstheme="minorHAnsi"/>
        </w:rPr>
        <w:t>.</w:t>
      </w:r>
      <w:r w:rsidRPr="00883707">
        <w:rPr>
          <w:rFonts w:cstheme="minorHAnsi"/>
        </w:rPr>
        <w:t xml:space="preserve"> The TRAF6/IRAK1/TAK1/TAB1/TAB2 complex is inactive until it translocates to the cytoplasm and forms a larger complex with the ubiquitin-conjugating enzymes Ubc13 and Uev1A. This ubiquitination activates TAK1 and marks IRAK1 for degradation by the proteasome</w:t>
      </w:r>
      <w:r>
        <w:rPr>
          <w:rFonts w:cstheme="minorHAnsi"/>
        </w:rPr>
        <w:t xml:space="preserve"> </w:t>
      </w:r>
      <w:r w:rsidR="000F3F81" w:rsidRPr="000F3F81">
        <w:rPr>
          <w:rFonts w:cstheme="minorHAnsi"/>
          <w:noProof/>
        </w:rPr>
        <w:t>[28,29]</w:t>
      </w:r>
      <w:r>
        <w:rPr>
          <w:rFonts w:cstheme="minorHAnsi"/>
        </w:rPr>
        <w:t>.</w:t>
      </w:r>
      <w:r w:rsidRPr="00883707">
        <w:rPr>
          <w:rFonts w:cstheme="minorHAnsi"/>
        </w:rPr>
        <w:t xml:space="preserve"> TAK1 phosphorylates an IκB kinase (IKK) complex consisting of two catalytic subunits (IKKα and IKKβ) and a regulatory subunit (IKKγ)</w:t>
      </w:r>
      <w:r>
        <w:rPr>
          <w:rFonts w:cstheme="minorHAnsi"/>
        </w:rPr>
        <w:t xml:space="preserve"> </w:t>
      </w:r>
      <w:r w:rsidR="000F3F81" w:rsidRPr="000F3F81">
        <w:rPr>
          <w:rFonts w:cstheme="minorHAnsi"/>
          <w:noProof/>
        </w:rPr>
        <w:t>[30–33]</w:t>
      </w:r>
      <w:r>
        <w:rPr>
          <w:rFonts w:cstheme="minorHAnsi"/>
        </w:rPr>
        <w:t>.</w:t>
      </w:r>
      <w:r w:rsidRPr="00883707">
        <w:rPr>
          <w:rFonts w:cstheme="minorHAnsi"/>
        </w:rPr>
        <w:t xml:space="preserve"> This phosphorylated IKK complex feeds into the IκB-NF-κB signalling module of the pathway.</w:t>
      </w:r>
    </w:p>
    <w:p w:rsidR="00932841" w:rsidRPr="00883707" w:rsidRDefault="00932841" w:rsidP="00932841">
      <w:pPr>
        <w:rPr>
          <w:rFonts w:cstheme="minorHAnsi"/>
        </w:rPr>
      </w:pPr>
      <w:r w:rsidRPr="00883707">
        <w:rPr>
          <w:rFonts w:cstheme="minorHAnsi"/>
        </w:rPr>
        <w:t>Module 2) The TRIF-dependent pathway</w:t>
      </w:r>
    </w:p>
    <w:p w:rsidR="00877B6E" w:rsidRDefault="00932841" w:rsidP="00877B6E">
      <w:pPr>
        <w:ind w:left="360"/>
      </w:pPr>
      <w:r>
        <w:rPr>
          <w:rFonts w:cstheme="minorHAnsi"/>
        </w:rPr>
        <w:t>Compared</w:t>
      </w:r>
      <w:r w:rsidRPr="00883707">
        <w:rPr>
          <w:rFonts w:cstheme="minorHAnsi"/>
        </w:rPr>
        <w:t xml:space="preserve"> to the MyD88-dependent pathway, less is known about the TRIF-dependent module. Here we have modelled the pathway according to the suggestions put forward by Covert </w:t>
      </w:r>
      <w:r w:rsidRPr="007C3EA6">
        <w:rPr>
          <w:rFonts w:cstheme="minorHAnsi"/>
          <w:i/>
        </w:rPr>
        <w:t>et al</w:t>
      </w:r>
      <w:r w:rsidRPr="00883707">
        <w:rPr>
          <w:rFonts w:cstheme="minorHAnsi"/>
        </w:rPr>
        <w:t>.</w:t>
      </w:r>
      <w:r w:rsidR="000F3F81" w:rsidRPr="000F3F81">
        <w:rPr>
          <w:rFonts w:cstheme="minorHAnsi"/>
          <w:noProof/>
        </w:rPr>
        <w:t>[34]</w:t>
      </w:r>
      <w:r>
        <w:rPr>
          <w:rFonts w:cstheme="minorHAnsi"/>
        </w:rPr>
        <w:t>.</w:t>
      </w:r>
      <w:r w:rsidR="00877B6E">
        <w:rPr>
          <w:rFonts w:cstheme="minorHAnsi"/>
        </w:rPr>
        <w:t xml:space="preserve"> </w:t>
      </w:r>
      <w:r w:rsidR="00877B6E" w:rsidRPr="00883707">
        <w:rPr>
          <w:rFonts w:cstheme="minorHAnsi"/>
        </w:rPr>
        <w:t>They</w:t>
      </w:r>
      <w:r w:rsidR="00877B6E">
        <w:rPr>
          <w:rFonts w:cstheme="minorHAnsi"/>
        </w:rPr>
        <w:t xml:space="preserve"> observed delayed </w:t>
      </w:r>
      <w:r w:rsidR="00877B6E" w:rsidRPr="00883707">
        <w:rPr>
          <w:rFonts w:cstheme="minorHAnsi"/>
        </w:rPr>
        <w:t>NF-κB</w:t>
      </w:r>
      <w:r w:rsidR="00877B6E">
        <w:rPr>
          <w:rFonts w:cstheme="minorHAnsi"/>
        </w:rPr>
        <w:t xml:space="preserve"> activation in </w:t>
      </w:r>
      <w:r w:rsidR="00877B6E" w:rsidRPr="00883707">
        <w:rPr>
          <w:rFonts w:cstheme="minorHAnsi"/>
        </w:rPr>
        <w:t>MyD88</w:t>
      </w:r>
      <w:r w:rsidR="00285944">
        <w:rPr>
          <w:rFonts w:cstheme="minorHAnsi"/>
        </w:rPr>
        <w:t>-</w:t>
      </w:r>
      <w:r w:rsidR="00877B6E">
        <w:rPr>
          <w:rFonts w:cstheme="minorHAnsi"/>
        </w:rPr>
        <w:t>deficient mice embryo fibroblasts (MEFs) treated with LPS. They hypothesised the delay o</w:t>
      </w:r>
      <w:r w:rsidR="00877B6E" w:rsidRPr="00883707">
        <w:rPr>
          <w:rFonts w:cstheme="minorHAnsi"/>
        </w:rPr>
        <w:t xml:space="preserve">ccurs because the </w:t>
      </w:r>
      <w:r w:rsidR="00877B6E">
        <w:rPr>
          <w:rFonts w:cstheme="minorHAnsi"/>
        </w:rPr>
        <w:t>TRIF</w:t>
      </w:r>
      <w:r w:rsidR="00877B6E" w:rsidRPr="00883707">
        <w:rPr>
          <w:rFonts w:cstheme="minorHAnsi"/>
        </w:rPr>
        <w:t xml:space="preserve">-dependent pathway requires protein synthesis before NF-κB can be activated via a secondary signal in an autocrine manner.  </w:t>
      </w:r>
      <w:r w:rsidR="00877B6E">
        <w:rPr>
          <w:rFonts w:cstheme="minorHAnsi"/>
        </w:rPr>
        <w:t>Microarray analysis of</w:t>
      </w:r>
      <w:r w:rsidR="00877B6E" w:rsidRPr="00883707">
        <w:rPr>
          <w:rFonts w:cstheme="minorHAnsi"/>
        </w:rPr>
        <w:t xml:space="preserve"> LPS stimulated MyD88-deficient MEFs </w:t>
      </w:r>
      <w:r w:rsidR="00877B6E">
        <w:rPr>
          <w:rFonts w:cstheme="minorHAnsi"/>
        </w:rPr>
        <w:t>showed</w:t>
      </w:r>
      <w:r w:rsidR="00877B6E" w:rsidRPr="00883707">
        <w:rPr>
          <w:rFonts w:cstheme="minorHAnsi"/>
        </w:rPr>
        <w:t xml:space="preserve"> significant upregulation </w:t>
      </w:r>
      <w:r w:rsidR="00877B6E">
        <w:rPr>
          <w:rFonts w:cstheme="minorHAnsi"/>
        </w:rPr>
        <w:t>of the tumour necrosis factor alpha (</w:t>
      </w:r>
      <w:r w:rsidR="00877B6E" w:rsidRPr="00883707">
        <w:rPr>
          <w:rFonts w:cstheme="minorHAnsi"/>
        </w:rPr>
        <w:t>TNFα</w:t>
      </w:r>
      <w:r w:rsidR="00877B6E">
        <w:rPr>
          <w:rFonts w:cstheme="minorHAnsi"/>
        </w:rPr>
        <w:t>) transcript, which (along with</w:t>
      </w:r>
      <w:r w:rsidR="00877B6E" w:rsidRPr="00883707">
        <w:rPr>
          <w:rFonts w:cstheme="minorHAnsi"/>
        </w:rPr>
        <w:t xml:space="preserve"> the findings of additional validation experiments</w:t>
      </w:r>
      <w:r w:rsidR="00877B6E">
        <w:rPr>
          <w:rFonts w:cstheme="minorHAnsi"/>
        </w:rPr>
        <w:t>)</w:t>
      </w:r>
      <w:r w:rsidR="00877B6E" w:rsidRPr="00883707">
        <w:rPr>
          <w:rFonts w:cstheme="minorHAnsi"/>
        </w:rPr>
        <w:t xml:space="preserve"> </w:t>
      </w:r>
      <w:r w:rsidR="00877B6E">
        <w:rPr>
          <w:rFonts w:cstheme="minorHAnsi"/>
        </w:rPr>
        <w:t>led them to suggest</w:t>
      </w:r>
      <w:r w:rsidR="00877B6E" w:rsidRPr="00883707">
        <w:rPr>
          <w:rFonts w:cstheme="minorHAnsi"/>
        </w:rPr>
        <w:t xml:space="preserve"> that TNFα is the autocrine signal responsible for the late-phase activation of NF-κB in response to LPS.</w:t>
      </w:r>
    </w:p>
    <w:p w:rsidR="00877B6E" w:rsidRPr="00877B6E" w:rsidRDefault="00932841" w:rsidP="00877B6E">
      <w:pPr>
        <w:ind w:left="360"/>
      </w:pPr>
      <w:r w:rsidRPr="00883707">
        <w:rPr>
          <w:rFonts w:cstheme="minorHAnsi"/>
        </w:rPr>
        <w:t>The pathway they put forward begins when TRIF-related adapter molecule (TRAM) binds to active TLR4</w:t>
      </w:r>
      <w:r w:rsidR="000F3F81" w:rsidRPr="000F3F81">
        <w:rPr>
          <w:rFonts w:cstheme="minorHAnsi"/>
          <w:noProof/>
        </w:rPr>
        <w:t>[35–37]</w:t>
      </w:r>
      <w:r w:rsidRPr="00883707">
        <w:rPr>
          <w:rFonts w:cstheme="minorHAnsi"/>
        </w:rPr>
        <w:t xml:space="preserve"> and acts as a bridging adaptor connecting TLR4 to TRIF</w:t>
      </w:r>
      <w:r>
        <w:rPr>
          <w:rFonts w:cstheme="minorHAnsi"/>
        </w:rPr>
        <w:t xml:space="preserve"> </w:t>
      </w:r>
      <w:r w:rsidR="000F3F81" w:rsidRPr="000F3F81">
        <w:rPr>
          <w:rFonts w:cstheme="minorHAnsi"/>
          <w:noProof/>
        </w:rPr>
        <w:t>[36,38]</w:t>
      </w:r>
      <w:r>
        <w:rPr>
          <w:rFonts w:cstheme="minorHAnsi"/>
        </w:rPr>
        <w:t>.</w:t>
      </w:r>
      <w:r w:rsidRPr="00883707">
        <w:rPr>
          <w:rFonts w:cstheme="minorHAnsi"/>
        </w:rPr>
        <w:t xml:space="preserve"> This complex activates two noncanonical IKKs, TANK-binding kinase 1(TBK1) and IKKε, </w:t>
      </w:r>
      <w:r w:rsidR="000F3F81" w:rsidRPr="000F3F81">
        <w:rPr>
          <w:rFonts w:cstheme="minorHAnsi"/>
          <w:noProof/>
        </w:rPr>
        <w:t>[39–41]</w:t>
      </w:r>
      <w:r w:rsidRPr="00883707">
        <w:rPr>
          <w:rFonts w:cstheme="minorHAnsi"/>
        </w:rPr>
        <w:t xml:space="preserve"> which phosphorylate Interferon Regulatory Factor 3 (IRF3)</w:t>
      </w:r>
      <w:r>
        <w:rPr>
          <w:rFonts w:cstheme="minorHAnsi"/>
        </w:rPr>
        <w:t xml:space="preserve"> </w:t>
      </w:r>
      <w:r w:rsidR="000F3F81" w:rsidRPr="000F3F81">
        <w:rPr>
          <w:rFonts w:cstheme="minorHAnsi"/>
          <w:noProof/>
        </w:rPr>
        <w:t>[39,40,42]</w:t>
      </w:r>
      <w:r>
        <w:rPr>
          <w:rFonts w:cstheme="minorHAnsi"/>
        </w:rPr>
        <w:t>.</w:t>
      </w:r>
      <w:r w:rsidRPr="00883707">
        <w:rPr>
          <w:rFonts w:cstheme="minorHAnsi"/>
        </w:rPr>
        <w:t xml:space="preserve"> IRF3 then translocates to the nucleus and regulates transcription of TNFα. TNFα is secreted into the extracellular space where it binds to its membrane receptor TNFR1</w:t>
      </w:r>
      <w:r w:rsidR="000F3F81" w:rsidRPr="000F3F81">
        <w:rPr>
          <w:rFonts w:cstheme="minorHAnsi"/>
          <w:noProof/>
        </w:rPr>
        <w:t>[43]</w:t>
      </w:r>
      <w:r>
        <w:rPr>
          <w:rFonts w:cstheme="minorHAnsi"/>
        </w:rPr>
        <w:t>.</w:t>
      </w:r>
      <w:r w:rsidRPr="00883707">
        <w:rPr>
          <w:rFonts w:cstheme="minorHAnsi"/>
        </w:rPr>
        <w:t xml:space="preserve"> This leads to the recruitment of TRAF2, TRADD and RIP1. TRAF2 then recruits the IKK complex, which allows it to be phosphorylated by RIP1</w:t>
      </w:r>
      <w:r>
        <w:rPr>
          <w:rFonts w:cstheme="minorHAnsi"/>
        </w:rPr>
        <w:t xml:space="preserve"> </w:t>
      </w:r>
      <w:r w:rsidR="000F3F81" w:rsidRPr="000F3F81">
        <w:rPr>
          <w:rFonts w:cstheme="minorHAnsi"/>
          <w:noProof/>
        </w:rPr>
        <w:t>[44–48]</w:t>
      </w:r>
      <w:r>
        <w:rPr>
          <w:rFonts w:cstheme="minorHAnsi"/>
        </w:rPr>
        <w:t>.</w:t>
      </w:r>
    </w:p>
    <w:p w:rsidR="00932841" w:rsidRPr="00883707" w:rsidRDefault="00932841" w:rsidP="00932841">
      <w:pPr>
        <w:rPr>
          <w:rFonts w:cstheme="minorHAnsi"/>
        </w:rPr>
      </w:pPr>
      <w:r w:rsidRPr="00883707">
        <w:rPr>
          <w:rFonts w:cstheme="minorHAnsi"/>
        </w:rPr>
        <w:lastRenderedPageBreak/>
        <w:t>Module 3) IκB-NF-κB signalling</w:t>
      </w:r>
    </w:p>
    <w:p w:rsidR="00932841" w:rsidRDefault="00932841" w:rsidP="00932841">
      <w:pPr>
        <w:ind w:left="720"/>
        <w:rPr>
          <w:rFonts w:cstheme="minorHAnsi"/>
        </w:rPr>
      </w:pPr>
      <w:r w:rsidRPr="00883707">
        <w:rPr>
          <w:rFonts w:cstheme="minorHAnsi"/>
        </w:rPr>
        <w:t>In resting cells, NF-κB is sequestered in an inactive state in the cytoplasm by</w:t>
      </w:r>
      <w:r>
        <w:rPr>
          <w:rFonts w:cstheme="minorHAnsi"/>
        </w:rPr>
        <w:t xml:space="preserve"> </w:t>
      </w:r>
      <w:r w:rsidRPr="00883707">
        <w:rPr>
          <w:rFonts w:cstheme="minorHAnsi"/>
        </w:rPr>
        <w:t>nuclear factor of kappa light polypeptide gen</w:t>
      </w:r>
      <w:r>
        <w:rPr>
          <w:rFonts w:cstheme="minorHAnsi"/>
        </w:rPr>
        <w:t>e enhancer in B-cells inhibitor (</w:t>
      </w:r>
      <w:r w:rsidRPr="00883707">
        <w:rPr>
          <w:rFonts w:cstheme="minorHAnsi"/>
        </w:rPr>
        <w:t>IκB</w:t>
      </w:r>
      <w:r>
        <w:rPr>
          <w:rFonts w:cstheme="minorHAnsi"/>
        </w:rPr>
        <w:t>)</w:t>
      </w:r>
      <w:r w:rsidRPr="00883707">
        <w:rPr>
          <w:rFonts w:cstheme="minorHAnsi"/>
        </w:rPr>
        <w:t>. Active IKK can bind to and phosphorylate IκB, which causes it to degrade and therefore release NF-κB</w:t>
      </w:r>
      <w:r>
        <w:rPr>
          <w:rFonts w:cstheme="minorHAnsi"/>
        </w:rPr>
        <w:t xml:space="preserve"> </w:t>
      </w:r>
      <w:r w:rsidR="000F3F81" w:rsidRPr="000F3F81">
        <w:rPr>
          <w:rFonts w:cstheme="minorHAnsi"/>
          <w:noProof/>
        </w:rPr>
        <w:t>[41,49]</w:t>
      </w:r>
      <w:r>
        <w:rPr>
          <w:rFonts w:cstheme="minorHAnsi"/>
        </w:rPr>
        <w:t>.</w:t>
      </w:r>
      <w:r w:rsidRPr="00883707">
        <w:rPr>
          <w:rFonts w:cstheme="minorHAnsi"/>
        </w:rPr>
        <w:t xml:space="preserve"> Free NF-κB then translocates to the nucleus where it regulates transcription of target genes, including</w:t>
      </w:r>
      <w:r>
        <w:rPr>
          <w:rFonts w:cstheme="minorHAnsi"/>
        </w:rPr>
        <w:t xml:space="preserve"> the </w:t>
      </w:r>
      <w:r w:rsidRPr="00883707">
        <w:rPr>
          <w:rFonts w:cstheme="minorHAnsi"/>
        </w:rPr>
        <w:t>IκB</w:t>
      </w:r>
      <w:r>
        <w:rPr>
          <w:rFonts w:cstheme="minorHAnsi"/>
        </w:rPr>
        <w:t xml:space="preserve"> isoform</w:t>
      </w:r>
      <w:r w:rsidRPr="00883707">
        <w:rPr>
          <w:rFonts w:cstheme="minorHAnsi"/>
        </w:rPr>
        <w:t xml:space="preserve"> IκBα</w:t>
      </w:r>
      <w:r>
        <w:rPr>
          <w:rFonts w:cstheme="minorHAnsi"/>
        </w:rPr>
        <w:t xml:space="preserve"> </w:t>
      </w:r>
      <w:r w:rsidR="000F3F81" w:rsidRPr="000F3F81">
        <w:rPr>
          <w:rFonts w:cstheme="minorHAnsi"/>
          <w:noProof/>
        </w:rPr>
        <w:t>[50–52]</w:t>
      </w:r>
      <w:r>
        <w:rPr>
          <w:rFonts w:cstheme="minorHAnsi"/>
        </w:rPr>
        <w:t>.</w:t>
      </w:r>
      <w:r w:rsidRPr="00883707">
        <w:rPr>
          <w:rFonts w:cstheme="minorHAnsi"/>
        </w:rPr>
        <w:t xml:space="preserve"> The production of IκBα results in a negative feedback loop that causes oscillations in NF-κB activity</w:t>
      </w:r>
      <w:r>
        <w:rPr>
          <w:rFonts w:cstheme="minorHAnsi"/>
        </w:rPr>
        <w:t xml:space="preserve"> </w:t>
      </w:r>
      <w:r w:rsidR="000F3F81" w:rsidRPr="000F3F81">
        <w:rPr>
          <w:rFonts w:cstheme="minorHAnsi"/>
          <w:noProof/>
        </w:rPr>
        <w:t>[53,54]</w:t>
      </w:r>
      <w:r>
        <w:rPr>
          <w:rFonts w:cstheme="minorHAnsi"/>
        </w:rPr>
        <w:t>.</w:t>
      </w:r>
      <w:r w:rsidRPr="00883707">
        <w:rPr>
          <w:rFonts w:cstheme="minorHAnsi"/>
        </w:rPr>
        <w:t xml:space="preserve"> Two other IκB isoforms (IκBβ and IκBε) are also included in the model. They act in the same way as IκBα, but their production is not modelled as NF-κB-dependent and their activity is </w:t>
      </w:r>
      <w:r>
        <w:rPr>
          <w:rFonts w:cstheme="minorHAnsi"/>
        </w:rPr>
        <w:t>in antiphase with IκBα activity. This</w:t>
      </w:r>
      <w:r w:rsidRPr="00883707">
        <w:rPr>
          <w:rFonts w:cstheme="minorHAnsi"/>
        </w:rPr>
        <w:t xml:space="preserve"> acts to dampen NF-κB oscillations.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1. </w:t>
      </w:r>
      <w:r w:rsidRPr="00F64FF9">
        <w:rPr>
          <w:rFonts w:ascii="Calibri" w:hAnsi="Calibri"/>
          <w:noProof/>
          <w:sz w:val="22"/>
        </w:rPr>
        <w:tab/>
        <w:t>Schumann RR, Leong SR, Flaggs GW, Gray PW, Wright SD, et al. (1990) Structure and function of lipopolysaccharide binding protein. Science (New York, NY) 249: 1429–1431.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2. </w:t>
      </w:r>
      <w:r w:rsidRPr="00F64FF9">
        <w:rPr>
          <w:rFonts w:ascii="Calibri" w:hAnsi="Calibri"/>
          <w:noProof/>
          <w:sz w:val="22"/>
        </w:rPr>
        <w:tab/>
        <w:t>Wright SD, Ramos RA, Tobias PS, Ulevitch RJ, Mathison JC (1990) CD14, a receptor for complexes of lipopolysaccharide (LPS) and LPS binding protein. Science (New York, NY) 249: 1431–1433.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3. </w:t>
      </w:r>
      <w:r w:rsidRPr="00F64FF9">
        <w:rPr>
          <w:rFonts w:ascii="Calibri" w:hAnsi="Calibri"/>
          <w:noProof/>
          <w:sz w:val="22"/>
        </w:rPr>
        <w:tab/>
        <w:t>Poltorak A, He X, Smirnova I, Liu MY, Van Huffel C, et al. (1998) Defective LPS signaling in C3H/HeJ and C57BL/10ScCr mice: mutations in Tlr4 gene. Science (New York, NY) 282: 2085–2088.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4. </w:t>
      </w:r>
      <w:r w:rsidRPr="00F64FF9">
        <w:rPr>
          <w:rFonts w:ascii="Calibri" w:hAnsi="Calibri"/>
          <w:noProof/>
          <w:sz w:val="22"/>
        </w:rPr>
        <w:tab/>
        <w:t>Hoshino K, Takeuchi O, Kawai T, Sanjo H, Ogawa T, et al. (1999) Cutting edge: Toll-like receptor 4 (TLR4)-deficient mice are hyporesponsive to lipopolysaccharide: evidence for TLR4 as the Lps gene product. Journal of immunology (Baltimore, Md : 1950) 162: 3749–3752.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5. </w:t>
      </w:r>
      <w:r w:rsidRPr="00F64FF9">
        <w:rPr>
          <w:rFonts w:ascii="Calibri" w:hAnsi="Calibri"/>
          <w:noProof/>
          <w:sz w:val="22"/>
        </w:rPr>
        <w:tab/>
        <w:t>Takeuchi O, Hoshino K, Kawai T, Sanjo H, Takada H, et al. (1999) Differential roles of TLR2 and TLR4 in recognition of gram-negative and gram-positive bacterial cell wall components. Immunity 11: 443–451.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6. </w:t>
      </w:r>
      <w:r w:rsidRPr="00F64FF9">
        <w:rPr>
          <w:rFonts w:ascii="Calibri" w:hAnsi="Calibri"/>
          <w:noProof/>
          <w:sz w:val="22"/>
        </w:rPr>
        <w:tab/>
        <w:t>Fenton MJ, Golenbock DT (1998) LPS-binding proteins and receptors. Journal of leukocyte biology 64: 25–32.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7. </w:t>
      </w:r>
      <w:r w:rsidRPr="00F64FF9">
        <w:rPr>
          <w:rFonts w:ascii="Calibri" w:hAnsi="Calibri"/>
          <w:noProof/>
          <w:sz w:val="22"/>
        </w:rPr>
        <w:tab/>
        <w:t>Hayashi F, Smith KD, Ozinsky A, Hawn TR, Yi EC, et al. (2001) The innate immune response to bacterial flagellin is mediated by Toll-like receptor 5. Nature 410: 1099–1103. doi:10.1038/35074106.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8. </w:t>
      </w:r>
      <w:r w:rsidRPr="00F64FF9">
        <w:rPr>
          <w:rFonts w:ascii="Calibri" w:hAnsi="Calibri"/>
          <w:noProof/>
          <w:sz w:val="22"/>
        </w:rPr>
        <w:tab/>
        <w:t>Hemmi H, Kaisho T, Takeuchi O, Sato S, Sanjo H, et al. (2002) Small anti-viral compounds activate immune cells via the TLR7 MyD88-dependent signaling pathway. Nature immunology 3: 196–200. doi:10.1038/ni758.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9. </w:t>
      </w:r>
      <w:r w:rsidRPr="00F64FF9">
        <w:rPr>
          <w:rFonts w:ascii="Calibri" w:hAnsi="Calibri"/>
          <w:noProof/>
          <w:sz w:val="22"/>
        </w:rPr>
        <w:tab/>
        <w:t>Schnare M, Holt AC, Takeda K, Akira S, Medzhitov R (2000) Recognition of CpG DNA is mediated by signaling pathways dependent on the adaptor protein MyD88. Current biology : CB 10: 1139–1142.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10. </w:t>
      </w:r>
      <w:r w:rsidRPr="00F64FF9">
        <w:rPr>
          <w:rFonts w:ascii="Calibri" w:hAnsi="Calibri"/>
          <w:noProof/>
          <w:sz w:val="22"/>
        </w:rPr>
        <w:tab/>
        <w:t>Häcker H, Vabulas RM, Takeuchi O, Hoshino K, Akira S, et al. (2000) Immune cell activation by bacterial CpG-DNA through myeloid differentiation marker 88 and tumor necrosis factor receptor-associated factor (TRAF)6. The Journal of experimental medicine 192: 595–600.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11. </w:t>
      </w:r>
      <w:r w:rsidRPr="00F64FF9">
        <w:rPr>
          <w:rFonts w:ascii="Calibri" w:hAnsi="Calibri"/>
          <w:noProof/>
          <w:sz w:val="22"/>
        </w:rPr>
        <w:tab/>
        <w:t>Takeuchi O, Takeda K, Hoshino K, Adachi O, Ogawa T, et al. (2000) Cellular responses to bacterial cell wall components are mediated through MyD88-dependent signaling cascades. International immunology 12: 113–117.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12. </w:t>
      </w:r>
      <w:r w:rsidRPr="00F64FF9">
        <w:rPr>
          <w:rFonts w:ascii="Calibri" w:hAnsi="Calibri"/>
          <w:noProof/>
          <w:sz w:val="22"/>
        </w:rPr>
        <w:tab/>
        <w:t>Kawai T, Adachi O, Ogawa T, Takeda K, Akira S (1999) Unresponsiveness of MyD88-deficient mice to endotoxin. Immunity 11: 115–122. Available: http://www.ncbi.nlm.nih.gov/pubmed/10435584.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13. </w:t>
      </w:r>
      <w:r w:rsidRPr="00F64FF9">
        <w:rPr>
          <w:rFonts w:ascii="Calibri" w:hAnsi="Calibri"/>
          <w:noProof/>
          <w:sz w:val="22"/>
        </w:rPr>
        <w:tab/>
        <w:t>Kawai T, Takeuchi O, Fujita T, Inoue J, Mühlradt PF, et al. (2001) Lipopolysaccharide stimulates the MyD88-independent pathway and results in activation of IFN-regulatory factor 3 and the expression of a subset of lipopolysaccharide-inducible genes. Journal of immunology (Baltimore, Md : 1950) 167: 5887–5894.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14. </w:t>
      </w:r>
      <w:r w:rsidRPr="00F64FF9">
        <w:rPr>
          <w:rFonts w:ascii="Calibri" w:hAnsi="Calibri"/>
          <w:noProof/>
          <w:sz w:val="22"/>
        </w:rPr>
        <w:tab/>
        <w:t>Doyle S, Vaidya S, O’Connell R, Dadgostar H, Dempsey P, et al. (2002) IRF3 mediates a TLR3/TLR4-specific antiviral gene program. Immunity 17: 251–263.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15. </w:t>
      </w:r>
      <w:r w:rsidRPr="00F64FF9">
        <w:rPr>
          <w:rFonts w:ascii="Calibri" w:hAnsi="Calibri"/>
          <w:noProof/>
          <w:sz w:val="22"/>
        </w:rPr>
        <w:tab/>
        <w:t>Toshchakov V, Jones BW, Perera P-Y, Thomas K, Cody MJ, et al. (2002) TLR4, but not TLR2, mediates IFN-beta-induced STAT1alpha/beta-dependent gene expression in macrophages. Nature immunology 3: 392–398. doi:10.1038/ni774.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16. </w:t>
      </w:r>
      <w:r w:rsidRPr="00F64FF9">
        <w:rPr>
          <w:rFonts w:ascii="Calibri" w:hAnsi="Calibri"/>
          <w:noProof/>
          <w:sz w:val="22"/>
        </w:rPr>
        <w:tab/>
        <w:t>Hoshino K, Kaisho T, Iwabe T, Takeuchi O, Akira S (2002) Differential involvement of IFN-beta in Toll-like receptor-stimulated dendritic cell activation. International immunology 14: 1225–1231.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17. </w:t>
      </w:r>
      <w:r w:rsidRPr="00F64FF9">
        <w:rPr>
          <w:rFonts w:ascii="Calibri" w:hAnsi="Calibri"/>
          <w:noProof/>
          <w:sz w:val="22"/>
        </w:rPr>
        <w:tab/>
        <w:t>Lee MS, Kim Y-J (2007) Signaling pathways downstream of pattern-recognition receptors and their cross talk. Annual review of biochemistry 76: 447–480. doi:10.1146/annurev.biochem.76.060605.122847.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18. </w:t>
      </w:r>
      <w:r w:rsidRPr="00F64FF9">
        <w:rPr>
          <w:rFonts w:ascii="Calibri" w:hAnsi="Calibri"/>
          <w:noProof/>
          <w:sz w:val="22"/>
        </w:rPr>
        <w:tab/>
        <w:t>Yamamoto M, Sato S, Hemmi H, Sanjo H, Uematsu S, et al. (2002) Essential role for TIRAP in activation of the signalling cascade shared by TLR2 and TLR4. Nature 420: 324–329. doi:10.1038/nature01182.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19. </w:t>
      </w:r>
      <w:r w:rsidRPr="00F64FF9">
        <w:rPr>
          <w:rFonts w:ascii="Calibri" w:hAnsi="Calibri"/>
          <w:noProof/>
          <w:sz w:val="22"/>
        </w:rPr>
        <w:tab/>
        <w:t>Horng T, Barton GM, Flavell RA, Medzhitov R (2002) The adaptor molecule TIRAP provides signalling specificity for Toll-like receptors. Nature 420: 329–333. doi:10.1038/nature01180.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20. </w:t>
      </w:r>
      <w:r w:rsidRPr="00F64FF9">
        <w:rPr>
          <w:rFonts w:ascii="Calibri" w:hAnsi="Calibri"/>
          <w:noProof/>
          <w:sz w:val="22"/>
        </w:rPr>
        <w:tab/>
        <w:t>Wesche H, Henzel WJ, Shillinglaw W, Li S, Cao Z (1997) MyD88: an adapter that recruits IRAK to the IL-1 receptor complex. Immunity 7: 837–847.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21. </w:t>
      </w:r>
      <w:r w:rsidRPr="00F64FF9">
        <w:rPr>
          <w:rFonts w:ascii="Calibri" w:hAnsi="Calibri"/>
          <w:noProof/>
          <w:sz w:val="22"/>
        </w:rPr>
        <w:tab/>
        <w:t>Li S, Strelow A, Fontana EJ, Wesche H (2002) IRAK-4: a novel member of the IRAK family with the properties of an IRAK-kinase. Proceedings of the National Academy of Sciences of the United States of America 99: 5567–5572. Available: http://www.pubmedcentral.nih.gov/articlerender.fcgi?artid=122810&amp;tool=pmcentrez&amp;rendertype=abstract.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22. </w:t>
      </w:r>
      <w:r w:rsidRPr="00F64FF9">
        <w:rPr>
          <w:rFonts w:ascii="Calibri" w:hAnsi="Calibri"/>
          <w:noProof/>
          <w:sz w:val="22"/>
        </w:rPr>
        <w:tab/>
        <w:t>Suzuki N, Suzuki S, Yeh W-C (2002) IRAK-4 as the central TIR signaling mediator in innate immunity. Trends in immunology 23: 503–506.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23. </w:t>
      </w:r>
      <w:r w:rsidRPr="00F64FF9">
        <w:rPr>
          <w:rFonts w:ascii="Calibri" w:hAnsi="Calibri"/>
          <w:noProof/>
          <w:sz w:val="22"/>
        </w:rPr>
        <w:tab/>
        <w:t>Gottipati S, Rao NL, Fung-Leung W-P (2008) IRAK1: a critical signaling mediator of innate immunity. Cellular signalling 20: 269–276. doi:10.1016/j.cellsig.2007.08.009.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24. </w:t>
      </w:r>
      <w:r w:rsidRPr="00F64FF9">
        <w:rPr>
          <w:rFonts w:ascii="Calibri" w:hAnsi="Calibri"/>
          <w:noProof/>
          <w:sz w:val="22"/>
        </w:rPr>
        <w:tab/>
        <w:t>Ross K, Yang L, Dower S, Volpe F, Guesdon F (2002) Identification of threonine 66 as a functionally critical residue of the interleukin-1 receptor-associated kinase. The Journal of biological chemistry 277: 37414–37421. doi:10.1074/jbc.M205160200.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25. </w:t>
      </w:r>
      <w:r w:rsidRPr="00F64FF9">
        <w:rPr>
          <w:rFonts w:ascii="Calibri" w:hAnsi="Calibri"/>
          <w:noProof/>
          <w:sz w:val="22"/>
        </w:rPr>
        <w:tab/>
        <w:t>Muroi M, Tanamoto K (2008) TRAF6 distinctively mediates MyD88- and IRAK-1-induced activation of NF-kappaB. Journal of leukocyte biology 83: 702–707. doi:10.1189/jlb.0907629.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26. </w:t>
      </w:r>
      <w:r w:rsidRPr="00F64FF9">
        <w:rPr>
          <w:rFonts w:ascii="Calibri" w:hAnsi="Calibri"/>
          <w:noProof/>
          <w:sz w:val="22"/>
        </w:rPr>
        <w:tab/>
        <w:t>Dauphinee SM, Karsan A (2006) Lipopolysaccharide signaling in endothelial cells. Laboratory investigation; a journal of technical methods and pathology 86: 9–22. doi:10.1038/labinvest.3700366.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27. </w:t>
      </w:r>
      <w:r w:rsidRPr="00F64FF9">
        <w:rPr>
          <w:rFonts w:ascii="Calibri" w:hAnsi="Calibri"/>
          <w:noProof/>
          <w:sz w:val="22"/>
        </w:rPr>
        <w:tab/>
        <w:t>Kollewe C, Mackensen A-C, Neumann D, Knop J, Cao P, et al. (2004) Sequential autophosphorylation steps in the interleukin-1 receptor-associated kinase-1 regulate its availability as an adapter in interleukin-1 signaling. The Journal of biological chemistry 279: 5227–5236. doi:10.1074/jbc.M309251200.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28. </w:t>
      </w:r>
      <w:r w:rsidRPr="00F64FF9">
        <w:rPr>
          <w:rFonts w:ascii="Calibri" w:hAnsi="Calibri"/>
          <w:noProof/>
          <w:sz w:val="22"/>
        </w:rPr>
        <w:tab/>
        <w:t>Jiang Z, Ninomiya-Tsuji J, Qian Y, Matsumoto K, Li X (2002) Interleukin-1 (IL-1) receptor-associated kinase-dependent IL-1-induced signaling complexes phosphorylate TAK1 and TAB2 at the plasma membrane and activate TAK1 in the cytosol. Molecular and cellular biology 22: 7158–7167.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29. </w:t>
      </w:r>
      <w:r w:rsidRPr="00F64FF9">
        <w:rPr>
          <w:rFonts w:ascii="Calibri" w:hAnsi="Calibri"/>
          <w:noProof/>
          <w:sz w:val="22"/>
        </w:rPr>
        <w:tab/>
        <w:t>Yamin TT, Miller DK (1997) The interleukin-1 receptor-associated kinase is degraded by proteasomes following its phosphorylation. The Journal of biological chemistry 272: 21540–21547.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30. </w:t>
      </w:r>
      <w:r w:rsidRPr="00F64FF9">
        <w:rPr>
          <w:rFonts w:ascii="Calibri" w:hAnsi="Calibri"/>
          <w:noProof/>
          <w:sz w:val="22"/>
        </w:rPr>
        <w:tab/>
        <w:t>Irie T, Muta T, Takeshige K (2000) TAK1 mediates an activation signal from toll-like receptor(s) to nuclear factor-kappaB in lipopolysaccharide-stimulated macrophages. FEBS letters 467: 160–164.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31. </w:t>
      </w:r>
      <w:r w:rsidRPr="00F64FF9">
        <w:rPr>
          <w:rFonts w:ascii="Calibri" w:hAnsi="Calibri"/>
          <w:noProof/>
          <w:sz w:val="22"/>
        </w:rPr>
        <w:tab/>
        <w:t>Wang C, Deng L, Hong M, Akkaraju GR, Inoue J, et al. (2001) TAK1 is a ubiquitin-dependent kinase of MKK and IKK. Nature 412: 346–351. Available: http://www.ncbi.nlm.nih.gov/pubmed/11460167.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32. </w:t>
      </w:r>
      <w:r w:rsidRPr="00F64FF9">
        <w:rPr>
          <w:rFonts w:ascii="Calibri" w:hAnsi="Calibri"/>
          <w:noProof/>
          <w:sz w:val="22"/>
        </w:rPr>
        <w:tab/>
        <w:t>Arch RH, Gedrich RW, Thompson CB (1998) Tumor necrosis factor receptor-associated factors (TRAFs)--a family of adapter proteins that regulates life and death. Genes &amp; development 12: 2821–2830.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33. </w:t>
      </w:r>
      <w:r w:rsidRPr="00F64FF9">
        <w:rPr>
          <w:rFonts w:ascii="Calibri" w:hAnsi="Calibri"/>
          <w:noProof/>
          <w:sz w:val="22"/>
        </w:rPr>
        <w:tab/>
        <w:t>Adhikari A, Xu M, Chen ZJ (2007) Ubiquitin-mediated activation of TAK1 and IKK. Oncogene 26: 3214–3226. doi:10.1038/sj.onc.1210413.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34. </w:t>
      </w:r>
      <w:r w:rsidRPr="00F64FF9">
        <w:rPr>
          <w:rFonts w:ascii="Calibri" w:hAnsi="Calibri"/>
          <w:noProof/>
          <w:sz w:val="22"/>
        </w:rPr>
        <w:tab/>
        <w:t>Covert MW, Leung TH, Gaston JE, Baltimore D (2005) Achieving stability of lipopolysaccharide-induced NF-kappaB activation. Science (New York, NY) 309: 1854–1857. Available: http://www.ncbi.nlm.nih.gov/pubmed/16166516. Accessed 23 July 2012.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35. </w:t>
      </w:r>
      <w:r w:rsidRPr="00F64FF9">
        <w:rPr>
          <w:rFonts w:ascii="Calibri" w:hAnsi="Calibri"/>
          <w:noProof/>
          <w:sz w:val="22"/>
        </w:rPr>
        <w:tab/>
        <w:t>Yamamoto M, Sato S, Mori K, Hoshino K, Takeuchi O, et al. (2002) Cutting edge: a novel Toll/IL-1 receptor domain-containing adapter that preferentially activates the IFN-beta promoter in the Toll-like receptor signaling. Journal of immunology (Baltimore, Md : 1950) 169: 6668–6672.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36. </w:t>
      </w:r>
      <w:r w:rsidRPr="00F64FF9">
        <w:rPr>
          <w:rFonts w:ascii="Calibri" w:hAnsi="Calibri"/>
          <w:noProof/>
          <w:sz w:val="22"/>
        </w:rPr>
        <w:tab/>
        <w:t>Yamamoto M, Sato S, Hemmi H, Uematsu S, Hoshino K, et al. (2003) TRAM is specifically involved in the Toll-like receptor 4-mediated MyD88-independent signaling pathway. Nature immunology 4: 1144–1150. doi:10.1038/ni986.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37. </w:t>
      </w:r>
      <w:r w:rsidRPr="00F64FF9">
        <w:rPr>
          <w:rFonts w:ascii="Calibri" w:hAnsi="Calibri"/>
          <w:noProof/>
          <w:sz w:val="22"/>
        </w:rPr>
        <w:tab/>
        <w:t>Fitzgerald KA, Rowe DC, Golenbock DT (2004) Endotoxin recognition and signal transduction by the TLR4/MD2-complex. Microbes and infection / Institut Pasteur 6: 1361–1367. doi:10.1016/j.micinf.2004.08.015.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38. </w:t>
      </w:r>
      <w:r w:rsidRPr="00F64FF9">
        <w:rPr>
          <w:rFonts w:ascii="Calibri" w:hAnsi="Calibri"/>
          <w:noProof/>
          <w:sz w:val="22"/>
        </w:rPr>
        <w:tab/>
        <w:t>Yamamoto M, Sato S, Hemmi H, Hoshino K, Kaisho T, et al. (2003) Role of adaptor TRIF in the MyD88-independent toll-like receptor signaling pathway. Science (New York, NY) 301: 640–643. doi:10.1126/science.1087262.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39. </w:t>
      </w:r>
      <w:r w:rsidRPr="00F64FF9">
        <w:rPr>
          <w:rFonts w:ascii="Calibri" w:hAnsi="Calibri"/>
          <w:noProof/>
          <w:sz w:val="22"/>
        </w:rPr>
        <w:tab/>
        <w:t>Fitzgerald KA, McWhirter SM, Faia KL, Rowe DC, Latz E, et al. (2003) IKKepsilon and TBK1 are essential components of the IRF3 signaling pathway. Nature immunology 4: 491–496. doi:10.1038/ni921.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40. </w:t>
      </w:r>
      <w:r w:rsidRPr="00F64FF9">
        <w:rPr>
          <w:rFonts w:ascii="Calibri" w:hAnsi="Calibri"/>
          <w:noProof/>
          <w:sz w:val="22"/>
        </w:rPr>
        <w:tab/>
        <w:t>Hemmi H, Takeuchi O, Sato S, Yamamoto M, Kaisho T, et al. (2004) The roles of two IkappaB kinase-related kinases in lipopolysaccharide and double stranded RNA signaling and viral infection. The Journal of experimental medicine 199: 1641–1650. doi:10.1084/jem.20040520.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41. </w:t>
      </w:r>
      <w:r w:rsidRPr="00F64FF9">
        <w:rPr>
          <w:rFonts w:ascii="Calibri" w:hAnsi="Calibri"/>
          <w:noProof/>
          <w:sz w:val="22"/>
        </w:rPr>
        <w:tab/>
        <w:t>Häcker H, Karin M (2006) Regulation and function of IKK and IKK-related kinases. Science’s STKE : signal transduction knowledge environment 2006: re13. doi:10.1126/stke.3572006re13.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42. </w:t>
      </w:r>
      <w:r w:rsidRPr="00F64FF9">
        <w:rPr>
          <w:rFonts w:ascii="Calibri" w:hAnsi="Calibri"/>
          <w:noProof/>
          <w:sz w:val="22"/>
        </w:rPr>
        <w:tab/>
        <w:t>Mori M, Yoneyama M, Ito T, Takahashi K, Inagaki F, et al. (2004) Identification of Ser-386 of interferon regulatory factor 3 as critical target for inducible phosphorylation that determines activation. The Journal of biological chemistry 279: 9698–9702. doi:10.1074/jbc.M310616200.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43. </w:t>
      </w:r>
      <w:r w:rsidRPr="00F64FF9">
        <w:rPr>
          <w:rFonts w:ascii="Calibri" w:hAnsi="Calibri"/>
          <w:noProof/>
          <w:sz w:val="22"/>
        </w:rPr>
        <w:tab/>
        <w:t>Stauber GB, Aiyer RA, Aggarwal BB (1988) Human tumor necrosis factor-alpha receptor. Purification by immunoaffinity chromatography and initial characterization. The Journal of biological chemistry 263: 19098–19104.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44. </w:t>
      </w:r>
      <w:r w:rsidRPr="00F64FF9">
        <w:rPr>
          <w:rFonts w:ascii="Calibri" w:hAnsi="Calibri"/>
          <w:noProof/>
          <w:sz w:val="22"/>
        </w:rPr>
        <w:tab/>
        <w:t>Kelliher MA, Grimm S, Ishida Y, Kuo F, Stanger BZ, et al. (1998) The death domain kinase RIP mediates the TNF-induced NF-kappaB signal. Immunity 8: 297–303.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45. </w:t>
      </w:r>
      <w:r w:rsidRPr="00F64FF9">
        <w:rPr>
          <w:rFonts w:ascii="Calibri" w:hAnsi="Calibri"/>
          <w:noProof/>
          <w:sz w:val="22"/>
        </w:rPr>
        <w:tab/>
        <w:t>Zhang J, Cado D, Chen A, Kabra NH, Winoto A (1998) Fas-mediated apoptosis and activation-induced T-cell proliferation are defective in mice lacking FADD/Mort1. Nature 392: 296–300. doi:10.1038/32681.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46. </w:t>
      </w:r>
      <w:r w:rsidRPr="00F64FF9">
        <w:rPr>
          <w:rFonts w:ascii="Calibri" w:hAnsi="Calibri"/>
          <w:noProof/>
          <w:sz w:val="22"/>
        </w:rPr>
        <w:tab/>
        <w:t>Yeh WC, Shahinian A, Speiser D, Kraunus J, Billia F, et al. (1997) Early lethality, functional NF-kappaB activation, and increased sensitivity to TNF-induced cell death in TRAF2-deficient mice. Immunity 7: 715–725.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47. </w:t>
      </w:r>
      <w:r w:rsidRPr="00F64FF9">
        <w:rPr>
          <w:rFonts w:ascii="Calibri" w:hAnsi="Calibri"/>
          <w:noProof/>
          <w:sz w:val="22"/>
        </w:rPr>
        <w:tab/>
        <w:t>Liu ZG, Hsu H, Goeddel D V, Karin M (1996) Dissection of TNF receptor 1 effector functions: JNK activation is not linked to apoptosis while NF-kappaB activation prevents cell death. Cell 87: 565–576.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48. </w:t>
      </w:r>
      <w:r w:rsidRPr="00F64FF9">
        <w:rPr>
          <w:rFonts w:ascii="Calibri" w:hAnsi="Calibri"/>
          <w:noProof/>
          <w:sz w:val="22"/>
        </w:rPr>
        <w:tab/>
        <w:t>Ea C-K, Deng L, Xia Z-P, Pineda G, Chen ZJ (2006) Activation of IKK by TNFalpha requires site-specific ubiquitination of RIP1 and polyubiquitin binding by NEMO. Molecular cell 22: 245–257. doi:10.1016/j.molcel.2006.03.026.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49. </w:t>
      </w:r>
      <w:r w:rsidRPr="00F64FF9">
        <w:rPr>
          <w:rFonts w:ascii="Calibri" w:hAnsi="Calibri"/>
          <w:noProof/>
          <w:sz w:val="22"/>
        </w:rPr>
        <w:tab/>
        <w:t>Gil J, Alcamí J, Esteban M (2000) Activation of NF-kappa B by the dsRNA-dependent protein kinase, PKR involves the I kappa B kinase complex. Oncogene 19: 1369–1378. doi:10.1038/sj.onc.1203448.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50. </w:t>
      </w:r>
      <w:r w:rsidRPr="00F64FF9">
        <w:rPr>
          <w:rFonts w:ascii="Calibri" w:hAnsi="Calibri"/>
          <w:noProof/>
          <w:sz w:val="22"/>
        </w:rPr>
        <w:tab/>
        <w:t>Brown K, Park S, Kanno T, Franzoso G, Siebenlist U (1993) Mutual regulation of the transcriptional activator NF-kappa B and its inhibitor, I kappa B-alpha. Proceedings of the National Academy of Sciences of the United States of America 90: 2532–2536.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51. </w:t>
      </w:r>
      <w:r w:rsidRPr="00F64FF9">
        <w:rPr>
          <w:rFonts w:ascii="Calibri" w:hAnsi="Calibri"/>
          <w:noProof/>
          <w:sz w:val="22"/>
        </w:rPr>
        <w:tab/>
        <w:t>Scott ML, Fujita T, Liou HC, Nolan GP, Baltimore D (1993) The p65 subunit of NF-kappa B regulates I kappa B by two distinct mechanisms. Genes &amp; development 7: 1266–1276.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52. </w:t>
      </w:r>
      <w:r w:rsidRPr="00F64FF9">
        <w:rPr>
          <w:rFonts w:ascii="Calibri" w:hAnsi="Calibri"/>
          <w:noProof/>
          <w:sz w:val="22"/>
        </w:rPr>
        <w:tab/>
        <w:t>Sun SC, Ganchi PA, Ballard DW, Greene WC (1993) NF-kappa B controls expression of inhibitor I kappa B alpha: evidence for an inducible autoregulatory pathway. Science (New York, NY) 259: 1912–1915.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53. </w:t>
      </w:r>
      <w:r w:rsidRPr="00F64FF9">
        <w:rPr>
          <w:rFonts w:ascii="Calibri" w:hAnsi="Calibri"/>
          <w:noProof/>
          <w:sz w:val="22"/>
        </w:rPr>
        <w:tab/>
        <w:t>Hoffmann A, Levchenko A, Scott ML, Baltimore D (2002) The IkappaB-NF-kappaB signaling module: temporal control and selective gene activation. Science (New York, NY) 298: 1241–1245. Available: http://www.ncbi.nlm.nih.gov/pubmed/12424381. Accessed 8 March 2012.</w:t>
      </w:r>
    </w:p>
    <w:p w:rsidR="00F64FF9" w:rsidRPr="00F64FF9" w:rsidRDefault="00F64FF9">
      <w:pPr>
        <w:pStyle w:val="NormalWeb"/>
        <w:ind w:left="640" w:hanging="640"/>
        <w:divId w:val="105389398"/>
        <w:rPr>
          <w:rFonts w:ascii="Calibri" w:hAnsi="Calibri"/>
          <w:noProof/>
          <w:sz w:val="22"/>
        </w:rPr>
      </w:pPr>
      <w:r w:rsidRPr="00F64FF9">
        <w:rPr>
          <w:rFonts w:ascii="Calibri" w:hAnsi="Calibri"/>
          <w:noProof/>
          <w:sz w:val="22"/>
        </w:rPr>
        <w:t xml:space="preserve">54. </w:t>
      </w:r>
      <w:r w:rsidRPr="00F64FF9">
        <w:rPr>
          <w:rFonts w:ascii="Calibri" w:hAnsi="Calibri"/>
          <w:noProof/>
          <w:sz w:val="22"/>
        </w:rPr>
        <w:tab/>
        <w:t xml:space="preserve">Nelson DE, Ihekwaba a EC, Elliott M, Johnson JR, Gibney C a, et al. (2004) Oscillations in NF-kappaB signaling control the dynamics of gene expression. Science (New York, NY) 306: 704–708. Available: http://www.ncbi.nlm.nih.gov/pubmed/15499023. Accessed 29 February 2012. </w:t>
      </w:r>
    </w:p>
    <w:p w:rsidR="0063240B" w:rsidRDefault="0063240B" w:rsidP="00F64FF9">
      <w:pPr>
        <w:pStyle w:val="NormalWeb"/>
        <w:ind w:left="640" w:hanging="640"/>
        <w:divId w:val="1823231912"/>
      </w:pPr>
    </w:p>
    <w:sectPr w:rsidR="0063240B" w:rsidSect="0055487A">
      <w:footerReference w:type="default" r:id="rId9"/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72A" w:rsidRDefault="003D472A" w:rsidP="0055487A">
      <w:pPr>
        <w:spacing w:after="0" w:line="240" w:lineRule="auto"/>
      </w:pPr>
      <w:r>
        <w:separator/>
      </w:r>
    </w:p>
  </w:endnote>
  <w:endnote w:type="continuationSeparator" w:id="0">
    <w:p w:rsidR="003D472A" w:rsidRDefault="003D472A" w:rsidP="00554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55293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487A" w:rsidRDefault="005548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472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5487A" w:rsidRDefault="005548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72A" w:rsidRDefault="003D472A" w:rsidP="0055487A">
      <w:pPr>
        <w:spacing w:after="0" w:line="240" w:lineRule="auto"/>
      </w:pPr>
      <w:r>
        <w:separator/>
      </w:r>
    </w:p>
  </w:footnote>
  <w:footnote w:type="continuationSeparator" w:id="0">
    <w:p w:rsidR="003D472A" w:rsidRDefault="003D472A" w:rsidP="005548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65C23"/>
    <w:multiLevelType w:val="multilevel"/>
    <w:tmpl w:val="B418734E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841"/>
    <w:rsid w:val="000F3F81"/>
    <w:rsid w:val="00285944"/>
    <w:rsid w:val="003D472A"/>
    <w:rsid w:val="004C2B39"/>
    <w:rsid w:val="0055487A"/>
    <w:rsid w:val="0063240B"/>
    <w:rsid w:val="00714700"/>
    <w:rsid w:val="00877B6E"/>
    <w:rsid w:val="00932841"/>
    <w:rsid w:val="00B3165B"/>
    <w:rsid w:val="00BB7D2E"/>
    <w:rsid w:val="00F6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841"/>
    <w:pPr>
      <w:spacing w:after="240" w:line="480" w:lineRule="auto"/>
      <w:ind w:firstLine="360"/>
    </w:pPr>
    <w:rPr>
      <w:rFonts w:eastAsiaTheme="minorEastAsia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3F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2B39"/>
    <w:pPr>
      <w:keepNext/>
      <w:keepLines/>
      <w:spacing w:before="200" w:after="0" w:line="276" w:lineRule="auto"/>
      <w:ind w:left="720" w:hanging="720"/>
      <w:outlineLvl w:val="2"/>
    </w:pPr>
    <w:rPr>
      <w:rFonts w:ascii="Cambria" w:eastAsiaTheme="majorEastAsia" w:hAnsi="Cambria" w:cstheme="majorBidi"/>
      <w:b/>
      <w:bCs/>
      <w:color w:val="365F91" w:themeColor="accent1" w:themeShade="BF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9"/>
    <w:rsid w:val="004C2B39"/>
    <w:rPr>
      <w:rFonts w:ascii="Cambria" w:eastAsiaTheme="majorEastAsia" w:hAnsi="Cambria" w:cstheme="majorBidi"/>
      <w:b/>
      <w:bCs/>
      <w:color w:val="365F91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3F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  <w:style w:type="paragraph" w:styleId="NormalWeb">
    <w:name w:val="Normal (Web)"/>
    <w:basedOn w:val="Normal"/>
    <w:uiPriority w:val="99"/>
    <w:unhideWhenUsed/>
    <w:rsid w:val="000F3F81"/>
    <w:pPr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55487A"/>
  </w:style>
  <w:style w:type="paragraph" w:styleId="Header">
    <w:name w:val="header"/>
    <w:basedOn w:val="Normal"/>
    <w:link w:val="HeaderChar"/>
    <w:uiPriority w:val="99"/>
    <w:unhideWhenUsed/>
    <w:rsid w:val="00554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87A"/>
    <w:rPr>
      <w:rFonts w:eastAsiaTheme="minorEastAsia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554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87A"/>
    <w:rPr>
      <w:rFonts w:eastAsiaTheme="minorEastAsia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841"/>
    <w:pPr>
      <w:spacing w:after="240" w:line="480" w:lineRule="auto"/>
      <w:ind w:firstLine="360"/>
    </w:pPr>
    <w:rPr>
      <w:rFonts w:eastAsiaTheme="minorEastAsia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3F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2B39"/>
    <w:pPr>
      <w:keepNext/>
      <w:keepLines/>
      <w:spacing w:before="200" w:after="0" w:line="276" w:lineRule="auto"/>
      <w:ind w:left="720" w:hanging="720"/>
      <w:outlineLvl w:val="2"/>
    </w:pPr>
    <w:rPr>
      <w:rFonts w:ascii="Cambria" w:eastAsiaTheme="majorEastAsia" w:hAnsi="Cambria" w:cstheme="majorBidi"/>
      <w:b/>
      <w:bCs/>
      <w:color w:val="365F91" w:themeColor="accent1" w:themeShade="BF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9"/>
    <w:rsid w:val="004C2B39"/>
    <w:rPr>
      <w:rFonts w:ascii="Cambria" w:eastAsiaTheme="majorEastAsia" w:hAnsi="Cambria" w:cstheme="majorBidi"/>
      <w:b/>
      <w:bCs/>
      <w:color w:val="365F91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3F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  <w:style w:type="paragraph" w:styleId="NormalWeb">
    <w:name w:val="Normal (Web)"/>
    <w:basedOn w:val="Normal"/>
    <w:uiPriority w:val="99"/>
    <w:unhideWhenUsed/>
    <w:rsid w:val="000F3F81"/>
    <w:pPr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55487A"/>
  </w:style>
  <w:style w:type="paragraph" w:styleId="Header">
    <w:name w:val="header"/>
    <w:basedOn w:val="Normal"/>
    <w:link w:val="HeaderChar"/>
    <w:uiPriority w:val="99"/>
    <w:unhideWhenUsed/>
    <w:rsid w:val="00554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87A"/>
    <w:rPr>
      <w:rFonts w:eastAsiaTheme="minorEastAsia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554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87A"/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0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50E41-46B6-4968-9605-B54E15D10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2429</Words>
  <Characters>13850</Characters>
  <Application>Microsoft Office Word</Application>
  <DocSecurity>0</DocSecurity>
  <Lines>115</Lines>
  <Paragraphs>32</Paragraphs>
  <ScaleCrop>false</ScaleCrop>
  <Company/>
  <LinksUpToDate>false</LinksUpToDate>
  <CharactersWithSpaces>16247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Gemma</dc:creator>
  <cp:lastModifiedBy>Gemma</cp:lastModifiedBy>
  <cp:revision>1</cp:revision>
  <dcterms:created xsi:type="dcterms:W3CDTF">2013-03-24T13:22:00Z</dcterms:created>
  <dcterms:modified xsi:type="dcterms:W3CDTF">2013-03-24T13:22:00Z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http://www.zotero.org/styles/american-medical-association-no-url</vt:lpwstr>
  </property>
  <property fmtid="{D5CDD505-2E9C-101B-9397-08002B2CF9AE}" pid="3" name="Mendeley Recent Style Name 0_1">
    <vt:lpwstr>American Medical Association (AMA) (no URL)</vt:lpwstr>
  </property>
  <property fmtid="{D5CDD505-2E9C-101B-9397-08002B2CF9AE}" pid="4" name="Mendeley Recent Style Id 1_1">
    <vt:lpwstr>http://www.zotero.org/styles/apsa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http://www.zotero.org/styles/asa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http://www.zotero.org/styles/mhra</vt:lpwstr>
  </property>
  <property fmtid="{D5CDD505-2E9C-101B-9397-08002B2CF9AE}" pid="17" name="Mendeley Recent Style Name 7_1">
    <vt:lpwstr>Modern Humanities Research Association (note with bibliography)</vt:lpwstr>
  </property>
  <property fmtid="{D5CDD505-2E9C-101B-9397-08002B2CF9AE}" pid="18" name="Mendeley Recent Style Id 8_1">
    <vt:lpwstr>http://www.zotero.org/styles/mla</vt:lpwstr>
  </property>
  <property fmtid="{D5CDD505-2E9C-101B-9397-08002B2CF9AE}" pid="19" name="Mendeley Recent Style Name 8_1">
    <vt:lpwstr>Modern Language Association</vt:lpwstr>
  </property>
  <property fmtid="{D5CDD505-2E9C-101B-9397-08002B2CF9AE}" pid="20" name="Mendeley Recent Style Id 9_1">
    <vt:lpwstr>http://www.zotero.org/styles/plos-one</vt:lpwstr>
  </property>
  <property fmtid="{D5CDD505-2E9C-101B-9397-08002B2CF9AE}" pid="21" name="Mendeley Recent Style Name 9_1">
    <vt:lpwstr>PLoS One</vt:lpwstr>
  </property>
</Properties>
</file>