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71" w:type="dxa"/>
        <w:tblInd w:w="47" w:type="dxa"/>
        <w:tblLayout w:type="fixed"/>
        <w:tblCellMar>
          <w:left w:w="10" w:type="dxa"/>
          <w:right w:w="10" w:type="dxa"/>
        </w:tblCellMar>
        <w:tblLook w:val="04A0" w:firstRow="1" w:lastRow="0" w:firstColumn="1" w:lastColumn="0" w:noHBand="0" w:noVBand="1"/>
      </w:tblPr>
      <w:tblGrid>
        <w:gridCol w:w="1144"/>
        <w:gridCol w:w="825"/>
        <w:gridCol w:w="1160"/>
        <w:gridCol w:w="2835"/>
        <w:gridCol w:w="3507"/>
      </w:tblGrid>
      <w:tr w:rsidR="002D6839" w:rsidRPr="00641561" w:rsidTr="00752F7E">
        <w:tc>
          <w:tcPr>
            <w:tcW w:w="1144" w:type="dxa"/>
            <w:tcBorders>
              <w:top w:val="single" w:sz="8" w:space="0" w:color="000000"/>
              <w:bottom w:val="single" w:sz="8" w:space="0" w:color="000000"/>
            </w:tcBorders>
            <w:shd w:val="clear" w:color="auto" w:fill="E6E6E6"/>
            <w:tcMar>
              <w:top w:w="0" w:type="dxa"/>
              <w:left w:w="57" w:type="dxa"/>
              <w:bottom w:w="0" w:type="dxa"/>
              <w:right w:w="0" w:type="dxa"/>
            </w:tcMar>
          </w:tcPr>
          <w:p w:rsidR="002D6839" w:rsidRPr="00641561" w:rsidRDefault="002D6839" w:rsidP="00752F7E">
            <w:pPr>
              <w:spacing w:after="0" w:line="240" w:lineRule="auto"/>
              <w:rPr>
                <w:b/>
                <w:sz w:val="22"/>
              </w:rPr>
            </w:pPr>
            <w:r w:rsidRPr="00641561">
              <w:rPr>
                <w:b/>
                <w:sz w:val="22"/>
              </w:rPr>
              <w:t>Enzyme</w:t>
            </w:r>
          </w:p>
        </w:tc>
        <w:tc>
          <w:tcPr>
            <w:tcW w:w="825" w:type="dxa"/>
            <w:tcBorders>
              <w:top w:val="single" w:sz="8" w:space="0" w:color="000000"/>
              <w:bottom w:val="single" w:sz="8" w:space="0" w:color="000000"/>
            </w:tcBorders>
            <w:shd w:val="clear" w:color="auto" w:fill="E6E6E6"/>
            <w:tcMar>
              <w:top w:w="0" w:type="dxa"/>
              <w:left w:w="57" w:type="dxa"/>
              <w:bottom w:w="0" w:type="dxa"/>
              <w:right w:w="0" w:type="dxa"/>
            </w:tcMar>
          </w:tcPr>
          <w:p w:rsidR="002D6839" w:rsidRPr="00641561" w:rsidRDefault="002D6839" w:rsidP="00752F7E">
            <w:pPr>
              <w:spacing w:after="0" w:line="240" w:lineRule="auto"/>
              <w:rPr>
                <w:b/>
                <w:sz w:val="22"/>
              </w:rPr>
            </w:pPr>
            <w:r w:rsidRPr="00641561">
              <w:rPr>
                <w:b/>
                <w:sz w:val="22"/>
              </w:rPr>
              <w:t>Parameter</w:t>
            </w:r>
          </w:p>
        </w:tc>
        <w:tc>
          <w:tcPr>
            <w:tcW w:w="1160" w:type="dxa"/>
            <w:tcBorders>
              <w:top w:val="single" w:sz="8" w:space="0" w:color="000000"/>
              <w:bottom w:val="single" w:sz="8" w:space="0" w:color="000000"/>
            </w:tcBorders>
            <w:shd w:val="clear" w:color="auto" w:fill="E6E6E6"/>
            <w:tcMar>
              <w:top w:w="0" w:type="dxa"/>
              <w:left w:w="57" w:type="dxa"/>
              <w:bottom w:w="0" w:type="dxa"/>
              <w:right w:w="0" w:type="dxa"/>
            </w:tcMar>
          </w:tcPr>
          <w:p w:rsidR="002D6839" w:rsidRPr="00641561" w:rsidRDefault="002D6839" w:rsidP="00752F7E">
            <w:pPr>
              <w:spacing w:after="0" w:line="240" w:lineRule="auto"/>
              <w:rPr>
                <w:b/>
                <w:sz w:val="22"/>
              </w:rPr>
            </w:pPr>
            <w:r w:rsidRPr="00641561">
              <w:rPr>
                <w:b/>
                <w:sz w:val="22"/>
              </w:rPr>
              <w:t>Value</w:t>
            </w:r>
          </w:p>
        </w:tc>
        <w:tc>
          <w:tcPr>
            <w:tcW w:w="2835" w:type="dxa"/>
            <w:tcBorders>
              <w:top w:val="single" w:sz="8" w:space="0" w:color="000000"/>
              <w:bottom w:val="single" w:sz="8" w:space="0" w:color="000000"/>
            </w:tcBorders>
            <w:shd w:val="clear" w:color="auto" w:fill="E6E6E6"/>
            <w:tcMar>
              <w:top w:w="0" w:type="dxa"/>
              <w:left w:w="57" w:type="dxa"/>
              <w:bottom w:w="0" w:type="dxa"/>
              <w:right w:w="0" w:type="dxa"/>
            </w:tcMar>
          </w:tcPr>
          <w:p w:rsidR="002D6839" w:rsidRPr="00641561" w:rsidRDefault="002D6839" w:rsidP="00752F7E">
            <w:pPr>
              <w:spacing w:after="0" w:line="240" w:lineRule="auto"/>
              <w:rPr>
                <w:b/>
                <w:sz w:val="22"/>
              </w:rPr>
            </w:pPr>
            <w:r w:rsidRPr="00641561">
              <w:rPr>
                <w:b/>
                <w:sz w:val="22"/>
              </w:rPr>
              <w:t>Unit</w:t>
            </w:r>
          </w:p>
        </w:tc>
        <w:tc>
          <w:tcPr>
            <w:tcW w:w="3507" w:type="dxa"/>
            <w:tcBorders>
              <w:top w:val="single" w:sz="8" w:space="0" w:color="000000"/>
              <w:bottom w:val="single" w:sz="8" w:space="0" w:color="000000"/>
            </w:tcBorders>
            <w:shd w:val="clear" w:color="auto" w:fill="E6E6E6"/>
            <w:tcMar>
              <w:top w:w="0" w:type="dxa"/>
              <w:left w:w="57" w:type="dxa"/>
              <w:bottom w:w="0" w:type="dxa"/>
              <w:right w:w="0" w:type="dxa"/>
            </w:tcMar>
          </w:tcPr>
          <w:p w:rsidR="002D6839" w:rsidRPr="00641561" w:rsidRDefault="002D6839" w:rsidP="00752F7E">
            <w:pPr>
              <w:spacing w:after="0" w:line="240" w:lineRule="auto"/>
              <w:rPr>
                <w:b/>
                <w:sz w:val="22"/>
              </w:rPr>
            </w:pPr>
            <w:r w:rsidRPr="00641561">
              <w:rPr>
                <w:b/>
                <w:sz w:val="22"/>
              </w:rPr>
              <w:t>Ref.</w:t>
            </w:r>
          </w:p>
        </w:tc>
      </w:tr>
      <w:tr w:rsidR="002D6839" w:rsidRPr="00641561" w:rsidTr="00752F7E">
        <w:tc>
          <w:tcPr>
            <w:tcW w:w="1144"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G6PDH</w:t>
            </w:r>
          </w:p>
        </w:tc>
        <w:tc>
          <w:tcPr>
            <w:tcW w:w="82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max,c</w:t>
            </w:r>
            <w:proofErr w:type="spellEnd"/>
            <w:r w:rsidRPr="00641561">
              <w:rPr>
                <w:i/>
                <w:sz w:val="22"/>
                <w:vertAlign w:val="subscript"/>
              </w:rPr>
              <w:t>/g</w:t>
            </w:r>
          </w:p>
        </w:tc>
        <w:tc>
          <w:tcPr>
            <w:tcW w:w="1160"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8.4</w:t>
            </w:r>
          </w:p>
        </w:tc>
        <w:tc>
          <w:tcPr>
            <w:tcW w:w="283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rPr>
                <w:sz w:val="22"/>
              </w:rPr>
            </w:pPr>
            <w:r w:rsidRPr="00641561">
              <w:rPr>
                <w:sz w:val="22"/>
              </w:rPr>
              <w:fldChar w:fldCharType="begin"/>
            </w:r>
            <w:r>
              <w:rPr>
                <w:sz w:val="22"/>
              </w:rPr>
              <w:instrText xml:space="preserve"> ADDIN ZOTERO_ITEM CSL_CITATION {"citationID":"2hafdum29k","properties":{"formattedCitation":"[1,2]","plainCitation":"[1,2]"},"citationItems":[{"id":216,"uris":["http://zotero.org/users/685052/items/JGWB7JRW"],"uri":["http://zotero.org/users/685052/items/JGWB7JRW"],"itemData":{"id":216,"type":"article-journal","title":"The enzymes of the classical pentose phosphate pathway display differential activities in procyclic and bloodstream forms of Trypanosoma brucei","container-title":"FEBS Letters","page":"26-30","volume":"244","issue":"1","source":"ScienceDirect","abstract":"The specific activities of each of the enzymes of the classical pentose phosphate pathway have been determined in both cultured procyclic and bloodstream forms of Trypanosoma brucei. Both forms contained glucose-6-phosphate dehydrogenase (EC 1.1.1.49), 6-phosphogluconolactonase (EC 3.1.1.31), 6-phosphogluconate dehydrogenase (EC 1.1.1.44), ribose-5-phosphate isomerase (EC 5.3.1.6) and transaldolase (EC 2.2.1.2). However, ribulose-5-phosphate 3′-epimerase (EC 5.1.3.1) and transketolase (EC 2.2.1.1) activities were detectable only in procyclic forms. These results clearly demonstrate that both forms of T. brucei can metabolize glucose via the oxidative segment of the classical pentose phosphate pathway in order to produce d-ribose-5-phosphate for the synthesis of nucleic acids and reduced NADP for other synthetic reactions. However, only procyclic forms are capable of using the non-oxidative segment of the classical pentose phosphate pathway to cycle carbon between pentose and hexose phosphates in order to produce d-glyceraldehyde 3-phosphate as a net product of the pathway. Both forms lack the key gluconeogenic enzyme, fructose-bisphosphatase (EC 3.1.3.11). Consequently, neither form should be able to engage in gluconeogenesis nor should procyclic forms be able to return any of the glyceraldehyde 3-phosphate produced in the pentose phosphate pathway to glucose 6-phosphate. This last specific metabolic arrangement and the restriction of all but the terminal steps of glycolysis to the glycosome may be the observations required to explain the presence of distinct cytosolic and glycosomal isoenzymes of glyceraldehyde-3-phosphate dehydrogenase and phosphoglycerate kinase. These same observations also may provide the basis for explaining the presence of cytosolic hexokinase and phosphoglucose isomerase without the presence of any cytosolic phosphofructokinase activity. The key enzymes of the Entner-Doudoroff pathway, 6-phosphogluconate dehydratase (EC 4.2.1.12) and 2-keto-3-deoxy-6-phosphogluconate aldolase (EC 4.1.2.14) were not detected in either procyclic or bloodstream forms of T. brucei.","DOI":"10.1016/0014-5793(89)81154-8","ISSN":"0014-5793","author":[{"family":"Cronin","given":"Ciaran N."},{"family":"Nolan","given":"Derek P."},{"family":"Paul Voorheis","given":"H."}],"issued":{"date-parts":[["1989",2,13]]},"accessed":{"date-parts":[["2012",6,14]]}}},{"id":314,"uris":["http://zotero.org/users/685052/items/SU55WQX6"],"uri":["http://zotero.org/users/685052/items/SU55WQX6"],"itemData":{"id":314,"type":"article-journal","title":"Purification, localisation and characterisation of glucose-6-phosphate dehydrogenase of Trypanosoma brucei","container-title":"Molecular and Biochemical Parasitology","page":"21-32","volume":"99","issue":"1","source":"NCBI PubMed","abstract":"Cell-fractionation and digitonin titration of procyclic trypomastigotes of Trypanosoma brucei, revealed that almost half of the total NADP+ -dependent glucose-6-phosphate dehydrogenase (G6PDH) activity, the first enzyme of the pentose phosphate pathway (PPP), is associated with glycosomes. The specific activity of G6PDH in the purified organelles was increased 4-fold relative to a total cell extract and showed latency. Moreover, in the absence of detergents this activity was totally resistant to the action of trypsin. The cytosolic counterpart was neither latent, nor was it resistant to trypsin. Both cytosolic and glycosomal G6PDH activities behaved identically on phenyl-, CM-, heparin-, and Affigel-blue-Sepharose columns. Both isoenzymes had a subunit Mr of 62 000 and an isoelectric point of 6.85, while kinetic studies carried out on the partially purified G6PDH from both cell compartments did not reveal any differences. The purified enzyme had an apparent Km of 138 and 5.3 microM for glucose 6-phosphate (G6P), and for NADP+, respectively, and had a specific activity of 14 micromol. (min mg of protein)(-1). We conclude that while in procyclic stages of T. brucei G6PDH activity is present in two different cell compartments, i.e. the cytosol and the glycosomes, these two activities most likely represent one and the same isoenzyme.","ISSN":"0166-6851","note":"PMID: 10215021","journalAbbreviation":"Mol. Biochem. Parasitol","author":[{"family":"Heise","given":"N"},{"family":"Opperdoes","given":"F R"}],"issued":{"date-parts":[["1999",3,15]]},"accessed":{"date-parts":[["2011",8,6]]},"PMID":"10215021"}}],"schema":"https://github.com/citation-style-language/schema/raw/master/csl-citation.json"} </w:instrText>
            </w:r>
            <w:r w:rsidRPr="00641561">
              <w:rPr>
                <w:sz w:val="22"/>
              </w:rPr>
              <w:fldChar w:fldCharType="separate"/>
            </w:r>
            <w:r w:rsidRPr="008750E9">
              <w:rPr>
                <w:sz w:val="22"/>
              </w:rPr>
              <w:t>[1,2]</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5.02</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8ft4qvul1","properties":{"formattedCitation":"[3]","plainCitation":"[3]"},"citationItems":[{"id":56,"uris":["http://zotero.org/users/685052/items/6C8K3SK6"],"uri":["http://zotero.org/users/685052/items/6C8K3SK6"],"itemData":{"id":56,"type":"article-journal","title":"Thermodynamics of Enzyme-Catalyzed Reactions: Part 1. Oxidoreductases","container-title":"Journal of Physical and Chemical Reference Data","page":"515-582","volume":"22","issue":"2","journalAbbreviation":"J Phys Chem Ref Data","author":[{"family":"Goldberg","given":"Robert N"},{"family":"Tewari","given":"Yadu B"},{"family":"Bell","given":"Donna"},{"family":"Fazio","given":"Kari"},{"family":"Anderson","given":"Ellen"}],"issued":{"date-parts":[["1993"]]}}}],"schema":"https://github.com/citation-style-language/schema/raw/master/csl-citation.json"} </w:instrText>
            </w:r>
            <w:r w:rsidRPr="00641561">
              <w:rPr>
                <w:sz w:val="22"/>
              </w:rPr>
              <w:fldChar w:fldCharType="separate"/>
            </w:r>
            <w:r w:rsidRPr="008750E9">
              <w:rPr>
                <w:sz w:val="22"/>
              </w:rPr>
              <w:t>[3]</w:t>
            </w:r>
            <w:r w:rsidRPr="00641561">
              <w:rPr>
                <w:sz w:val="22"/>
              </w:rPr>
              <w:fldChar w:fldCharType="end"/>
            </w:r>
            <w:r w:rsidRPr="00641561">
              <w:rPr>
                <w:i/>
                <w:iCs/>
                <w:sz w:val="22"/>
                <w:vertAlign w:val="superscript"/>
              </w:rPr>
              <w:t>a</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m,Glc-6-P</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0.058</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12mbjvnk9f","properties":{"formattedCitation":"[4]","plainCitation":"[4]"},"citationItems":[{"id":135,"uris":["http://zotero.org/users/685052/items/C8KVWISC"],"uri":["http://zotero.org/users/685052/items/C8KVWISC"],"itemData":{"id":135,"type":"article-journal","title":"Inhibition of Trypanosoma brucei glucose-6-phosphate dehydrogenase by human steroids and their effects on the viability of cultured parasites","container-title":"Bioorganic &amp; Medicinal Chemistry","page":"2483-2489","volume":"17","issue":"6","DOI":"doi: DOI: 10.1016/j.bmc.2009.01.068","ISSN":"0968-0896","journalAbbreviation":"Bioorg. Med. Chem.","author":[{"family":"Cordeiro","given":"Artur T."},{"family":"Thiemann","given":"Otavio H."},{"family":"Michels","given":"Paul A.M."}],"issued":{"date-parts":[["2009",3,15]]}}}],"schema":"https://github.com/citation-style-language/schema/raw/master/csl-citation.json"} </w:instrText>
            </w:r>
            <w:r w:rsidRPr="00641561">
              <w:rPr>
                <w:sz w:val="22"/>
              </w:rPr>
              <w:fldChar w:fldCharType="separate"/>
            </w:r>
            <w:r w:rsidRPr="008750E9">
              <w:rPr>
                <w:sz w:val="22"/>
              </w:rPr>
              <w:t>[4]</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 6-PGL</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0.04</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sujmnthln","properties":{"formattedCitation":"[5]","plainCitation":"[5]"},"citationItems":[{"id":400,"uris":["http://zotero.org/users/685052/items/XPHXVHRH"],"uri":["http://zotero.org/users/685052/items/XPHXVHRH"],"itemData":{"id":400,"type":"article-journal","title":"Regulation of the human-erythrocyte hexose-monophosphate shunt under conditions of oxidative stress. A study using NMR spectroscopy, a kinetic isotope effect, a reconstituted system and computer simulation","container-title":"European Journal of Biochemistry / FEBS","page":"371-386","volume":"150","issue":"2","source":"NCBI PubMed","abstract":"The regulation of the hexose monophosphate shunt of human erythrocytes under conditions of oxidative stress has been investigated by monitoring the reduction of oxidised glutathione (GSSG) to reduced glutathione (GSH) in erythrocytes containing high levels of GSSG; 1H NMR and a biochemical assay were used to measure the changes. A reconstituted metabolic system prepared with the purified erythrocyte enzymes was used in conjunction with studies of intact cells and haemolysates to determine the dependence of the rate of GSH production on the activities of hexokinase and glucose-6-phosphate dehydrogenase. Both of these enzymes have previously been claimed to be the rate-limiting step of oxidatively stimulated flux through the hexose monophosphate shunt. The absence of a kinetic isotope effect on the rate of GSH production in these systems, when [1-2H]glucose replaced glucose as the source of reducing equivalents, showed that glucose-6-phosphate dehydrogenase activity was not a strong determinant of the flux. The dependence of the rate of GSH production on the concentration of the hexokinase inhibitors glucose 1,6-bisphosphate and glycerate 2,3-bisphosphate showed that, under conditions of oxidative stress, hexokinase was the principal determinant of flux through the shunt. Glucose 1,6-bisphosphate at the concentration present in vivo appears to be more important in limiting hexokinase activity, and thus the rate of glucose utilisation, than was previously assumed. A detailed computer model of the system was developed based on the reported kinetic parameters of the enzymes involved. A sensitivity analysis of this model predicted that the hexokinase reaction would have a sensitivity coefficient of 0.995 with respect to the maximal rate of GSH production.","ISSN":"0014-2956","note":"PMID: 4018089","journalAbbreviation":"Eur. J. Biochem.","author":[{"family":"Thorburn","given":"D R"},{"family":"Kuchel","given":"P W"}],"issued":{"date-parts":[["1985",7,15]]},"accessed":{"date-parts":[["2012",2,13]]},"PMID":"4018089"}}],"schema":"https://github.com/citation-style-language/schema/raw/master/csl-citation.json"} </w:instrText>
            </w:r>
            <w:r w:rsidRPr="00641561">
              <w:rPr>
                <w:sz w:val="22"/>
              </w:rPr>
              <w:fldChar w:fldCharType="separate"/>
            </w:r>
            <w:r w:rsidRPr="008750E9">
              <w:rPr>
                <w:sz w:val="22"/>
              </w:rPr>
              <w:t>[5]</w:t>
            </w:r>
            <w:r w:rsidRPr="00641561">
              <w:rPr>
                <w:sz w:val="22"/>
              </w:rPr>
              <w:fldChar w:fldCharType="end"/>
            </w:r>
            <w:r w:rsidRPr="00641561">
              <w:rPr>
                <w:i/>
                <w:iCs/>
                <w:sz w:val="22"/>
                <w:vertAlign w:val="superscript"/>
              </w:rPr>
              <w:t>b</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 NADP+</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0.0094</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13hopeot4f","properties":{"formattedCitation":"[4]","plainCitation":"[4]"},"citationItems":[{"id":135,"uris":["http://zotero.org/users/685052/items/C8KVWISC"],"uri":["http://zotero.org/users/685052/items/C8KVWISC"],"itemData":{"id":135,"type":"article-journal","title":"Inhibition of Trypanosoma brucei glucose-6-phosphate dehydrogenase by human steroids and their effects on the viability of cultured parasites","container-title":"Bioorganic &amp; Medicinal Chemistry","page":"2483-2489","volume":"17","issue":"6","DOI":"doi: DOI: 10.1016/j.bmc.2009.01.068","ISSN":"0968-0896","journalAbbreviation":"Bioorg. Med. Chem.","author":[{"family":"Cordeiro","given":"Artur T."},{"family":"Thiemann","given":"Otavio H."},{"family":"Michels","given":"Paul A.M."}],"issued":{"date-parts":[["2009",3,15]]}}}],"schema":"https://github.com/citation-style-language/schema/raw/master/csl-citation.json"} </w:instrText>
            </w:r>
            <w:r w:rsidRPr="00641561">
              <w:rPr>
                <w:sz w:val="22"/>
              </w:rPr>
              <w:fldChar w:fldCharType="separate"/>
            </w:r>
            <w:r w:rsidRPr="008750E9">
              <w:rPr>
                <w:sz w:val="22"/>
              </w:rPr>
              <w:t>[4]</w:t>
            </w:r>
            <w:r w:rsidRPr="00641561">
              <w:rPr>
                <w:sz w:val="22"/>
              </w:rPr>
              <w:fldChar w:fldCharType="end"/>
            </w:r>
          </w:p>
        </w:tc>
      </w:tr>
      <w:tr w:rsidR="002D6839" w:rsidRPr="00641561" w:rsidTr="00752F7E">
        <w:tc>
          <w:tcPr>
            <w:tcW w:w="1144" w:type="dxa"/>
            <w:tcBorders>
              <w:bottom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 NADPH</w:t>
            </w:r>
          </w:p>
        </w:tc>
        <w:tc>
          <w:tcPr>
            <w:tcW w:w="1160"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0.0001</w:t>
            </w:r>
          </w:p>
        </w:tc>
        <w:tc>
          <w:tcPr>
            <w:tcW w:w="283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KQtLRKOt","properties":{"formattedCitation":"[5]","plainCitation":"[5]"},"citationItems":[{"id":400,"uris":["http://zotero.org/users/685052/items/XPHXVHRH"],"uri":["http://zotero.org/users/685052/items/XPHXVHRH"],"itemData":{"id":400,"type":"article-journal","title":"Regulation of the human-erythrocyte hexose-monophosphate shunt under conditions of oxidative stress. A study using NMR spectroscopy, a kinetic isotope effect, a reconstituted system and computer simulation","container-title":"European Journal of Biochemistry / FEBS","page":"371-386","volume":"150","issue":"2","source":"NCBI PubMed","abstract":"The regulation of the hexose monophosphate shunt of human erythrocytes under conditions of oxidative stress has been investigated by monitoring the reduction of oxidised glutathione (GSSG) to reduced glutathione (GSH) in erythrocytes containing high levels of GSSG; 1H NMR and a biochemical assay were used to measure the changes. A reconstituted metabolic system prepared with the purified erythrocyte enzymes was used in conjunction with studies of intact cells and haemolysates to determine the dependence of the rate of GSH production on the activities of hexokinase and glucose-6-phosphate dehydrogenase. Both of these enzymes have previously been claimed to be the rate-limiting step of oxidatively stimulated flux through the hexose monophosphate shunt. The absence of a kinetic isotope effect on the rate of GSH production in these systems, when [1-2H]glucose replaced glucose as the source of reducing equivalents, showed that glucose-6-phosphate dehydrogenase activity was not a strong determinant of the flux. The dependence of the rate of GSH production on the concentration of the hexokinase inhibitors glucose 1,6-bisphosphate and glycerate 2,3-bisphosphate showed that, under conditions of oxidative stress, hexokinase was the principal determinant of flux through the shunt. Glucose 1,6-bisphosphate at the concentration present in vivo appears to be more important in limiting hexokinase activity, and thus the rate of glucose utilisation, than was previously assumed. A detailed computer model of the system was developed based on the reported kinetic parameters of the enzymes involved. A sensitivity analysis of this model predicted that the hexokinase reaction would have a sensitivity coefficient of 0.995 with respect to the maximal rate of GSH production.","ISSN":"0014-2956","note":"PMID: 4018089","journalAbbreviation":"Eur. J. Biochem.","author":[{"family":"Thorburn","given":"D R"},{"family":"Kuchel","given":"P W"}],"issued":{"date-parts":[["1985",7,15]]},"accessed":{"date-parts":[["2012",2,13]]},"PMID":"4018089"}}],"schema":"https://github.com/citation-style-language/schema/raw/master/csl-citation.json"} </w:instrText>
            </w:r>
            <w:r w:rsidRPr="00641561">
              <w:rPr>
                <w:sz w:val="22"/>
              </w:rPr>
              <w:fldChar w:fldCharType="separate"/>
            </w:r>
            <w:r w:rsidRPr="008750E9">
              <w:rPr>
                <w:sz w:val="22"/>
              </w:rPr>
              <w:t>[5]</w:t>
            </w:r>
            <w:r w:rsidRPr="00641561">
              <w:rPr>
                <w:sz w:val="22"/>
              </w:rPr>
              <w:fldChar w:fldCharType="end"/>
            </w:r>
            <w:r w:rsidRPr="00641561">
              <w:rPr>
                <w:i/>
                <w:iCs/>
                <w:sz w:val="22"/>
                <w:vertAlign w:val="superscript"/>
              </w:rPr>
              <w:t>b</w:t>
            </w:r>
          </w:p>
        </w:tc>
      </w:tr>
      <w:tr w:rsidR="002D6839" w:rsidRPr="00641561" w:rsidTr="00752F7E">
        <w:tc>
          <w:tcPr>
            <w:tcW w:w="1144"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PGL</w:t>
            </w:r>
          </w:p>
        </w:tc>
        <w:tc>
          <w:tcPr>
            <w:tcW w:w="82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max,g</w:t>
            </w:r>
            <w:proofErr w:type="spellEnd"/>
          </w:p>
        </w:tc>
        <w:tc>
          <w:tcPr>
            <w:tcW w:w="1160"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5</w:t>
            </w:r>
          </w:p>
        </w:tc>
        <w:tc>
          <w:tcPr>
            <w:tcW w:w="283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rPr>
                <w:sz w:val="22"/>
              </w:rPr>
            </w:pPr>
            <w:r w:rsidRPr="00641561">
              <w:rPr>
                <w:sz w:val="22"/>
              </w:rPr>
              <w:fldChar w:fldCharType="begin"/>
            </w:r>
            <w:r>
              <w:rPr>
                <w:sz w:val="22"/>
              </w:rPr>
              <w:instrText xml:space="preserve"> ADDIN ZOTERO_ITEM CSL_CITATION {"citationID":"8895fa0bq","properties":{"formattedCitation":"[1,6]","plainCitation":"[1,6]"},"citationItems":[{"id":216,"uris":["http://zotero.org/users/685052/items/JGWB7JRW"],"uri":["http://zotero.org/users/685052/items/JGWB7JRW"],"itemData":{"id":216,"type":"article-journal","title":"The enzymes of the classical pentose phosphate pathway display differential activities in procyclic and bloodstream forms of Trypanosoma brucei","container-title":"FEBS Letters","page":"26-30","volume":"244","issue":"1","source":"ScienceDirect","abstract":"The specific activities of each of the enzymes of the classical pentose phosphate pathway have been determined in both cultured procyclic and bloodstream forms of Trypanosoma brucei. Both forms contained glucose-6-phosphate dehydrogenase (EC 1.1.1.49), 6-phosphogluconolactonase (EC 3.1.1.31), 6-phosphogluconate dehydrogenase (EC 1.1.1.44), ribose-5-phosphate isomerase (EC 5.3.1.6) and transaldolase (EC 2.2.1.2). However, ribulose-5-phosphate 3′-epimerase (EC 5.1.3.1) and transketolase (EC 2.2.1.1) activities were detectable only in procyclic forms. These results clearly demonstrate that both forms of T. brucei can metabolize glucose via the oxidative segment of the classical pentose phosphate pathway in order to produce d-ribose-5-phosphate for the synthesis of nucleic acids and reduced NADP for other synthetic reactions. However, only procyclic forms are capable of using the non-oxidative segment of the classical pentose phosphate pathway to cycle carbon between pentose and hexose phosphates in order to produce d-glyceraldehyde 3-phosphate as a net product of the pathway. Both forms lack the key gluconeogenic enzyme, fructose-bisphosphatase (EC 3.1.3.11). Consequently, neither form should be able to engage in gluconeogenesis nor should procyclic forms be able to return any of the glyceraldehyde 3-phosphate produced in the pentose phosphate pathway to glucose 6-phosphate. This last specific metabolic arrangement and the restriction of all but the terminal steps of glycolysis to the glycosome may be the observations required to explain the presence of distinct cytosolic and glycosomal isoenzymes of glyceraldehyde-3-phosphate dehydrogenase and phosphoglycerate kinase. These same observations also may provide the basis for explaining the presence of cytosolic hexokinase and phosphoglucose isomerase without the presence of any cytosolic phosphofructokinase activity. The key enzymes of the Entner-Doudoroff pathway, 6-phosphogluconate dehydratase (EC 4.2.1.12) and 2-keto-3-deoxy-6-phosphogluconate aldolase (EC 4.1.2.14) were not detected in either procyclic or bloodstream forms of T. brucei.","DOI":"10.1016/0014-5793(89)81154-8","ISSN":"0014-5793","author":[{"family":"Cronin","given":"Ciaran N."},{"family":"Nolan","given":"Derek P."},{"family":"Paul Voorheis","given":"H."}],"issued":{"date-parts":[["1989",2,13]]},"accessed":{"date-parts":[["2012",6,14]]}}},{"id":37,"uris":["http://zotero.org/users/685052/items/4PBZZC5N"],"uri":["http://zotero.org/users/685052/items/4PBZZC5N"],"itemData":{"id":37,"type":"article-journal","title":"Molecular characterization of the first two enzymes of the pentose-phosphate pathway of Trypanosoma brucei. Glucose-6-phosphate dehydrogenase and 6-phosphogluconolactonase","container-title":"The Journal of Biological Chemistry","page":"27559-27565","volume":"275","issue":"36","source":"NCBI PubMed","abstract":"Trypanosomatids are parasitic protists that have part of their glycolytic pathway sequestered inside peroxisome-like organelles: the glycosomes. So far, at least one enzyme of the pentose-phosphate pathway has been found to be associated partially with glycosomes. Here, we describe how two genes from Trypanosoma brucei, coding for the first two enzymes of the pentose-phosphate pathway, i.e. glucose-6-phosphate dehydrogenase and 6-phosphogluconolactonase, were identified by in silico screening of trypanosome genome project data bases. These genes were cloned and sequenced. Analysis of the lactonase sequence revealed that it contained a C-terminal peroxisome targeting signal in agreement with its subcellular localization in the bloodstream form trypanosome (15% glycosomal and 85% cytosolic). However, the dehydrogenase sequence did not reveal any targeting signal, despite its localization inside glycosomes. The corresponding enzymes have been overexpressed in Escherichia coli and purified, and their biochemical characteristics have been determined.","DOI":"10.1074/jbc.M004266200","ISSN":"0021-9258","note":"PMID: 10867008","journalAbbreviation":"J. Biol. Chem","author":[{"family":"Duffieux","given":"F"},{"family":"Van Roy","given":"J"},{"family":"Michels","given":"P A"},{"family":"Opperdoes","given":"F R"}],"issued":{"date-parts":[["2000",9,8]]},"accessed":{"date-parts":[["2011",8,6]]},"PMID":"10867008"}}],"schema":"https://github.com/citation-style-language/schema/raw/master/csl-citation.json"} </w:instrText>
            </w:r>
            <w:r w:rsidRPr="00641561">
              <w:rPr>
                <w:sz w:val="22"/>
              </w:rPr>
              <w:fldChar w:fldCharType="separate"/>
            </w:r>
            <w:r w:rsidRPr="008750E9">
              <w:rPr>
                <w:sz w:val="22"/>
              </w:rPr>
              <w:t>[1,6]</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max,c</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28</w:t>
            </w:r>
          </w:p>
        </w:tc>
        <w:tc>
          <w:tcPr>
            <w:tcW w:w="2835" w:type="dxa"/>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KYBfCQG1","properties":{"formattedCitation":"[1,6]","plainCitation":"[1,6]"},"citationItems":[{"id":216,"uris":["http://zotero.org/users/685052/items/JGWB7JRW"],"uri":["http://zotero.org/users/685052/items/JGWB7JRW"],"itemData":{"id":216,"type":"article-journal","title":"The enzymes of the classical pentose phosphate pathway display differential activities in procyclic and bloodstream forms of Trypanosoma brucei","container-title":"FEBS Letters","page":"26-30","volume":"244","issue":"1","source":"ScienceDirect","abstract":"The specific activities of each of the enzymes of the classical pentose phosphate pathway have been determined in both cultured procyclic and bloodstream forms of Trypanosoma brucei. Both forms contained glucose-6-phosphate dehydrogenase (EC 1.1.1.49), 6-phosphogluconolactonase (EC 3.1.1.31), 6-phosphogluconate dehydrogenase (EC 1.1.1.44), ribose-5-phosphate isomerase (EC 5.3.1.6) and transaldolase (EC 2.2.1.2). However, ribulose-5-phosphate 3′-epimerase (EC 5.1.3.1) and transketolase (EC 2.2.1.1) activities were detectable only in procyclic forms. These results clearly demonstrate that both forms of T. brucei can metabolize glucose via the oxidative segment of the classical pentose phosphate pathway in order to produce d-ribose-5-phosphate for the synthesis of nucleic acids and reduced NADP for other synthetic reactions. However, only procyclic forms are capable of using the non-oxidative segment of the classical pentose phosphate pathway to cycle carbon between pentose and hexose phosphates in order to produce d-glyceraldehyde 3-phosphate as a net product of the pathway. Both forms lack the key gluconeogenic enzyme, fructose-bisphosphatase (EC 3.1.3.11). Consequently, neither form should be able to engage in gluconeogenesis nor should procyclic forms be able to return any of the glyceraldehyde 3-phosphate produced in the pentose phosphate pathway to glucose 6-phosphate. This last specific metabolic arrangement and the restriction of all but the terminal steps of glycolysis to the glycosome may be the observations required to explain the presence of distinct cytosolic and glycosomal isoenzymes of glyceraldehyde-3-phosphate dehydrogenase and phosphoglycerate kinase. These same observations also may provide the basis for explaining the presence of cytosolic hexokinase and phosphoglucose isomerase without the presence of any cytosolic phosphofructokinase activity. The key enzymes of the Entner-Doudoroff pathway, 6-phosphogluconate dehydratase (EC 4.2.1.12) and 2-keto-3-deoxy-6-phosphogluconate aldolase (EC 4.1.2.14) were not detected in either procyclic or bloodstream forms of T. brucei.","DOI":"10.1016/0014-5793(89)81154-8","ISSN":"0014-5793","author":[{"family":"Cronin","given":"Ciaran N."},{"family":"Nolan","given":"Derek P."},{"family":"Paul Voorheis","given":"H."}],"issued":{"date-parts":[["1989",2,13]]},"accessed":{"date-parts":[["2012",6,14]]}}},{"id":37,"uris":["http://zotero.org/users/685052/items/4PBZZC5N"],"uri":["http://zotero.org/users/685052/items/4PBZZC5N"],"itemData":{"id":37,"type":"article-journal","title":"Molecular characterization of the first two enzymes of the pentose-phosphate pathway of Trypanosoma brucei. Glucose-6-phosphate dehydrogenase and 6-phosphogluconolactonase","container-title":"The Journal of Biological Chemistry","page":"27559-27565","volume":"275","issue":"36","source":"NCBI PubMed","abstract":"Trypanosomatids are parasitic protists that have part of their glycolytic pathway sequestered inside peroxisome-like organelles: the glycosomes. So far, at least one enzyme of the pentose-phosphate pathway has been found to be associated partially with glycosomes. Here, we describe how two genes from Trypanosoma brucei, coding for the first two enzymes of the pentose-phosphate pathway, i.e. glucose-6-phosphate dehydrogenase and 6-phosphogluconolactonase, were identified by in silico screening of trypanosome genome project data bases. These genes were cloned and sequenced. Analysis of the lactonase sequence revealed that it contained a C-terminal peroxisome targeting signal in agreement with its subcellular localization in the bloodstream form trypanosome (15% glycosomal and 85% cytosolic). However, the dehydrogenase sequence did not reveal any targeting signal, despite its localization inside glycosomes. The corresponding enzymes have been overexpressed in Escherichia coli and purified, and their biochemical characteristics have been determined.","DOI":"10.1074/jbc.M004266200","ISSN":"0021-9258","note":"PMID: 10867008","journalAbbreviation":"J. Biol. Chem","author":[{"family":"Duffieux","given":"F"},{"family":"Van Roy","given":"J"},{"family":"Michels","given":"P A"},{"family":"Opperdoes","given":"F R"}],"issued":{"date-parts":[["2000",9,8]]},"accessed":{"date-parts":[["2011",8,6]]},"PMID":"10867008"}}],"schema":"https://github.com/citation-style-language/schema/raw/master/csl-citation.json"} </w:instrText>
            </w:r>
            <w:r w:rsidRPr="00641561">
              <w:rPr>
                <w:sz w:val="22"/>
              </w:rPr>
              <w:fldChar w:fldCharType="separate"/>
            </w:r>
            <w:r w:rsidRPr="008750E9">
              <w:rPr>
                <w:sz w:val="22"/>
              </w:rPr>
              <w:t>[1,6]</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iCs/>
                <w:sz w:val="22"/>
              </w:rPr>
            </w:pPr>
            <w:proofErr w:type="spellStart"/>
            <w:r w:rsidRPr="00641561">
              <w:rPr>
                <w:i/>
                <w:iCs/>
                <w:sz w:val="22"/>
              </w:rPr>
              <w:t>K</w:t>
            </w:r>
            <w:r w:rsidRPr="00641561">
              <w:rPr>
                <w:i/>
                <w:iCs/>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20000</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15qirsvk3f","properties":{"formattedCitation":"[7]","plainCitation":"[7]"},"citationItems":[{"id":250,"uris":["http://zotero.org/users/685052/items/NR5XACKK"],"uri":["http://zotero.org/users/685052/items/NR5XACKK"],"itemData":{"id":250,"type":"article-journal","title":"The interdependence of glycolytic and pentose cycle intermediates in ad libitum fed rats.","container-title":"Journal of Biological Chemistry","page":"690-698","volume":"261","issue":"2","source":"www.jbc.org","abstract":"Equilibrium constants for reactions catalyzed by ribulose-5-phosphate 3-epimerase, [sigma xylulose-5-P]/[sigma ribulose-5-P] = 1.82, ribose-5-phosphate isomerase, [sigma Rib-5-P]/[sigma ribulose-5-P] = 1.20, transaldolase, [sigma erythrose-4-P] [sigma Fru-6-P]/[sigma sedoheptulose-7-P] [sigma glyceraldehyde 3-P] = 0.37, and transketolase, [sigma Fru-6-P] [sigma glyceraldehyde 3-P]/[sigma erythrose-4-P] [sigma xylulose-5-P] = 29.7 and [sigma Rib-5-P] [sigma xylulose-5-P]/[sigma sedoheptulose-7-P] [sigma glyceraldehyde 3-P] = 0.48, were redetermined under physiological conditions. The equilibrium constant for the combined glucose-6-P dehydrogenase and 6-phosphoglucono-gamma-lactonase reaction, [6-phosphogluconate3-] [NADPH] [H+]2/[Glc-6-P2-] [NADP+], was found to be at least 1 X 10(-9). Using these redetermined equilibrium constants, calculated values of pentose cycle intermediates, based on near equilibrium assumptions and the tissue content of Fru-6-P and glyceraldehyde 3-P, were found to be in good agreement with measured values for male Wistar rats injected with saline, 20 mumol/g pyruvate, 20 mumol/g gluconate, and 20 mumol/g ribose. Measured and calculated values for pentose cycle intermediates in saline injected animals were ribulose-5-P; 3.8 +/- 0.4 and 2.4 +/- 0.1 nmol/g; xylulose-5-P, 5.9 +/- 0.6 nmol/g and 4.3 +/- 0.2 nmol/g; sedoheptulose-7-P, 41.5 +/- 2.4 and 37.6 +/- 2.9 nmol/g; and combined sedopheptulose-7-P and Rib-5-P, 43.0 +/- 2.8 nmol/g and 40.5 +/- 3.0 nmol/g; liver content of erythrose-4-P was less than the detection limits of the assay, 2 nmol/g. Calculated erythrose-4-P was 0.23 +/- 0.01 nmol/g. Liver content of 6-phosphogluconate was 8.5 +/- 0.7 nmol/g. The free cytosolic [NADP+]/[NADPH] ratio calculated from the 6-phosphogluconate dehydrogenase redox couple, 0.0030 +/- 0.0002, was also in good agreement with that calculated from the malic enzyme redox couple, 0.0051 +/- 0.0007, and the isocitrate dehydrogenase redox couple, 0.0066 +/- 0.0008. These data indicate the interdependence of the liver content of glycolytic intermediates and pentose cycle intermediates in ad libitum fed rats.","ISSN":"0021-9258, 1083-351X","journalAbbreviation":"J. Biol. Chem.","language":"en","author":[{"family":"Casazza","given":"J. P."},{"family":"Veech","given":"R. L."}],"issued":{"date-parts":[["1986",1,15]]},"accessed":{"date-parts":[["2012",9,14]]}}}],"schema":"https://github.com/citation-style-language/schema/raw/master/csl-citation.json"} </w:instrText>
            </w:r>
            <w:r w:rsidRPr="00641561">
              <w:rPr>
                <w:sz w:val="22"/>
              </w:rPr>
              <w:fldChar w:fldCharType="separate"/>
            </w:r>
            <w:r w:rsidRPr="008750E9">
              <w:rPr>
                <w:sz w:val="22"/>
              </w:rPr>
              <w:t>[7]</w:t>
            </w:r>
            <w:r w:rsidRPr="00641561">
              <w:rPr>
                <w:sz w:val="22"/>
              </w:rPr>
              <w:fldChar w:fldCharType="end"/>
            </w:r>
            <w:r w:rsidRPr="00641561">
              <w:rPr>
                <w:i/>
                <w:iCs/>
                <w:sz w:val="22"/>
                <w:vertAlign w:val="superscript"/>
              </w:rPr>
              <w:t>a</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m,6-PGL</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0.05</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autoSpaceDE w:val="0"/>
              <w:spacing w:after="0" w:line="240" w:lineRule="auto"/>
              <w:rPr>
                <w:sz w:val="22"/>
              </w:rPr>
            </w:pPr>
            <w:r w:rsidRPr="00641561">
              <w:rPr>
                <w:sz w:val="22"/>
              </w:rPr>
              <w:fldChar w:fldCharType="begin"/>
            </w:r>
            <w:r>
              <w:rPr>
                <w:sz w:val="22"/>
              </w:rPr>
              <w:instrText xml:space="preserve"> ADDIN ZOTERO_ITEM CSL_CITATION {"citationID":"1r1p3o7ubp","properties":{"formattedCitation":"[8]","plainCitation":"[8]"},"citationItems":[{"id":372,"uris":["http://zotero.org/users/685052/items/WE9CNSEX"],"uri":["http://zotero.org/users/685052/items/WE9CNSEX"],"itemData":{"id":372,"type":"article-journal","title":"The pentose phosphate pathway in Trypanosoma cruzi: a potential target for the chemotherapy of Chagas disease","container-title":"Anais Da Academia Brasileira De Ciências","page":"649-663","volume":"79","issue":"4","source":"NCBI PubMed","abstract":"Trypanosoma cruzi is highly sensitive to oxidative stress caused by reactive oxygen species. Trypanothione, the parasite's major protection against oxidative stress, is kept reduced by trypanothione reductase, using NADPH; the major source of the reduced coenzyme seems to be the pentose phosphate pathway. Its seven enzymes are present in the four major stages in the parasite's biological cycle; we have cloned and expressed them in Escherichia coli as active proteins. Glucose 6-phosphate dehydrogenase, which controls glucose flux through the pathway by its response to the NADP/NADPH ratio, is encoded by a number of genes per haploid genome, and is induced up to 46-fold by hydrogen peroxide in metacyclic trypomastigotes. The genes encoding 6-phosphogluconolactonase, 6-phosphogluconate dehydrogenase, transaldolase and transketolase are present in the CL Brener clone as a single copy per haploid genome. 6-phosphogluconate dehydrogenase is very unstable, but was stabilized introducing two salt bridges by site-directed mutagenesis. Ribose-5-phosphate isomerase belongs to Type B; genes encoding Type A enzymes, present in mammals, are absent. Ribulose-5-phosphate epimerase is encoded by two genes. The enzymes of the pathway have a major cytosolic component, although several of them have a secondary glycosomal localization, and also minor localizations in other organelles.","ISSN":"0001-3765","note":"PMID: 18066434","shortTitle":"The pentose phosphate pathway in Trypanosoma cruzi","journalAbbreviation":"An. Acad. Bras. Cienc","author":[{"family":"Igoillo-Esteve","given":"Mariana"},{"family":"Maugeri","given":"Dante"},{"family":"Stern","given":"Ana L"},{"family":"Beluardi","given":"Paula"},{"family":"Cazzulo","given":"Juan J"}],"issued":{"date-parts":[["2007",12]]},"accessed":{"date-parts":[["2011",8,6]]},"PMID":"18066434"}}],"schema":"https://github.com/citation-style-language/schema/raw/master/csl-citation.json"} </w:instrText>
            </w:r>
            <w:r w:rsidRPr="00641561">
              <w:rPr>
                <w:sz w:val="22"/>
              </w:rPr>
              <w:fldChar w:fldCharType="separate"/>
            </w:r>
            <w:r w:rsidRPr="008750E9">
              <w:rPr>
                <w:sz w:val="22"/>
              </w:rPr>
              <w:t>[8]</w:t>
            </w:r>
            <w:r w:rsidRPr="00641561">
              <w:rPr>
                <w:sz w:val="22"/>
              </w:rPr>
              <w:fldChar w:fldCharType="end"/>
            </w:r>
            <w:r w:rsidRPr="00641561">
              <w:rPr>
                <w:i/>
                <w:iCs/>
                <w:sz w:val="22"/>
                <w:vertAlign w:val="superscript"/>
              </w:rPr>
              <w:t>c</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iCs/>
                <w:sz w:val="22"/>
              </w:rPr>
            </w:pPr>
            <w:r w:rsidRPr="00641561">
              <w:rPr>
                <w:i/>
                <w:iCs/>
                <w:sz w:val="22"/>
              </w:rPr>
              <w:t>K</w:t>
            </w:r>
            <w:r w:rsidRPr="00641561">
              <w:rPr>
                <w:i/>
                <w:iCs/>
                <w:sz w:val="22"/>
                <w:vertAlign w:val="subscript"/>
              </w:rPr>
              <w:t>m,6-PG</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0.05</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autoSpaceDE w:val="0"/>
              <w:spacing w:after="0" w:line="240" w:lineRule="auto"/>
              <w:rPr>
                <w:i/>
                <w:iCs/>
                <w:sz w:val="22"/>
              </w:rPr>
            </w:pPr>
            <w:r w:rsidRPr="00641561">
              <w:rPr>
                <w:i/>
                <w:iCs/>
                <w:sz w:val="22"/>
              </w:rPr>
              <w:t>d</w:t>
            </w:r>
          </w:p>
        </w:tc>
      </w:tr>
      <w:tr w:rsidR="002D6839" w:rsidRPr="00641561" w:rsidTr="00752F7E">
        <w:tc>
          <w:tcPr>
            <w:tcW w:w="1144" w:type="dxa"/>
            <w:tcBorders>
              <w:bottom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p>
        </w:tc>
        <w:tc>
          <w:tcPr>
            <w:tcW w:w="1160"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0.055</w:t>
            </w:r>
          </w:p>
        </w:tc>
        <w:tc>
          <w:tcPr>
            <w:tcW w:w="283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min</w:t>
            </w:r>
            <w:r w:rsidRPr="00641561">
              <w:rPr>
                <w:sz w:val="22"/>
                <w:vertAlign w:val="superscript"/>
              </w:rPr>
              <w:t>−1</w:t>
            </w:r>
          </w:p>
        </w:tc>
        <w:tc>
          <w:tcPr>
            <w:tcW w:w="3507"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2fujb0acvv","properties":{"formattedCitation":"[9]","plainCitation":"[9]"},"citationItems":[{"id":425,"uris":["http://zotero.org/users/685052/items/ZT7E5JNX"],"uri":["http://zotero.org/users/685052/items/ZT7E5JNX"],"itemData":{"id":425,"type":"article-journal","title":"Rat liver 6-phosphogluconolactonase: a low Km enzyme","container-title":"Biochemical and Biophysical Research Communications","page":"1313-1318","volume":"71","issue":"4","source":"NCBI PubMed","ISSN":"0006-291X","note":"PMID: 971315","shortTitle":"Rat liver 6-phosphogluconolactonase","journalAbbreviation":"Biochem. Biophys. Res. Commun.","author":[{"family":"Schofield","given":"P J"},{"family":"Sols","given":"A"}],"issued":{"date-parts":[["1976",8,23]]},"accessed":{"date-parts":[["2012",2,13]]},"PMID":"971315"}}],"schema":"https://github.com/citation-style-language/schema/raw/master/csl-citation.json"} </w:instrText>
            </w:r>
            <w:r w:rsidRPr="00641561">
              <w:rPr>
                <w:sz w:val="22"/>
              </w:rPr>
              <w:fldChar w:fldCharType="separate"/>
            </w:r>
            <w:r w:rsidRPr="008750E9">
              <w:rPr>
                <w:sz w:val="22"/>
              </w:rPr>
              <w:t>[9]</w:t>
            </w:r>
            <w:r w:rsidRPr="00641561">
              <w:rPr>
                <w:sz w:val="22"/>
              </w:rPr>
              <w:fldChar w:fldCharType="end"/>
            </w:r>
          </w:p>
        </w:tc>
      </w:tr>
      <w:tr w:rsidR="002D6839" w:rsidRPr="00641561" w:rsidTr="00752F7E">
        <w:tc>
          <w:tcPr>
            <w:tcW w:w="1144"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6PGDH</w:t>
            </w:r>
          </w:p>
        </w:tc>
        <w:tc>
          <w:tcPr>
            <w:tcW w:w="82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max,c</w:t>
            </w:r>
            <w:proofErr w:type="spellEnd"/>
            <w:r w:rsidRPr="00641561">
              <w:rPr>
                <w:i/>
                <w:sz w:val="22"/>
                <w:vertAlign w:val="subscript"/>
              </w:rPr>
              <w:t>/g</w:t>
            </w:r>
          </w:p>
        </w:tc>
        <w:tc>
          <w:tcPr>
            <w:tcW w:w="1160"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 xml:space="preserve">10.6 </w:t>
            </w:r>
            <w:r w:rsidRPr="00641561">
              <w:rPr>
                <w:i/>
                <w:iCs/>
                <w:sz w:val="22"/>
                <w:vertAlign w:val="superscript"/>
              </w:rPr>
              <w:t>e</w:t>
            </w:r>
          </w:p>
        </w:tc>
        <w:tc>
          <w:tcPr>
            <w:tcW w:w="283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aegkmii78","properties":{"formattedCitation":"[1]","plainCitation":"[1]"},"citationItems":[{"id":216,"uris":["http://zotero.org/users/685052/items/JGWB7JRW"],"uri":["http://zotero.org/users/685052/items/JGWB7JRW"],"itemData":{"id":216,"type":"article-journal","title":"The enzymes of the classical pentose phosphate pathway display differential activities in procyclic and bloodstream forms of Trypanosoma brucei","container-title":"FEBS Letters","page":"26-30","volume":"244","issue":"1","source":"ScienceDirect","abstract":"The specific activities of each of the enzymes of the classical pentose phosphate pathway have been determined in both cultured procyclic and bloodstream forms of Trypanosoma brucei. Both forms contained glucose-6-phosphate dehydrogenase (EC 1.1.1.49), 6-phosphogluconolactonase (EC 3.1.1.31), 6-phosphogluconate dehydrogenase (EC 1.1.1.44), ribose-5-phosphate isomerase (EC 5.3.1.6) and transaldolase (EC 2.2.1.2). However, ribulose-5-phosphate 3′-epimerase (EC 5.1.3.1) and transketolase (EC 2.2.1.1) activities were detectable only in procyclic forms. These results clearly demonstrate that both forms of T. brucei can metabolize glucose via the oxidative segment of the classical pentose phosphate pathway in order to produce d-ribose-5-phosphate for the synthesis of nucleic acids and reduced NADP for other synthetic reactions. However, only procyclic forms are capable of using the non-oxidative segment of the classical pentose phosphate pathway to cycle carbon between pentose and hexose phosphates in order to produce d-glyceraldehyde 3-phosphate as a net product of the pathway. Both forms lack the key gluconeogenic enzyme, fructose-bisphosphatase (EC 3.1.3.11). Consequently, neither form should be able to engage in gluconeogenesis nor should procyclic forms be able to return any of the glyceraldehyde 3-phosphate produced in the pentose phosphate pathway to glucose 6-phosphate. This last specific metabolic arrangement and the restriction of all but the terminal steps of glycolysis to the glycosome may be the observations required to explain the presence of distinct cytosolic and glycosomal isoenzymes of glyceraldehyde-3-phosphate dehydrogenase and phosphoglycerate kinase. These same observations also may provide the basis for explaining the presence of cytosolic hexokinase and phosphoglucose isomerase without the presence of any cytosolic phosphofructokinase activity. The key enzymes of the Entner-Doudoroff pathway, 6-phosphogluconate dehydratase (EC 4.2.1.12) and 2-keto-3-deoxy-6-phosphogluconate aldolase (EC 4.1.2.14) were not detected in either procyclic or bloodstream forms of T. brucei.","DOI":"10.1016/0014-5793(89)81154-8","ISSN":"0014-5793","author":[{"family":"Cronin","given":"Ciaran N."},{"family":"Nolan","given":"Derek P."},{"family":"Paul Voorheis","given":"H."}],"issued":{"date-parts":[["1989",2,13]]},"accessed":{"date-parts":[["2012",6,14]]}}}],"schema":"https://github.com/citation-style-language/schema/raw/master/csl-citation.json"} </w:instrText>
            </w:r>
            <w:r w:rsidRPr="00641561">
              <w:rPr>
                <w:sz w:val="22"/>
              </w:rPr>
              <w:fldChar w:fldCharType="separate"/>
            </w:r>
            <w:r w:rsidRPr="008750E9">
              <w:rPr>
                <w:sz w:val="22"/>
              </w:rPr>
              <w:t>[1]</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47</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9ib0vqmih","properties":{"formattedCitation":"[10]","plainCitation":"[10]"},"citationItems":[{"id":241,"uris":["http://zotero.org/users/685052/items/MUEI6B5M"],"uri":["http://zotero.org/users/685052/items/MUEI6B5M"],"itemData":{"id":241,"type":"article-journal","title":"The nature of the carbon dioxide substrate and equilibrium constant of the 6-phosphogluconate dehydrogenase reaction","container-title":"Biochem. J.","page":"633-638","volume":"115","issue":"4","author":[{"family":"Villet","given":"R H"},{"family":"Dalziel","given":"K"}],"issued":{"date-parts":[["1969"]]}}}],"schema":"https://github.com/citation-style-language/schema/raw/master/csl-citation.json"} </w:instrText>
            </w:r>
            <w:r w:rsidRPr="00641561">
              <w:rPr>
                <w:sz w:val="22"/>
              </w:rPr>
              <w:fldChar w:fldCharType="separate"/>
            </w:r>
            <w:r w:rsidRPr="008750E9">
              <w:rPr>
                <w:sz w:val="22"/>
              </w:rPr>
              <w:t>[10]</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m,6-PG</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0.0035</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2m6d3m00r3","properties":{"formattedCitation":"[11]","plainCitation":"[11]"},"citationItems":[{"id":268,"uris":["http://zotero.org/users/685052/items/Q5QZG65W"],"uri":["http://zotero.org/users/685052/items/Q5QZG65W"],"itemData":{"id":268,"type":"article-journal","title":"6-Phosphogluconate dehydrogenase from Trypanosoma brucei","container-title":"European Journal of Biochemistry","page":"592–599","volume":"240","issue":"3","source":"Wiley Online Library","abstract":"The kinetics of 6-phosphogluconate dehydrogenase from Trypanosoma brucei was examined and compared to those of the same enzyme from lamb's liver. Variation of kinetic parameters as a function of pH suggests a chemical mechanism similar to other 6-phosphogluconate dehydrogenases. The comparison extended to a detailed analysis of the effect on enzyme activity by several inhibitors including the trypanocidal drugs suramin, melarsoprol and analogues of these compounds. The T. brucei enzyme differs significantly from its mammalian counterpart with respect to several inhibitors, particularly the substrate analogue 6-phospho-2-deoxygluconate and the coenzyme analogue adenosine 2′,5′-bisphosphate which have respectively 170-fold and 40-fold higher affinity for the parasite enzyme.","DOI":"10.1111/j.1432-1033.1996.0592h.x","ISSN":"1432-1033","journalAbbreviation":"Eur. J. Biochem","language":"en","author":[{"family":"Hanau","given":"Stefania"},{"family":"Rippa","given":"Mario"},{"family":"Bertelli","given":"Massimo"},{"family":"Dallocchio","given":"Franco"},{"family":"Barrett","given":"Michael P."}],"issued":{"date-parts":[["1996"]]},"accessed":{"date-parts":[["2012",8,16]]}}}],"schema":"https://github.com/citation-style-language/schema/raw/master/csl-citation.json"} </w:instrText>
            </w:r>
            <w:r w:rsidRPr="00641561">
              <w:rPr>
                <w:sz w:val="22"/>
              </w:rPr>
              <w:fldChar w:fldCharType="separate"/>
            </w:r>
            <w:r w:rsidRPr="008750E9">
              <w:rPr>
                <w:sz w:val="22"/>
              </w:rPr>
              <w:t>[11]</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m,Rul-5-P</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0.03</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8FY42SMo","properties":{"formattedCitation":"[11]","plainCitation":"[11]"},"citationItems":[{"id":268,"uris":["http://zotero.org/users/685052/items/Q5QZG65W"],"uri":["http://zotero.org/users/685052/items/Q5QZG65W"],"itemData":{"id":268,"type":"article-journal","title":"6-Phosphogluconate dehydrogenase from Trypanosoma brucei","container-title":"European Journal of Biochemistry","page":"592–599","volume":"240","issue":"3","source":"Wiley Online Library","abstract":"The kinetics of 6-phosphogluconate dehydrogenase from Trypanosoma brucei was examined and compared to those of the same enzyme from lamb's liver. Variation of kinetic parameters as a function of pH suggests a chemical mechanism similar to other 6-phosphogluconate dehydrogenases. The comparison extended to a detailed analysis of the effect on enzyme activity by several inhibitors including the trypanocidal drugs suramin, melarsoprol and analogues of these compounds. The T. brucei enzyme differs significantly from its mammalian counterpart with respect to several inhibitors, particularly the substrate analogue 6-phospho-2-deoxygluconate and the coenzyme analogue adenosine 2′,5′-bisphosphate which have respectively 170-fold and 40-fold higher affinity for the parasite enzyme.","DOI":"10.1111/j.1432-1033.1996.0592h.x","ISSN":"1432-1033","journalAbbreviation":"Eur. J. Biochem","language":"en","author":[{"family":"Hanau","given":"Stefania"},{"family":"Rippa","given":"Mario"},{"family":"Bertelli","given":"Massimo"},{"family":"Dallocchio","given":"Franco"},{"family":"Barrett","given":"Michael P."}],"issued":{"date-parts":[["1996"]]},"accessed":{"date-parts":[["2012",8,16]]}}}],"schema":"https://github.com/citation-style-language/schema/raw/master/csl-citation.json"} </w:instrText>
            </w:r>
            <w:r w:rsidRPr="00641561">
              <w:rPr>
                <w:sz w:val="22"/>
              </w:rPr>
              <w:fldChar w:fldCharType="separate"/>
            </w:r>
            <w:r w:rsidRPr="008750E9">
              <w:rPr>
                <w:sz w:val="22"/>
              </w:rPr>
              <w:t>[11]</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m,NADP</w:t>
            </w:r>
            <w:proofErr w:type="spellEnd"/>
            <w:r w:rsidRPr="00641561">
              <w:rPr>
                <w:i/>
                <w:sz w:val="22"/>
                <w:vertAlign w:val="subscript"/>
              </w:rPr>
              <w:t>+</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0.001</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pFoQnEIK","properties":{"formattedCitation":"[11]","plainCitation":"[11]"},"citationItems":[{"id":268,"uris":["http://zotero.org/users/685052/items/Q5QZG65W"],"uri":["http://zotero.org/users/685052/items/Q5QZG65W"],"itemData":{"id":268,"type":"article-journal","title":"6-Phosphogluconate dehydrogenase from Trypanosoma brucei","container-title":"European Journal of Biochemistry","page":"592–599","volume":"240","issue":"3","source":"Wiley Online Library","abstract":"The kinetics of 6-phosphogluconate dehydrogenase from Trypanosoma brucei was examined and compared to those of the same enzyme from lamb's liver. Variation of kinetic parameters as a function of pH suggests a chemical mechanism similar to other 6-phosphogluconate dehydrogenases. The comparison extended to a detailed analysis of the effect on enzyme activity by several inhibitors including the trypanocidal drugs suramin, melarsoprol and analogues of these compounds. The T. brucei enzyme differs significantly from its mammalian counterpart with respect to several inhibitors, particularly the substrate analogue 6-phospho-2-deoxygluconate and the coenzyme analogue adenosine 2′,5′-bisphosphate which have respectively 170-fold and 40-fold higher affinity for the parasite enzyme.","DOI":"10.1111/j.1432-1033.1996.0592h.x","ISSN":"1432-1033","journalAbbreviation":"Eur. J. Biochem","language":"en","author":[{"family":"Hanau","given":"Stefania"},{"family":"Rippa","given":"Mario"},{"family":"Bertelli","given":"Massimo"},{"family":"Dallocchio","given":"Franco"},{"family":"Barrett","given":"Michael P."}],"issued":{"date-parts":[["1996"]]},"accessed":{"date-parts":[["2012",8,16]]}}}],"schema":"https://github.com/citation-style-language/schema/raw/master/csl-citation.json"} </w:instrText>
            </w:r>
            <w:r w:rsidRPr="00641561">
              <w:rPr>
                <w:sz w:val="22"/>
              </w:rPr>
              <w:fldChar w:fldCharType="separate"/>
            </w:r>
            <w:r w:rsidRPr="008750E9">
              <w:rPr>
                <w:sz w:val="22"/>
              </w:rPr>
              <w:t>[11]</w:t>
            </w:r>
            <w:r w:rsidRPr="00641561">
              <w:rPr>
                <w:sz w:val="22"/>
              </w:rPr>
              <w:fldChar w:fldCharType="end"/>
            </w:r>
          </w:p>
        </w:tc>
      </w:tr>
      <w:tr w:rsidR="002D6839" w:rsidRPr="00641561" w:rsidTr="00752F7E">
        <w:tc>
          <w:tcPr>
            <w:tcW w:w="1144" w:type="dxa"/>
            <w:tcBorders>
              <w:bottom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m,NADPH</w:t>
            </w:r>
            <w:proofErr w:type="spellEnd"/>
          </w:p>
        </w:tc>
        <w:tc>
          <w:tcPr>
            <w:tcW w:w="1160"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0.0006</w:t>
            </w:r>
          </w:p>
        </w:tc>
        <w:tc>
          <w:tcPr>
            <w:tcW w:w="283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yTq95zk5","properties":{"formattedCitation":"[11]","plainCitation":"[11]"},"citationItems":[{"id":268,"uris":["http://zotero.org/users/685052/items/Q5QZG65W"],"uri":["http://zotero.org/users/685052/items/Q5QZG65W"],"itemData":{"id":268,"type":"article-journal","title":"6-Phosphogluconate dehydrogenase from Trypanosoma brucei","container-title":"European Journal of Biochemistry","page":"592–599","volume":"240","issue":"3","source":"Wiley Online Library","abstract":"The kinetics of 6-phosphogluconate dehydrogenase from Trypanosoma brucei was examined and compared to those of the same enzyme from lamb's liver. Variation of kinetic parameters as a function of pH suggests a chemical mechanism similar to other 6-phosphogluconate dehydrogenases. The comparison extended to a detailed analysis of the effect on enzyme activity by several inhibitors including the trypanocidal drugs suramin, melarsoprol and analogues of these compounds. The T. brucei enzyme differs significantly from its mammalian counterpart with respect to several inhibitors, particularly the substrate analogue 6-phospho-2-deoxygluconate and the coenzyme analogue adenosine 2′,5′-bisphosphate which have respectively 170-fold and 40-fold higher affinity for the parasite enzyme.","DOI":"10.1111/j.1432-1033.1996.0592h.x","ISSN":"1432-1033","journalAbbreviation":"Eur. J. Biochem","language":"en","author":[{"family":"Hanau","given":"Stefania"},{"family":"Rippa","given":"Mario"},{"family":"Bertelli","given":"Massimo"},{"family":"Dallocchio","given":"Franco"},{"family":"Barrett","given":"Michael P."}],"issued":{"date-parts":[["1996"]]},"accessed":{"date-parts":[["2012",8,16]]}}}],"schema":"https://github.com/citation-style-language/schema/raw/master/csl-citation.json"} </w:instrText>
            </w:r>
            <w:r w:rsidRPr="00641561">
              <w:rPr>
                <w:sz w:val="22"/>
              </w:rPr>
              <w:fldChar w:fldCharType="separate"/>
            </w:r>
            <w:r w:rsidRPr="008750E9">
              <w:rPr>
                <w:sz w:val="22"/>
              </w:rPr>
              <w:t>[11]</w:t>
            </w:r>
            <w:r w:rsidRPr="00641561">
              <w:rPr>
                <w:sz w:val="22"/>
              </w:rPr>
              <w:fldChar w:fldCharType="end"/>
            </w:r>
          </w:p>
        </w:tc>
      </w:tr>
      <w:tr w:rsidR="002D6839" w:rsidRPr="00641561" w:rsidTr="00752F7E">
        <w:tc>
          <w:tcPr>
            <w:tcW w:w="1144"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PPI</w:t>
            </w:r>
          </w:p>
        </w:tc>
        <w:tc>
          <w:tcPr>
            <w:tcW w:w="82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max,c</w:t>
            </w:r>
            <w:proofErr w:type="spellEnd"/>
            <w:r w:rsidRPr="00641561">
              <w:rPr>
                <w:i/>
                <w:sz w:val="22"/>
                <w:vertAlign w:val="subscript"/>
              </w:rPr>
              <w:t>/g</w:t>
            </w:r>
          </w:p>
        </w:tc>
        <w:tc>
          <w:tcPr>
            <w:tcW w:w="1160"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 xml:space="preserve">72 </w:t>
            </w:r>
            <w:r w:rsidRPr="00641561">
              <w:rPr>
                <w:i/>
                <w:iCs/>
                <w:sz w:val="22"/>
                <w:vertAlign w:val="superscript"/>
              </w:rPr>
              <w:t>e</w:t>
            </w:r>
          </w:p>
        </w:tc>
        <w:tc>
          <w:tcPr>
            <w:tcW w:w="283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u72syFip","properties":{"formattedCitation":"[1]","plainCitation":"[1]"},"citationItems":[{"id":216,"uris":["http://zotero.org/users/685052/items/JGWB7JRW"],"uri":["http://zotero.org/users/685052/items/JGWB7JRW"],"itemData":{"id":216,"type":"article-journal","title":"The enzymes of the classical pentose phosphate pathway display differential activities in procyclic and bloodstream forms of Trypanosoma brucei","container-title":"FEBS Letters","page":"26-30","volume":"244","issue":"1","source":"ScienceDirect","abstract":"The specific activities of each of the enzymes of the classical pentose phosphate pathway have been determined in both cultured procyclic and bloodstream forms of Trypanosoma brucei. Both forms contained glucose-6-phosphate dehydrogenase (EC 1.1.1.49), 6-phosphogluconolactonase (EC 3.1.1.31), 6-phosphogluconate dehydrogenase (EC 1.1.1.44), ribose-5-phosphate isomerase (EC 5.3.1.6) and transaldolase (EC 2.2.1.2). However, ribulose-5-phosphate 3′-epimerase (EC 5.1.3.1) and transketolase (EC 2.2.1.1) activities were detectable only in procyclic forms. These results clearly demonstrate that both forms of T. brucei can metabolize glucose via the oxidative segment of the classical pentose phosphate pathway in order to produce d-ribose-5-phosphate for the synthesis of nucleic acids and reduced NADP for other synthetic reactions. However, only procyclic forms are capable of using the non-oxidative segment of the classical pentose phosphate pathway to cycle carbon between pentose and hexose phosphates in order to produce d-glyceraldehyde 3-phosphate as a net product of the pathway. Both forms lack the key gluconeogenic enzyme, fructose-bisphosphatase (EC 3.1.3.11). Consequently, neither form should be able to engage in gluconeogenesis nor should procyclic forms be able to return any of the glyceraldehyde 3-phosphate produced in the pentose phosphate pathway to glucose 6-phosphate. This last specific metabolic arrangement and the restriction of all but the terminal steps of glycolysis to the glycosome may be the observations required to explain the presence of distinct cytosolic and glycosomal isoenzymes of glyceraldehyde-3-phosphate dehydrogenase and phosphoglycerate kinase. These same observations also may provide the basis for explaining the presence of cytosolic hexokinase and phosphoglucose isomerase without the presence of any cytosolic phosphofructokinase activity. The key enzymes of the Entner-Doudoroff pathway, 6-phosphogluconate dehydratase (EC 4.2.1.12) and 2-keto-3-deoxy-6-phosphogluconate aldolase (EC 4.1.2.14) were not detected in either procyclic or bloodstream forms of T. brucei.","DOI":"10.1016/0014-5793(89)81154-8","ISSN":"0014-5793","author":[{"family":"Cronin","given":"Ciaran N."},{"family":"Nolan","given":"Derek P."},{"family":"Paul Voorheis","given":"H."}],"issued":{"date-parts":[["1989",2,13]]},"accessed":{"date-parts":[["2012",6,14]]}}}],"schema":"https://github.com/citation-style-language/schema/raw/master/csl-citation.json"} </w:instrText>
            </w:r>
            <w:r w:rsidRPr="00641561">
              <w:rPr>
                <w:sz w:val="22"/>
              </w:rPr>
              <w:fldChar w:fldCharType="separate"/>
            </w:r>
            <w:r w:rsidRPr="008750E9">
              <w:rPr>
                <w:sz w:val="22"/>
              </w:rPr>
              <w:t>[1]</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5.6</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sl597veei","properties":{"formattedCitation":"[12]","plainCitation":"[12]"},"citationItems":[{"id":390,"uris":["http://zotero.org/users/685052/items/XB233FU8"],"uri":["http://zotero.org/users/685052/items/XB233FU8"],"itemData":{"id":390,"type":"article-journal","title":"Thermodynamics of Enzyme-Catalyzed Reactions: Part 5. Isomerases and Ligases","container-title":"Journal of Physical and Chemical Reference Data","page":"1765-1801","volume":"24","issue":"6","journalAbbreviation":"J Phys Chem Ref Data","author":[{"family":"Goldberg","given":"Robert N"},{"family":"Tewari","given":"Yadu B"}],"issued":{"date-parts":[["1995"]]}}}],"schema":"https://github.com/citation-style-language/schema/raw/master/csl-citation.json"} </w:instrText>
            </w:r>
            <w:r w:rsidRPr="00641561">
              <w:rPr>
                <w:sz w:val="22"/>
              </w:rPr>
              <w:fldChar w:fldCharType="separate"/>
            </w:r>
            <w:r w:rsidRPr="008750E9">
              <w:rPr>
                <w:sz w:val="22"/>
              </w:rPr>
              <w:t>[12]</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m,Rul5P</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4</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autoSpaceDE w:val="0"/>
              <w:spacing w:after="0" w:line="240" w:lineRule="auto"/>
              <w:rPr>
                <w:sz w:val="22"/>
              </w:rPr>
            </w:pPr>
            <w:r w:rsidRPr="00641561">
              <w:rPr>
                <w:sz w:val="22"/>
              </w:rPr>
              <w:fldChar w:fldCharType="begin"/>
            </w:r>
            <w:r>
              <w:rPr>
                <w:sz w:val="22"/>
              </w:rPr>
              <w:instrText xml:space="preserve"> ADDIN ZOTERO_ITEM CSL_CITATION {"citationID":"zitteVFB","properties":{"formattedCitation":"[8]","plainCitation":"[8]"},"citationItems":[{"id":372,"uris":["http://zotero.org/users/685052/items/WE9CNSEX"],"uri":["http://zotero.org/users/685052/items/WE9CNSEX"],"itemData":{"id":372,"type":"article-journal","title":"The pentose phosphate pathway in Trypanosoma cruzi: a potential target for the chemotherapy of Chagas disease","container-title":"Anais Da Academia Brasileira De Ciências","page":"649-663","volume":"79","issue":"4","source":"NCBI PubMed","abstract":"Trypanosoma cruzi is highly sensitive to oxidative stress caused by reactive oxygen species. Trypanothione, the parasite's major protection against oxidative stress, is kept reduced by trypanothione reductase, using NADPH; the major source of the reduced coenzyme seems to be the pentose phosphate pathway. Its seven enzymes are present in the four major stages in the parasite's biological cycle; we have cloned and expressed them in Escherichia coli as active proteins. Glucose 6-phosphate dehydrogenase, which controls glucose flux through the pathway by its response to the NADP/NADPH ratio, is encoded by a number of genes per haploid genome, and is induced up to 46-fold by hydrogen peroxide in metacyclic trypomastigotes. The genes encoding 6-phosphogluconolactonase, 6-phosphogluconate dehydrogenase, transaldolase and transketolase are present in the CL Brener clone as a single copy per haploid genome. 6-phosphogluconate dehydrogenase is very unstable, but was stabilized introducing two salt bridges by site-directed mutagenesis. Ribose-5-phosphate isomerase belongs to Type B; genes encoding Type A enzymes, present in mammals, are absent. Ribulose-5-phosphate epimerase is encoded by two genes. The enzymes of the pathway have a major cytosolic component, although several of them have a secondary glycosomal localization, and also minor localizations in other organelles.","ISSN":"0001-3765","note":"PMID: 18066434","shortTitle":"The pentose phosphate pathway in Trypanosoma cruzi","journalAbbreviation":"An. Acad. Bras. Cienc","author":[{"family":"Igoillo-Esteve","given":"Mariana"},{"family":"Maugeri","given":"Dante"},{"family":"Stern","given":"Ana L"},{"family":"Beluardi","given":"Paula"},{"family":"Cazzulo","given":"Juan J"}],"issued":{"date-parts":[["2007",12]]},"accessed":{"date-parts":[["2011",8,6]]},"PMID":"18066434"}}],"schema":"https://github.com/citation-style-language/schema/raw/master/csl-citation.json"} </w:instrText>
            </w:r>
            <w:r w:rsidRPr="00641561">
              <w:rPr>
                <w:sz w:val="22"/>
              </w:rPr>
              <w:fldChar w:fldCharType="separate"/>
            </w:r>
            <w:r w:rsidRPr="008750E9">
              <w:rPr>
                <w:sz w:val="22"/>
              </w:rPr>
              <w:t>[8]</w:t>
            </w:r>
            <w:r w:rsidRPr="00641561">
              <w:rPr>
                <w:sz w:val="22"/>
              </w:rPr>
              <w:fldChar w:fldCharType="end"/>
            </w:r>
            <w:r w:rsidRPr="00641561">
              <w:rPr>
                <w:i/>
                <w:iCs/>
                <w:sz w:val="22"/>
                <w:vertAlign w:val="superscript"/>
              </w:rPr>
              <w:t>c</w:t>
            </w:r>
          </w:p>
        </w:tc>
      </w:tr>
      <w:tr w:rsidR="002D6839" w:rsidRPr="00641561" w:rsidTr="00752F7E">
        <w:tc>
          <w:tcPr>
            <w:tcW w:w="1144" w:type="dxa"/>
            <w:tcBorders>
              <w:bottom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m,Rib5P</w:t>
            </w:r>
          </w:p>
        </w:tc>
        <w:tc>
          <w:tcPr>
            <w:tcW w:w="1160"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1.4</w:t>
            </w:r>
          </w:p>
        </w:tc>
        <w:tc>
          <w:tcPr>
            <w:tcW w:w="283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bottom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rPr>
                <w:sz w:val="22"/>
              </w:rPr>
            </w:pPr>
            <w:r w:rsidRPr="00641561">
              <w:rPr>
                <w:sz w:val="22"/>
              </w:rPr>
              <w:fldChar w:fldCharType="begin"/>
            </w:r>
            <w:r>
              <w:rPr>
                <w:sz w:val="22"/>
              </w:rPr>
              <w:instrText xml:space="preserve"> ADDIN ZOTERO_ITEM CSL_CITATION {"citationID":"HU98HsGj","properties":{"formattedCitation":"[8]","plainCitation":"[8]"},"citationItems":[{"id":372,"uris":["http://zotero.org/users/685052/items/WE9CNSEX"],"uri":["http://zotero.org/users/685052/items/WE9CNSEX"],"itemData":{"id":372,"type":"article-journal","title":"The pentose phosphate pathway in Trypanosoma cruzi: a potential target for the chemotherapy of Chagas disease","container-title":"Anais Da Academia Brasileira De Ciências","page":"649-663","volume":"79","issue":"4","source":"NCBI PubMed","abstract":"Trypanosoma cruzi is highly sensitive to oxidative stress caused by reactive oxygen species. Trypanothione, the parasite's major protection against oxidative stress, is kept reduced by trypanothione reductase, using NADPH; the major source of the reduced coenzyme seems to be the pentose phosphate pathway. Its seven enzymes are present in the four major stages in the parasite's biological cycle; we have cloned and expressed them in Escherichia coli as active proteins. Glucose 6-phosphate dehydrogenase, which controls glucose flux through the pathway by its response to the NADP/NADPH ratio, is encoded by a number of genes per haploid genome, and is induced up to 46-fold by hydrogen peroxide in metacyclic trypomastigotes. The genes encoding 6-phosphogluconolactonase, 6-phosphogluconate dehydrogenase, transaldolase and transketolase are present in the CL Brener clone as a single copy per haploid genome. 6-phosphogluconate dehydrogenase is very unstable, but was stabilized introducing two salt bridges by site-directed mutagenesis. Ribose-5-phosphate isomerase belongs to Type B; genes encoding Type A enzymes, present in mammals, are absent. Ribulose-5-phosphate epimerase is encoded by two genes. The enzymes of the pathway have a major cytosolic component, although several of them have a secondary glycosomal localization, and also minor localizations in other organelles.","ISSN":"0001-3765","note":"PMID: 18066434","shortTitle":"The pentose phosphate pathway in Trypanosoma cruzi","journalAbbreviation":"An. Acad. Bras. Cienc","author":[{"family":"Igoillo-Esteve","given":"Mariana"},{"family":"Maugeri","given":"Dante"},{"family":"Stern","given":"Ana L"},{"family":"Beluardi","given":"Paula"},{"family":"Cazzulo","given":"Juan J"}],"issued":{"date-parts":[["2007",12]]},"accessed":{"date-parts":[["2011",8,6]]},"PMID":"18066434"}}],"schema":"https://github.com/citation-style-language/schema/raw/master/csl-citation.json"} </w:instrText>
            </w:r>
            <w:r w:rsidRPr="00641561">
              <w:rPr>
                <w:sz w:val="22"/>
              </w:rPr>
              <w:fldChar w:fldCharType="separate"/>
            </w:r>
            <w:r w:rsidRPr="008750E9">
              <w:rPr>
                <w:sz w:val="22"/>
              </w:rPr>
              <w:t>[8]</w:t>
            </w:r>
            <w:r w:rsidRPr="00641561">
              <w:rPr>
                <w:sz w:val="22"/>
              </w:rPr>
              <w:fldChar w:fldCharType="end"/>
            </w:r>
            <w:r w:rsidRPr="00641561">
              <w:rPr>
                <w:i/>
                <w:iCs/>
                <w:sz w:val="22"/>
                <w:vertAlign w:val="superscript"/>
              </w:rPr>
              <w:t>c</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TR</w:t>
            </w:r>
          </w:p>
        </w:tc>
        <w:tc>
          <w:tcPr>
            <w:tcW w:w="825" w:type="dxa"/>
            <w:tcMar>
              <w:top w:w="0" w:type="dxa"/>
              <w:left w:w="57" w:type="dxa"/>
              <w:bottom w:w="0" w:type="dxa"/>
              <w:right w:w="0" w:type="dxa"/>
            </w:tcMar>
          </w:tcPr>
          <w:p w:rsidR="002D6839" w:rsidRPr="00641561" w:rsidRDefault="002D6839" w:rsidP="00752F7E">
            <w:pPr>
              <w:spacing w:after="0" w:line="240" w:lineRule="auto"/>
              <w:rPr>
                <w:i/>
                <w:iCs/>
                <w:sz w:val="22"/>
              </w:rPr>
            </w:pPr>
            <w:proofErr w:type="spellStart"/>
            <w:r w:rsidRPr="00641561">
              <w:rPr>
                <w:i/>
                <w:iCs/>
                <w:sz w:val="22"/>
              </w:rPr>
              <w:t>V</w:t>
            </w:r>
            <w:r w:rsidRPr="00641561">
              <w:rPr>
                <w:i/>
                <w:iCs/>
                <w:sz w:val="22"/>
                <w:vertAlign w:val="subscript"/>
              </w:rPr>
              <w:t>max</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252</w:t>
            </w:r>
          </w:p>
        </w:tc>
        <w:tc>
          <w:tcPr>
            <w:tcW w:w="2835" w:type="dxa"/>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uvcp050b1","properties":{"formattedCitation":"[13]","plainCitation":"[13]"},"citationItems":[{"id":305,"uris":["http://zotero.org/users/685052/items/S8KJFJT4"],"uri":["http://zotero.org/users/685052/items/S8KJFJT4"],"itemData":{"id":305,"type":"article-journal","title":"Trypanosomes lacking trypanothione reductase are avirulent and show increased sensitivity to oxidative stress","container-title":"Molecular Microbiology","page":"542-552","volume":"35","issue":"3","source":"NCBI PubMed","abstract":"In Kinetoplastida, trypanothione and trypanothione reductase (TRYR) provide an intracellular reducing environment, substituting for the glutathione-glutathione reductase system found in most other organisms. To investigate the physiological role of TRYR in Trypanosoma brucei, we generated cells containing just one trypanothione reductase gene, TRYR, which was under the control of a tetracycline-inducible promoter. This enabled us to regulate TRYR activity in the cells from less than 1% to 400% of wild-type levels by adjusting the concentration of added tetracycline. In normal growth medium (which contains reducing agents), trypanosomes containing less than 10% of wild-type enzyme activity were unable to grow, although the levels of reduced trypanothione and total thiols remained constant. In media lacking reducing agents, hypersensitivity towards hydrogen peroxide (EC50 = 3.5 microM) was observed compared with the wild type (EC50 = 223 microM). The depletion of TRYR had no effect on susceptibility to melarsen oxide. The infectivity and virulence of the parasites in mice was dependent upon tetracycline-regulated TRYR activity: if the trypanosomes were injected into mice in the absence of tetracycline, no infection was detectable; and when tetracycline was withdrawn from previously infected animals, the parasitaemia was suppressed.","ISSN":"0950-382X","note":"PMID: 10672177","journalAbbreviation":"Mol. Microbiol","author":[{"family":"Krieger","given":"S"},{"family":"Schwarz","given":"W"},{"family":"Ariyanayagam","given":"M R"},{"family":"Fairlamb","given":"A H"},{"family":"Krauth-Siegel","given":"R L"},{"family":"Clayton","given":"C"}],"issued":{"date-parts":[["2000",2]]},"accessed":{"date-parts":[["2011",8,22]]},"PMID":"10672177"}}],"schema":"https://github.com/citation-style-language/schema/raw/master/csl-citation.json"} </w:instrText>
            </w:r>
            <w:r w:rsidRPr="00641561">
              <w:rPr>
                <w:sz w:val="22"/>
              </w:rPr>
              <w:fldChar w:fldCharType="separate"/>
            </w:r>
            <w:r w:rsidRPr="008750E9">
              <w:rPr>
                <w:sz w:val="22"/>
              </w:rPr>
              <w:t>[13]</w:t>
            </w:r>
            <w:r w:rsidRPr="00641561">
              <w:rPr>
                <w:sz w:val="22"/>
              </w:rPr>
              <w:fldChar w:fldCharType="end"/>
            </w:r>
            <w:r w:rsidRPr="00641561">
              <w:rPr>
                <w:i/>
                <w:iCs/>
                <w:sz w:val="22"/>
                <w:vertAlign w:val="superscript"/>
              </w:rPr>
              <w:t>f</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sz w:val="22"/>
              </w:rPr>
            </w:pPr>
            <w:proofErr w:type="spellStart"/>
            <w:r w:rsidRPr="00641561">
              <w:rPr>
                <w:i/>
                <w:sz w:val="22"/>
              </w:rPr>
              <w:t>K</w:t>
            </w:r>
            <w:r w:rsidRPr="00641561">
              <w:rPr>
                <w:i/>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434</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kjnak6o1k","properties":{"formattedCitation":"[14]","plainCitation":"[14]"},"citationItems":[{"id":419,"uris":["http://zotero.org/users/685052/items/ZJC3R8AU"],"uri":["http://zotero.org/users/685052/items/ZJC3R8AU"],"itemData":{"id":419,"type":"article-journal","title":"Metabolism and functions of trypanothione in the Kinetoplastida","container-title":"Annual Review of Microbiology","page":"695-729","volume":"46","source":"NCBI PubMed","abstract":"Trypanosomatids differ from all other organisms in their ability to conjugate the sulfur-containing tripeptide, glutathione, and the polyamine, spermidine, to form trypanothione [N1,N8-bis(glutathionyl)spermidine]. Together with the NADPH-dependent flavoprotein, trypanothione reductase, the dithiol form of trypanothione provides an intracellular reducing environment in these parasites, substituting for glutathione and glutathione reductase found in the mammalian host. Trypanothione and its related enzymes are involved in defense against damage by oxidants, certain heavy metals, and possibly xenobiotics. Trypanothione and its metabolic precursor, glutathionylspermidine, are also implicated in the modulation of spermidine levels during growth. Several existing trypanocidal drugs interact with the trypanothione system, suggesting that trypanothione metabolism may be a good target for the development of new drugs. The purification and properties of three key enzymes (glutathionylspermidine synthetase, trypanothione synthetase, and trypanothione reductase) are discussed, and the catalytic mechanism, substrate-specificity, and the three-dimensional structure of trypanothione reductase are compared to that of glutathione reductase.","DOI":"10.1146/annurev.mi.46.100192.003403","ISSN":"0066-4227","note":"PMID: 1444271","journalAbbreviation":"Annu. Rev. Microbiol","author":[{"family":"Fairlamb","given":"A H"},{"family":"Cerami","given":"A"}],"issued":{"date-parts":[["1992"]]},"accessed":{"date-parts":[["2011",8,6]]},"PMID":"1444271"}}],"schema":"https://github.com/citation-style-language/schema/raw/master/csl-citation.json"} </w:instrText>
            </w:r>
            <w:r w:rsidRPr="00641561">
              <w:rPr>
                <w:sz w:val="22"/>
              </w:rPr>
              <w:fldChar w:fldCharType="separate"/>
            </w:r>
            <w:r w:rsidRPr="008750E9">
              <w:rPr>
                <w:sz w:val="22"/>
              </w:rPr>
              <w:t>[14]</w:t>
            </w:r>
            <w:r w:rsidRPr="00641561">
              <w:rPr>
                <w:sz w:val="22"/>
              </w:rPr>
              <w:fldChar w:fldCharType="end"/>
            </w:r>
            <w:r w:rsidRPr="00641561">
              <w:rPr>
                <w:i/>
                <w:iCs/>
                <w:sz w:val="22"/>
                <w:vertAlign w:val="superscript"/>
              </w:rPr>
              <w:t>g</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r w:rsidRPr="00641561">
              <w:rPr>
                <w:i/>
                <w:sz w:val="22"/>
                <w:vertAlign w:val="subscript"/>
              </w:rPr>
              <w:t>m,TS2</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0.0069</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2i5iicvl5h","properties":{"formattedCitation":"[15]","plainCitation":"[15]"},"citationItems":[{"id":317,"uris":["http://zotero.org/users/685052/items/T3ITRPJ3"],"uri":["http://zotero.org/users/685052/items/T3ITRPJ3"],"itemData":{"id":317,"type":"article-journal","title":"Comparative structural, kinetic and inhibitor studies of Trypanosoma brucei trypanothione reductase with T. cruzi","container-title":"Molecular and Biochemical Parasitology","page":"12-19","volume":"169","issue":"1","source":"NCBI PubMed","abstract":"As part of a drug discovery programme to discover new treatments for human African trypanosomiasis, recombinant trypanothione reductase from Trypanosoma brucei has been expressed, purified and characterized. The crystal structure was solved by molecular replacement to a resolution of 2.3A and found to be nearly identical to the T. cruzi enzyme (root mean square deviation 0.6A over 482 Calpha atoms). Kinetically, the K(m) for trypanothione disulphide for the T. brucei enzyme was 4.4-fold lower than for T. cruzi measured by either direct (NADPH oxidation) or DTNB-coupled assay. The K(m) for NADPH for the T. brucei enzyme was found to be 0.77microM using an NADPH-regenerating system coupled to reduction of DTNB. Both enzymes were assayed for inhibition at their respective S=K(m) values for trypanothione disulphide using a range of chemotypes, including CNS-active drugs such as clomipramine, trifluoperazine, thioridazine and citalopram. The relative IC(50) values for the two enzymes were found to vary by no more than 3-fold. Thus trypanothione reductases from these species are highly similar in all aspects, indicating that they may be used interchangeably for structure-based inhibitor design and high-throughput screening.","DOI":"10.1016/j.molbiopara.2009.09.002","ISSN":"1872-9428","note":"PMID: 19747949","journalAbbreviation":"Mol. Biochem. Parasitol","author":[{"family":"Jones","given":"Deuan C"},{"family":"Ariza","given":"Antonio"},{"family":"Chow","given":"Wing-Huen A"},{"family":"Oza","given":"Sandra L"},{"family":"Fairlamb","given":"Alan H"}],"issued":{"date-parts":[["2010",1]]},"accessed":{"date-parts":[["2011",8,7]]},"PMID":"19747949"}}],"schema":"https://github.com/citation-style-language/schema/raw/master/csl-citation.json"} </w:instrText>
            </w:r>
            <w:r w:rsidRPr="00641561">
              <w:rPr>
                <w:sz w:val="22"/>
              </w:rPr>
              <w:fldChar w:fldCharType="separate"/>
            </w:r>
            <w:r w:rsidRPr="008750E9">
              <w:rPr>
                <w:sz w:val="22"/>
              </w:rPr>
              <w:t>[15]</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r w:rsidRPr="00641561">
              <w:rPr>
                <w:i/>
                <w:sz w:val="22"/>
                <w:vertAlign w:val="subscript"/>
              </w:rPr>
              <w:t>m,TSH2</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0.0018</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i/>
                <w:iCs/>
                <w:sz w:val="22"/>
              </w:rPr>
            </w:pPr>
            <w:r w:rsidRPr="00641561">
              <w:rPr>
                <w:i/>
                <w:iCs/>
                <w:sz w:val="22"/>
              </w:rPr>
              <w:t>h</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sz w:val="22"/>
              </w:rPr>
            </w:pPr>
            <w:proofErr w:type="spellStart"/>
            <w:r w:rsidRPr="00641561">
              <w:rPr>
                <w:i/>
                <w:sz w:val="22"/>
              </w:rPr>
              <w:t>K</w:t>
            </w:r>
            <w:r w:rsidRPr="00641561">
              <w:rPr>
                <w:i/>
                <w:iCs/>
                <w:sz w:val="22"/>
                <w:vertAlign w:val="subscript"/>
              </w:rPr>
              <w:t>m,NADPH</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0.00077</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i/>
                <w:iCs/>
                <w:sz w:val="22"/>
              </w:rPr>
            </w:pPr>
            <w:r w:rsidRPr="00641561">
              <w:rPr>
                <w:sz w:val="22"/>
              </w:rPr>
              <w:fldChar w:fldCharType="begin"/>
            </w:r>
            <w:r>
              <w:rPr>
                <w:sz w:val="22"/>
              </w:rPr>
              <w:instrText xml:space="preserve"> ADDIN ZOTERO_ITEM CSL_CITATION {"citationID":"vl1dXgYs","properties":{"formattedCitation":"[15]","plainCitation":"[15]"},"citationItems":[{"id":317,"uris":["http://zotero.org/users/685052/items/T3ITRPJ3"],"uri":["http://zotero.org/users/685052/items/T3ITRPJ3"],"itemData":{"id":317,"type":"article-journal","title":"Comparative structural, kinetic and inhibitor studies of Trypanosoma brucei trypanothione reductase with T. cruzi","container-title":"Molecular and Biochemical Parasitology","page":"12-19","volume":"169","issue":"1","source":"NCBI PubMed","abstract":"As part of a drug discovery programme to discover new treatments for human African trypanosomiasis, recombinant trypanothione reductase from Trypanosoma brucei has been expressed, purified and characterized. The crystal structure was solved by molecular replacement to a resolution of 2.3A and found to be nearly identical to the T. cruzi enzyme (root mean square deviation 0.6A over 482 Calpha atoms). Kinetically, the K(m) for trypanothione disulphide for the T. brucei enzyme was 4.4-fold lower than for T. cruzi measured by either direct (NADPH oxidation) or DTNB-coupled assay. The K(m) for NADPH for the T. brucei enzyme was found to be 0.77microM using an NADPH-regenerating system coupled to reduction of DTNB. Both enzymes were assayed for inhibition at their respective S=K(m) values for trypanothione disulphide using a range of chemotypes, including CNS-active drugs such as clomipramine, trifluoperazine, thioridazine and citalopram. The relative IC(50) values for the two enzymes were found to vary by no more than 3-fold. Thus trypanothione reductases from these species are highly similar in all aspects, indicating that they may be used interchangeably for structure-based inhibitor design and high-throughput screening.","DOI":"10.1016/j.molbiopara.2009.09.002","ISSN":"1872-9428","note":"PMID: 19747949","journalAbbreviation":"Mol. Biochem. Parasitol","author":[{"family":"Jones","given":"Deuan C"},{"family":"Ariza","given":"Antonio"},{"family":"Chow","given":"Wing-Huen A"},{"family":"Oza","given":"Sandra L"},{"family":"Fairlamb","given":"Alan H"}],"issued":{"date-parts":[["2010",1]]},"accessed":{"date-parts":[["2011",8,7]]},"PMID":"19747949"}}],"schema":"https://github.com/citation-style-language/schema/raw/master/csl-citation.json"} </w:instrText>
            </w:r>
            <w:r w:rsidRPr="00641561">
              <w:rPr>
                <w:sz w:val="22"/>
              </w:rPr>
              <w:fldChar w:fldCharType="separate"/>
            </w:r>
            <w:r w:rsidRPr="008750E9">
              <w:rPr>
                <w:sz w:val="22"/>
              </w:rPr>
              <w:t>[15]</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iCs/>
                <w:sz w:val="22"/>
              </w:rPr>
            </w:pPr>
            <w:proofErr w:type="spellStart"/>
            <w:r w:rsidRPr="00641561">
              <w:rPr>
                <w:i/>
                <w:iCs/>
                <w:sz w:val="22"/>
              </w:rPr>
              <w:t>K</w:t>
            </w:r>
            <w:r w:rsidRPr="00641561">
              <w:rPr>
                <w:i/>
                <w:iCs/>
                <w:sz w:val="22"/>
                <w:vertAlign w:val="subscript"/>
              </w:rPr>
              <w:t>m,NADP</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0.081</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i/>
                <w:iCs/>
                <w:sz w:val="22"/>
              </w:rPr>
            </w:pPr>
            <w:r w:rsidRPr="00641561">
              <w:rPr>
                <w:i/>
                <w:iCs/>
                <w:sz w:val="22"/>
              </w:rPr>
              <w:t>h</w:t>
            </w:r>
          </w:p>
        </w:tc>
      </w:tr>
      <w:tr w:rsidR="002D6839" w:rsidRPr="00641561" w:rsidTr="00752F7E">
        <w:tc>
          <w:tcPr>
            <w:tcW w:w="1144" w:type="dxa"/>
            <w:tcBorders>
              <w:top w:val="single" w:sz="8" w:space="0" w:color="000000"/>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TOX</w:t>
            </w:r>
          </w:p>
        </w:tc>
        <w:tc>
          <w:tcPr>
            <w:tcW w:w="825" w:type="dxa"/>
            <w:tcBorders>
              <w:top w:val="single" w:sz="8" w:space="0" w:color="000000"/>
              <w:bottom w:val="single" w:sz="8" w:space="0" w:color="000000"/>
            </w:tcBorders>
            <w:tcMar>
              <w:top w:w="0" w:type="dxa"/>
              <w:left w:w="57" w:type="dxa"/>
              <w:bottom w:w="0" w:type="dxa"/>
              <w:right w:w="0" w:type="dxa"/>
            </w:tcMar>
          </w:tcPr>
          <w:p w:rsidR="002D6839" w:rsidRPr="00641561" w:rsidRDefault="002D6839" w:rsidP="00752F7E">
            <w:pPr>
              <w:spacing w:after="0" w:line="240" w:lineRule="auto"/>
              <w:rPr>
                <w:i/>
                <w:iCs/>
                <w:sz w:val="22"/>
              </w:rPr>
            </w:pPr>
            <w:r w:rsidRPr="00641561">
              <w:rPr>
                <w:i/>
                <w:iCs/>
                <w:sz w:val="22"/>
              </w:rPr>
              <w:t>k</w:t>
            </w:r>
          </w:p>
        </w:tc>
        <w:tc>
          <w:tcPr>
            <w:tcW w:w="1160" w:type="dxa"/>
            <w:tcBorders>
              <w:top w:val="single" w:sz="8" w:space="0" w:color="000000"/>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2-200</w:t>
            </w:r>
          </w:p>
        </w:tc>
        <w:tc>
          <w:tcPr>
            <w:tcW w:w="2835" w:type="dxa"/>
            <w:tcBorders>
              <w:top w:val="single" w:sz="8" w:space="0" w:color="000000"/>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μl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000000"/>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Varies depending on oxidative stress</w:t>
            </w:r>
          </w:p>
        </w:tc>
      </w:tr>
      <w:tr w:rsidR="002D6839" w:rsidRPr="00641561" w:rsidTr="00752F7E">
        <w:tc>
          <w:tcPr>
            <w:tcW w:w="1144" w:type="dxa"/>
            <w:tcBorders>
              <w:top w:val="single" w:sz="8" w:space="0" w:color="000000"/>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sz w:val="22"/>
              </w:rPr>
              <w:t>NADPHu</w:t>
            </w:r>
            <w:proofErr w:type="spellEnd"/>
          </w:p>
        </w:tc>
        <w:tc>
          <w:tcPr>
            <w:tcW w:w="82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i/>
                <w:sz w:val="22"/>
              </w:rPr>
            </w:pPr>
            <w:proofErr w:type="spellStart"/>
            <w:r w:rsidRPr="00641561">
              <w:rPr>
                <w:i/>
                <w:sz w:val="22"/>
              </w:rPr>
              <w:t>k</w:t>
            </w:r>
            <w:r w:rsidRPr="00641561">
              <w:rPr>
                <w:i/>
                <w:sz w:val="22"/>
                <w:vertAlign w:val="subscript"/>
              </w:rPr>
              <w:t>c</w:t>
            </w:r>
            <w:proofErr w:type="spellEnd"/>
            <w:r w:rsidRPr="00641561">
              <w:rPr>
                <w:i/>
                <w:sz w:val="22"/>
                <w:vertAlign w:val="subscript"/>
              </w:rPr>
              <w:t>/g</w:t>
            </w:r>
          </w:p>
        </w:tc>
        <w:tc>
          <w:tcPr>
            <w:tcW w:w="1160"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2</w:t>
            </w:r>
          </w:p>
        </w:tc>
        <w:tc>
          <w:tcPr>
            <w:tcW w:w="283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μl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i/>
                <w:iCs/>
                <w:sz w:val="22"/>
              </w:rPr>
            </w:pPr>
            <w:proofErr w:type="spellStart"/>
            <w:r w:rsidRPr="00641561">
              <w:rPr>
                <w:i/>
                <w:iCs/>
                <w:sz w:val="22"/>
              </w:rPr>
              <w:t>i</w:t>
            </w:r>
            <w:proofErr w:type="spellEnd"/>
          </w:p>
        </w:tc>
      </w:tr>
      <w:tr w:rsidR="002D6839" w:rsidRPr="00641561" w:rsidTr="00752F7E">
        <w:tc>
          <w:tcPr>
            <w:tcW w:w="1144" w:type="dxa"/>
            <w:tcMar>
              <w:top w:w="0" w:type="dxa"/>
              <w:left w:w="57" w:type="dxa"/>
              <w:bottom w:w="0" w:type="dxa"/>
              <w:right w:w="0" w:type="dxa"/>
            </w:tcMar>
          </w:tcPr>
          <w:p w:rsidR="002D6839" w:rsidRPr="00C13317" w:rsidRDefault="002D6839" w:rsidP="00752F7E">
            <w:pPr>
              <w:spacing w:after="0" w:line="240" w:lineRule="auto"/>
              <w:rPr>
                <w:sz w:val="22"/>
              </w:rPr>
            </w:pPr>
            <w:r w:rsidRPr="00C13317">
              <w:rPr>
                <w:sz w:val="22"/>
              </w:rPr>
              <w:t>G6PP</w:t>
            </w:r>
          </w:p>
        </w:tc>
        <w:tc>
          <w:tcPr>
            <w:tcW w:w="825" w:type="dxa"/>
            <w:tcMar>
              <w:top w:w="0" w:type="dxa"/>
              <w:left w:w="57" w:type="dxa"/>
              <w:bottom w:w="0" w:type="dxa"/>
              <w:right w:w="0" w:type="dxa"/>
            </w:tcMar>
          </w:tcPr>
          <w:p w:rsidR="002D6839" w:rsidRPr="00641561" w:rsidRDefault="002D6839" w:rsidP="00752F7E">
            <w:pPr>
              <w:spacing w:after="0" w:line="240" w:lineRule="auto"/>
              <w:rPr>
                <w:i/>
                <w:sz w:val="22"/>
              </w:rPr>
            </w:pPr>
            <w:proofErr w:type="spellStart"/>
            <w:r w:rsidRPr="00641561">
              <w:rPr>
                <w:i/>
                <w:sz w:val="22"/>
              </w:rPr>
              <w:t>V</w:t>
            </w:r>
            <w:r w:rsidRPr="00641561">
              <w:rPr>
                <w:i/>
                <w:sz w:val="22"/>
                <w:vertAlign w:val="subscript"/>
              </w:rPr>
              <w:t>max</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21</w:t>
            </w:r>
          </w:p>
        </w:tc>
        <w:tc>
          <w:tcPr>
            <w:tcW w:w="2835" w:type="dxa"/>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Mar>
              <w:top w:w="0" w:type="dxa"/>
              <w:left w:w="57" w:type="dxa"/>
              <w:bottom w:w="0" w:type="dxa"/>
              <w:right w:w="0" w:type="dxa"/>
            </w:tcMar>
          </w:tcPr>
          <w:p w:rsidR="002D6839" w:rsidRPr="00156EC1" w:rsidRDefault="002D6839" w:rsidP="00752F7E">
            <w:pPr>
              <w:spacing w:after="0" w:line="240" w:lineRule="auto"/>
              <w:rPr>
                <w:iCs/>
                <w:sz w:val="22"/>
              </w:rPr>
            </w:pPr>
            <w:r>
              <w:rPr>
                <w:iCs/>
                <w:sz w:val="22"/>
              </w:rPr>
              <w:t>This paper</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iCs/>
                <w:sz w:val="22"/>
              </w:rPr>
            </w:pPr>
            <w:proofErr w:type="spellStart"/>
            <w:r w:rsidRPr="00641561">
              <w:rPr>
                <w:i/>
                <w:iCs/>
                <w:sz w:val="22"/>
              </w:rPr>
              <w:t>K</w:t>
            </w:r>
            <w:r w:rsidRPr="00641561">
              <w:rPr>
                <w:i/>
                <w:iCs/>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263</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17d61fjdau","properties":{"formattedCitation":"[16]","plainCitation":"[16]"},"citationItems":[{"id":43,"uris":["http://zotero.org/users/685052/items/58T4AQUW"],"uri":["http://zotero.org/users/685052/items/58T4AQUW"],"itemData":{"id":43,"type":"article-journal","title":"Equilibrium constants of phosphoryl transfer from C-1 to C-6 of alpha-D-glucose 1-phosphate and from glucose 6-phosphate to water","container-title":"The Biochemical Journal","page":"12-15","volume":"79","source":"NCBI PubMed","ISSN":"0264-6021","note":"PMID: 13684982","journalAbbreviation":"Biochem. J.","author":[{"family":"Atkinson","given":"M R"},{"family":"Johnson","given":"E"},{"family":"Morton","given":"R K"}],"issued":{"date-parts":[["1961",4]]},"accessed":{"date-parts":[["2011",10,20]]},"PMID":"13684982"}}],"schema":"https://github.com/citation-style-language/schema/raw/master/csl-citation.json"} </w:instrText>
            </w:r>
            <w:r w:rsidRPr="00641561">
              <w:rPr>
                <w:sz w:val="22"/>
              </w:rPr>
              <w:fldChar w:fldCharType="separate"/>
            </w:r>
            <w:r w:rsidRPr="008750E9">
              <w:rPr>
                <w:sz w:val="22"/>
              </w:rPr>
              <w:t>[16]</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r w:rsidRPr="00641561">
              <w:rPr>
                <w:i/>
                <w:sz w:val="22"/>
                <w:vertAlign w:val="subscript"/>
              </w:rPr>
              <w:t>m,Glc-6-P</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5.6</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rukec6r0d","properties":{"formattedCitation":"[17]","plainCitation":"[17]"},"citationItems":[{"id":366,"uris":["http://zotero.org/users/685052/items/VXVUM2M5"],"uri":["http://zotero.org/users/685052/items/VXVUM2M5"],"itemData":{"id":366,"type":"article-journal","title":"The association of distinct acid phosphatases with the flagella pocket and surface membrane fractions obtained from bloodstream forms of Trypanosoma rhodesiense","container-title":"Molecular and Cellular Biochemistry","page":"177-184","volume":"70","issue":"2","source":"NCBI PubMed","abstract":"Cell fractionation of bloodstream Trypanosoma rhodesiense, using isopycnic sucrose gradient centrifugation, reveals acid phosphatase activities against a range of substrates to be associated, to varying degrees, with subcellular particle populations identified as derived from flagella pocket membrane and surface membrane. Using these same substrates (alpha and beta glycerophosphate, p-nitrophenyl phosphate and glucose-6-phosphate) at least two distinct acid phosphatase activities can be distinguished. One is thermolabile (approximately 80% inactivated after 30 min. at 60 degrees C), sensitive to tartrate (50% inhibited at 1.8 mM Na tartrate) with a pH optimum approximately 4.5 and appears to exhibit little substrate preference. The other acid phosphatase is relatively heat stable (approximately 30% inactivated), insensitive to tartrate (greater than 5.0% inhibited using 1.8 mM Na tartrate) exhibits a somewhat higher pH optimum (approximately 6.0) and is more substrate specific (6X more active toward glucose-6-PO4 than beta-glycerophosphate). Further cell fractionation experiments reveal 85% of the tartrate sensitive acid phosphatase to be associated with flagella pocket membrane and to account for 80% of the organisms hydrolytic activity toward beta-glycerophosphate. The tartrate resistant acid phosphatase however, has a much less exclusive localization being almost equally distributed between surface membrane (40%) and flagella pocket membrane (60%).","ISSN":"0300-8177","note":"PMID: 3014309","journalAbbreviation":"Mol. Cell. Biochem.","author":[{"family":"McLaughlin","given":"J"}],"issued":{"date-parts":[["1986",5]]},"accessed":{"date-parts":[["2011",10,20]]},"PMID":"3014309"}}],"schema":"https://github.com/citation-style-language/schema/raw/master/csl-citation.json"} </w:instrText>
            </w:r>
            <w:r w:rsidRPr="00641561">
              <w:rPr>
                <w:sz w:val="22"/>
              </w:rPr>
              <w:fldChar w:fldCharType="separate"/>
            </w:r>
            <w:r w:rsidRPr="008750E9">
              <w:rPr>
                <w:sz w:val="22"/>
              </w:rPr>
              <w:t>[17]</w:t>
            </w:r>
            <w:r w:rsidRPr="00641561">
              <w:rPr>
                <w:sz w:val="22"/>
              </w:rPr>
              <w:fldChar w:fldCharType="end"/>
            </w:r>
            <w:r w:rsidRPr="00641561">
              <w:rPr>
                <w:i/>
                <w:iCs/>
                <w:sz w:val="22"/>
                <w:vertAlign w:val="superscript"/>
              </w:rPr>
              <w:t>j</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i/>
                <w:sz w:val="22"/>
              </w:rPr>
            </w:pPr>
            <w:proofErr w:type="spellStart"/>
            <w:r w:rsidRPr="00641561">
              <w:rPr>
                <w:i/>
                <w:sz w:val="22"/>
              </w:rPr>
              <w:t>K</w:t>
            </w:r>
            <w:r w:rsidRPr="00641561">
              <w:rPr>
                <w:i/>
                <w:sz w:val="22"/>
                <w:vertAlign w:val="subscript"/>
              </w:rPr>
              <w:t>m,Glc</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5.6</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i/>
                <w:iCs/>
                <w:sz w:val="22"/>
              </w:rPr>
            </w:pPr>
            <w:r w:rsidRPr="00641561">
              <w:rPr>
                <w:sz w:val="22"/>
              </w:rPr>
              <w:fldChar w:fldCharType="begin"/>
            </w:r>
            <w:r>
              <w:rPr>
                <w:sz w:val="22"/>
              </w:rPr>
              <w:instrText xml:space="preserve"> ADDIN ZOTERO_ITEM CSL_CITATION {"citationID":"245ni4q958","properties":{"formattedCitation":"[17]","plainCitation":"[17]"},"citationItems":[{"id":366,"uris":["http://zotero.org/users/685052/items/VXVUM2M5"],"uri":["http://zotero.org/users/685052/items/VXVUM2M5"],"itemData":{"id":366,"type":"article-journal","title":"The association of distinct acid phosphatases with the flagella pocket and surface membrane fractions obtained from bloodstream forms of Trypanosoma rhodesiense","container-title":"Molecular and Cellular Biochemistry","page":"177-184","volume":"70","issue":"2","source":"NCBI PubMed","abstract":"Cell fractionation of bloodstream Trypanosoma rhodesiense, using isopycnic sucrose gradient centrifugation, reveals acid phosphatase activities against a range of substrates to be associated, to varying degrees, with subcellular particle populations identified as derived from flagella pocket membrane and surface membrane. Using these same substrates (alpha and beta glycerophosphate, p-nitrophenyl phosphate and glucose-6-phosphate) at least two distinct acid phosphatase activities can be distinguished. One is thermolabile (approximately 80% inactivated after 30 min. at 60 degrees C), sensitive to tartrate (50% inhibited at 1.8 mM Na tartrate) with a pH optimum approximately 4.5 and appears to exhibit little substrate preference. The other acid phosphatase is relatively heat stable (approximately 30% inactivated), insensitive to tartrate (greater than 5.0% inhibited using 1.8 mM Na tartrate) exhibits a somewhat higher pH optimum (approximately 6.0) and is more substrate specific (6X more active toward glucose-6-PO4 than beta-glycerophosphate). Further cell fractionation experiments reveal 85% of the tartrate sensitive acid phosphatase to be associated with flagella pocket membrane and to account for 80% of the organisms hydrolytic activity toward beta-glycerophosphate. The tartrate resistant acid phosphatase however, has a much less exclusive localization being almost equally distributed between surface membrane (40%) and flagella pocket membrane (60%).","ISSN":"0300-8177","note":"PMID: 3014309","journalAbbreviation":"Mol. Cell. Biochem.","author":[{"family":"McLaughlin","given":"J"}],"issued":{"date-parts":[["1986",5]]},"accessed":{"date-parts":[["2011",10,20]]},"PMID":"3014309"}}],"schema":"https://github.com/citation-style-language/schema/raw/master/csl-citation.json"} </w:instrText>
            </w:r>
            <w:r w:rsidRPr="00641561">
              <w:rPr>
                <w:sz w:val="22"/>
              </w:rPr>
              <w:fldChar w:fldCharType="separate"/>
            </w:r>
            <w:r w:rsidRPr="008750E9">
              <w:rPr>
                <w:sz w:val="22"/>
              </w:rPr>
              <w:t>[17]</w:t>
            </w:r>
            <w:proofErr w:type="spellStart"/>
            <w:r w:rsidRPr="00641561">
              <w:rPr>
                <w:sz w:val="22"/>
              </w:rPr>
              <w:fldChar w:fldCharType="end"/>
            </w:r>
            <w:r w:rsidRPr="00641561">
              <w:rPr>
                <w:i/>
                <w:iCs/>
                <w:sz w:val="22"/>
                <w:vertAlign w:val="superscript"/>
              </w:rPr>
              <w:t>d,j</w:t>
            </w:r>
            <w:proofErr w:type="spellEnd"/>
          </w:p>
        </w:tc>
      </w:tr>
      <w:tr w:rsidR="002D6839" w:rsidRPr="00641561" w:rsidTr="00752F7E">
        <w:tc>
          <w:tcPr>
            <w:tcW w:w="1144"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ATP:ADP</w:t>
            </w:r>
          </w:p>
        </w:tc>
        <w:tc>
          <w:tcPr>
            <w:tcW w:w="82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w:t>
            </w:r>
            <w:proofErr w:type="spellEnd"/>
          </w:p>
        </w:tc>
        <w:tc>
          <w:tcPr>
            <w:tcW w:w="1160"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1.5</w:t>
            </w:r>
          </w:p>
        </w:tc>
        <w:tc>
          <w:tcPr>
            <w:tcW w:w="283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antiporter</w:t>
            </w: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m,ATPc</w:t>
            </w:r>
            <w:proofErr w:type="spellEnd"/>
            <w:r w:rsidRPr="00641561">
              <w:rPr>
                <w:i/>
                <w:sz w:val="22"/>
                <w:vertAlign w:val="subscript"/>
              </w:rPr>
              <w:t>/g</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0.02</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p>
        </w:tc>
      </w:tr>
      <w:tr w:rsidR="002D6839" w:rsidRPr="00641561" w:rsidTr="00752F7E">
        <w:tc>
          <w:tcPr>
            <w:tcW w:w="1144" w:type="dxa"/>
            <w:tcBorders>
              <w:bottom w:val="single" w:sz="8" w:space="0" w:color="000000"/>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m,ADPc</w:t>
            </w:r>
            <w:proofErr w:type="spellEnd"/>
            <w:r w:rsidRPr="00641561">
              <w:rPr>
                <w:i/>
                <w:sz w:val="22"/>
                <w:vertAlign w:val="subscript"/>
              </w:rPr>
              <w:t>/g</w:t>
            </w:r>
          </w:p>
        </w:tc>
        <w:tc>
          <w:tcPr>
            <w:tcW w:w="1160"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0.02</w:t>
            </w:r>
          </w:p>
        </w:tc>
        <w:tc>
          <w:tcPr>
            <w:tcW w:w="283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i/>
                <w:sz w:val="22"/>
              </w:rPr>
            </w:pPr>
            <w:r w:rsidRPr="00641561">
              <w:rPr>
                <w:i/>
                <w:sz w:val="22"/>
              </w:rPr>
              <w:t>k</w:t>
            </w:r>
          </w:p>
        </w:tc>
      </w:tr>
      <w:tr w:rsidR="002D6839" w:rsidRPr="00641561" w:rsidTr="00752F7E">
        <w:tc>
          <w:tcPr>
            <w:tcW w:w="1144"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RK</w:t>
            </w:r>
          </w:p>
        </w:tc>
        <w:tc>
          <w:tcPr>
            <w:tcW w:w="82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max,g</w:t>
            </w:r>
            <w:proofErr w:type="spellEnd"/>
          </w:p>
        </w:tc>
        <w:tc>
          <w:tcPr>
            <w:tcW w:w="1160"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5</w:t>
            </w:r>
          </w:p>
        </w:tc>
        <w:tc>
          <w:tcPr>
            <w:tcW w:w="2835" w:type="dxa"/>
            <w:tcBorders>
              <w:top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000000"/>
            </w:tcBorders>
            <w:tcMar>
              <w:top w:w="0" w:type="dxa"/>
              <w:left w:w="57" w:type="dxa"/>
              <w:bottom w:w="0" w:type="dxa"/>
              <w:right w:w="0" w:type="dxa"/>
            </w:tcMar>
          </w:tcPr>
          <w:p w:rsidR="002D6839" w:rsidRPr="00BA5DE0" w:rsidRDefault="002D6839" w:rsidP="00752F7E">
            <w:pPr>
              <w:spacing w:after="0" w:line="240" w:lineRule="auto"/>
              <w:rPr>
                <w:i/>
                <w:sz w:val="22"/>
              </w:rPr>
            </w:pPr>
            <w:r w:rsidRPr="00BA5DE0">
              <w:rPr>
                <w:i/>
                <w:sz w:val="22"/>
              </w:rPr>
              <w:t>l</w:t>
            </w:r>
          </w:p>
        </w:tc>
      </w:tr>
      <w:tr w:rsidR="002D6839" w:rsidRPr="00641561" w:rsidTr="00752F7E">
        <w:tc>
          <w:tcPr>
            <w:tcW w:w="1144" w:type="dxa"/>
            <w:vMerge w:val="restart"/>
            <w:tcMar>
              <w:top w:w="0" w:type="dxa"/>
              <w:left w:w="57" w:type="dxa"/>
              <w:bottom w:w="0" w:type="dxa"/>
              <w:right w:w="0" w:type="dxa"/>
            </w:tcMar>
          </w:tcPr>
          <w:p w:rsidR="002D6839" w:rsidRPr="00641561" w:rsidRDefault="002D6839" w:rsidP="00752F7E">
            <w:pPr>
              <w:spacing w:after="0" w:line="240" w:lineRule="auto"/>
              <w:rPr>
                <w:sz w:val="22"/>
              </w:rPr>
            </w:pPr>
          </w:p>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0.0036</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tr6efk5kk","properties":{"formattedCitation":"[18]","plainCitation":"[18]"},"citationItems":[{"id":205,"uris":["http://zotero.org/users/685052/items/IJVEQ2JT"],"uri":["http://zotero.org/users/685052/items/IJVEQ2JT"],"itemData":{"id":205,"type":"article-journal","title":"Thermodynamics of hydrolysis of sugar phosphates","container-title":"Journal of Biological Chemistry","page":"3670-3675","volume":"263","issue":"8","abstract":"Thermodynamics of the enzyme-catalyzed (alkaline phosphatase, EC 3.1.3.1) hydrolysis of glucose 6-phosphate, mannose 6-phosphate, fructose 6-phosphate, ribose 5-phosphate, and ribulose 5-phosphate have been investigated using microcalorimetry and, for the hydrolysis of fructose 6-phosphate, chemical equilibrium measurements. Results of these measurements for the processes sugar phosphate2- (aqueous) + H2O (liquid) = sugar (aqueous) + HPO2++-(4) (aqueous) at 25 degrees C follow: delta Ho = 0.91 +/- 0.35 kJ.mol-1 and delta Cop = -48 +/- 18 J.mol-1.K-1 for glucose 6-phosphate; delta Ho = 1.40 +/- 0.31 kJ.mol-1 and delta Cop = -46 +/- 11 J.mol-1.dK-1 for mannose 6-phosphate; delta Go = -13.70 +/- 0.28 kJ.mol-1, delta Ho = -7.61 +/- 0.68 kJ.mol-1, and delta Cop = -28 +/- 42 J.mol-1.K-1 for fructose 6-phosphate; delta Ho = -5.69 +/- 0.52 kJ.mol-1 and delta Cop = -63 +/- 37 J.mol-1.K-1 for ribose 5-phosphate; and delta Ho = -12.43 +/- 0.45 kJ.mol-1 and delta Cop = -84 +/- 30 J.mol-1.K-1 for the hydrolysis of ribulose 5-phosphate. The standard state is the hypothetical ideal solution of unit molality. Estimates are made for the equilibrium constants for the hydrolysis of ribose and ribulose 5-phosphates. The effects of pH, magnesium ion concentration, and ionic strength on the thermodynamics of these reactions are considered.","journalAbbreviation":"J. Biol. Chem.","author":[{"family":"Tewari","given":"Y B"},{"family":"Steckler","given":"D K"},{"family":"Goldberg","given":"R N"},{"family":"Gitomer","given":"W L"}],"issued":{"date-parts":[["1988"]]}}}],"schema":"https://github.com/citation-style-language/schema/raw/master/csl-citation.json"} </w:instrText>
            </w:r>
            <w:r w:rsidRPr="00641561">
              <w:rPr>
                <w:sz w:val="22"/>
              </w:rPr>
              <w:fldChar w:fldCharType="separate"/>
            </w:r>
            <w:r w:rsidRPr="008750E9">
              <w:rPr>
                <w:sz w:val="22"/>
              </w:rPr>
              <w:t>[18]</w:t>
            </w:r>
            <w:r w:rsidRPr="00641561">
              <w:rPr>
                <w:sz w:val="22"/>
              </w:rPr>
              <w:fldChar w:fldCharType="end"/>
            </w:r>
          </w:p>
        </w:tc>
      </w:tr>
      <w:tr w:rsidR="002D6839" w:rsidRPr="00641561" w:rsidTr="00752F7E">
        <w:tc>
          <w:tcPr>
            <w:tcW w:w="1144" w:type="dxa"/>
            <w:vMerge/>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m,Rib-5-P</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0.39</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This paper</w:t>
            </w:r>
          </w:p>
        </w:tc>
      </w:tr>
      <w:tr w:rsidR="002D6839" w:rsidRPr="00641561" w:rsidTr="00752F7E">
        <w:tc>
          <w:tcPr>
            <w:tcW w:w="1144" w:type="dxa"/>
            <w:vMerge/>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m,Rib</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0.51</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This paper</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m,ADP</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0.25</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This paper</w:t>
            </w:r>
          </w:p>
        </w:tc>
      </w:tr>
      <w:tr w:rsidR="002D6839" w:rsidRPr="00641561" w:rsidTr="00752F7E">
        <w:tc>
          <w:tcPr>
            <w:tcW w:w="1144" w:type="dxa"/>
            <w:tcBorders>
              <w:bottom w:val="single" w:sz="8" w:space="0" w:color="auto"/>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m,ATP</w:t>
            </w:r>
            <w:proofErr w:type="spellEnd"/>
          </w:p>
        </w:tc>
        <w:tc>
          <w:tcPr>
            <w:tcW w:w="1160"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0.24</w:t>
            </w:r>
          </w:p>
        </w:tc>
        <w:tc>
          <w:tcPr>
            <w:tcW w:w="2835"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This paper</w:t>
            </w:r>
          </w:p>
        </w:tc>
      </w:tr>
      <w:tr w:rsidR="002D6839" w:rsidRPr="00641561" w:rsidTr="00752F7E">
        <w:tc>
          <w:tcPr>
            <w:tcW w:w="1144" w:type="dxa"/>
            <w:tcBorders>
              <w:top w:val="single" w:sz="8" w:space="0" w:color="auto"/>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roofErr w:type="spellStart"/>
            <w:r w:rsidRPr="00641561">
              <w:rPr>
                <w:sz w:val="22"/>
              </w:rPr>
              <w:t>FruT</w:t>
            </w:r>
            <w:proofErr w:type="spellEnd"/>
          </w:p>
        </w:tc>
        <w:tc>
          <w:tcPr>
            <w:tcW w:w="825"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i/>
                <w:sz w:val="22"/>
              </w:rPr>
            </w:pPr>
            <w:proofErr w:type="spellStart"/>
            <w:r w:rsidRPr="00641561">
              <w:rPr>
                <w:i/>
                <w:sz w:val="22"/>
              </w:rPr>
              <w:t>V</w:t>
            </w:r>
            <w:r w:rsidRPr="00641561">
              <w:rPr>
                <w:i/>
                <w:sz w:val="22"/>
                <w:vertAlign w:val="subscript"/>
              </w:rPr>
              <w:t>max</w:t>
            </w:r>
            <w:proofErr w:type="spellEnd"/>
          </w:p>
        </w:tc>
        <w:tc>
          <w:tcPr>
            <w:tcW w:w="1160"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69.1</w:t>
            </w:r>
          </w:p>
        </w:tc>
        <w:tc>
          <w:tcPr>
            <w:tcW w:w="2835"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i/>
                <w:sz w:val="22"/>
              </w:rPr>
            </w:pPr>
            <w:r w:rsidRPr="00641561">
              <w:rPr>
                <w:sz w:val="22"/>
              </w:rPr>
              <w:fldChar w:fldCharType="begin"/>
            </w:r>
            <w:r>
              <w:rPr>
                <w:sz w:val="22"/>
              </w:rPr>
              <w:instrText xml:space="preserve"> ADDIN ZOTERO_ITEM CSL_CITATION {"citationID":"205hlie6gi","properties":{"formattedCitation":"[19]","plainCitation":"[19]"},"citationItems":[{"id":381,"uris":["http://zotero.org/users/685052/items/WWF7V8WH"],"uri":["http://zotero.org/users/685052/items/WWF7V8WH"],"itemData":{"id":381,"type":"article-journal","title":"Transport of d-fructose and its analogues by Trypanosoma brucei","container-title":"Molecular and Biochemical Parasitology","page":"9-18","volume":"60","issue":"1","source":"ScienceDirect","abstract":"Kinetic parameters for entry of d-fructose into Trypanosoma brucei brucei have been determined. The net uptake of d-fructose was found to be rapid and occurred at a rate which was comparable with that observed for uptake of d-glucose. The Km and max were 3.91 ± 1.58 mM and 69.1 ± 7.2 nmol min−1 (mg protein)−1. d-Fructose was metabolized to pyruvate under aerobic conditions and to pyruvate and glycerol under anaerobic conditions in a manner similar to d-glucose. Comparisons of the kinetic parameters for d-fructose transport and metabolism indicated that uptake was rate limiting. Inhibition constants (Ki) for inhibition of 6-deoxy-d-glucose by d-fructose and d-fructose transport by 6-deoxy-d-glucose were consistent with the Km values for these two substrates. These interactions indicate that d-fructose and 6-deoxy-d-glucose share a single common transporter. 1,5-Anhydro-d-glucitol and 1,5 anhydro-d-mannitol (the fused pyranose ring analogues of d-glucose and d-mannose) have been found to interact well with the transporter, while l-sorbose (a d-fructose analogue with a pyranose ring) had only low affinity. However, 2,5-anhydro-d-mannitol (a fused furanose ring analogue of d-fructose) inhibited both 6-deoxy-d-glucose and d-fructose transport with a Ki of approx. 0.8 mM. The high affinity for 2,5-anhydro-d-mannitol (2-deoxy-d-fructofuranose) indicates that d-fructose is transported in the furanose ring form. This was directly demonstrated by measuring inhibition of 6-deoxy-d-glucose transport byβ-d-fructopyranose solutions during the approach to anomeric equilibrium withβ-d-fructofuranose. We therefore propose that the trypanosome transporter accommodates d-glucose as a pyranose ring and d-fructose as a furanose ring by binding to hydrogen bonds directed at the C-3, C-4 and ring oxygen positions and that a bulky group may be tolerated at C-2. The ring oxygen is however not essential, as 2R,5R-dihydroxymethyl-3R4R-dihydroxypyrollidine (a fructofuranose analogue with a ring nitrogen) was also accepted by the trypanosome transporter.","DOI":"10.1016/0166-6851(93)90023-Q","ISSN":"0166-6851","journalAbbreviation":"Mol Biochem Parasitol","author":[{"family":"Fry","given":"Alison J."},{"family":"Towner","given":"Paul"},{"family":"Holman","given":"Geoffrey D."},{"family":"Eisenthal","given":"Robert"}],"issued":{"date-parts":[["1993",7]]},"accessed":{"date-parts":[["2012",7,3]]}}}],"schema":"https://github.com/citation-style-language/schema/raw/master/csl-citation.json"} </w:instrText>
            </w:r>
            <w:r w:rsidRPr="00641561">
              <w:rPr>
                <w:sz w:val="22"/>
              </w:rPr>
              <w:fldChar w:fldCharType="separate"/>
            </w:r>
            <w:r w:rsidRPr="008750E9">
              <w:rPr>
                <w:sz w:val="22"/>
              </w:rPr>
              <w:t>[19]</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m,Fru</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3.91</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1c9yVJDG","properties":{"formattedCitation":"[19]","plainCitation":"[19]"},"citationItems":[{"id":381,"uris":["http://zotero.org/users/685052/items/WWF7V8WH"],"uri":["http://zotero.org/users/685052/items/WWF7V8WH"],"itemData":{"id":381,"type":"article-journal","title":"Transport of d-fructose and its analogues by Trypanosoma brucei","container-title":"Molecular and Biochemical Parasitology","page":"9-18","volume":"60","issue":"1","source":"ScienceDirect","abstract":"Kinetic parameters for entry of d-fructose into Trypanosoma brucei brucei have been determined. The net uptake of d-fructose was found to be rapid and occurred at a rate which was comparable with that observed for uptake of d-glucose. The Km and max were 3.91 ± 1.58 mM and 69.1 ± 7.2 nmol min−1 (mg protein)−1. d-Fructose was metabolized to pyruvate under aerobic conditions and to pyruvate and glycerol under anaerobic conditions in a manner similar to d-glucose. Comparisons of the kinetic parameters for d-fructose transport and metabolism indicated that uptake was rate limiting. Inhibition constants (Ki) for inhibition of 6-deoxy-d-glucose by d-fructose and d-fructose transport by 6-deoxy-d-glucose were consistent with the Km values for these two substrates. These interactions indicate that d-fructose and 6-deoxy-d-glucose share a single common transporter. 1,5-Anhydro-d-glucitol and 1,5 anhydro-d-mannitol (the fused pyranose ring analogues of d-glucose and d-mannose) have been found to interact well with the transporter, while l-sorbose (a d-fructose analogue with a pyranose ring) had only low affinity. However, 2,5-anhydro-d-mannitol (a fused furanose ring analogue of d-fructose) inhibited both 6-deoxy-d-glucose and d-fructose transport with a Ki of approx. 0.8 mM. The high affinity for 2,5-anhydro-d-mannitol (2-deoxy-d-fructofuranose) indicates that d-fructose is transported in the furanose ring form. This was directly demonstrated by measuring inhibition of 6-deoxy-d-glucose transport byβ-d-fructopyranose solutions during the approach to anomeric equilibrium withβ-d-fructofuranose. We therefore propose that the trypanosome transporter accommodates d-glucose as a pyranose ring and d-fructose as a furanose ring by binding to hydrogen bonds directed at the C-3, C-4 and ring oxygen positions and that a bulky group may be tolerated at C-2. The ring oxygen is however not essential, as 2R,5R-dihydroxymethyl-3R4R-dihydroxypyrollidine (a fructofuranose analogue with a ring nitrogen) was also accepted by the trypanosome transporter.","DOI":"10.1016/0166-6851(93)90023-Q","ISSN":"0166-6851","journalAbbreviation":"Mol Biochem Parasitol","author":[{"family":"Fry","given":"Alison J."},{"family":"Towner","given":"Paul"},{"family":"Holman","given":"Geoffrey D."},{"family":"Eisenthal","given":"Robert"}],"issued":{"date-parts":[["1993",7]]},"accessed":{"date-parts":[["2012",7,3]]}}}],"schema":"https://github.com/citation-style-language/schema/raw/master/csl-citation.json"} </w:instrText>
            </w:r>
            <w:r w:rsidRPr="00641561">
              <w:rPr>
                <w:sz w:val="22"/>
              </w:rPr>
              <w:fldChar w:fldCharType="separate"/>
            </w:r>
            <w:r w:rsidRPr="008750E9">
              <w:rPr>
                <w:sz w:val="22"/>
              </w:rPr>
              <w:t>[19]</w:t>
            </w:r>
            <w:r w:rsidRPr="00641561">
              <w:rPr>
                <w:sz w:val="22"/>
              </w:rPr>
              <w:fldChar w:fldCharType="end"/>
            </w:r>
          </w:p>
        </w:tc>
      </w:tr>
      <w:tr w:rsidR="002D6839" w:rsidRPr="00641561" w:rsidTr="00752F7E">
        <w:tc>
          <w:tcPr>
            <w:tcW w:w="1144" w:type="dxa"/>
            <w:tcBorders>
              <w:bottom w:val="single" w:sz="8" w:space="0" w:color="auto"/>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i/>
                <w:sz w:val="22"/>
              </w:rPr>
            </w:pPr>
            <w:r w:rsidRPr="00641561">
              <w:rPr>
                <w:sz w:val="22"/>
              </w:rPr>
              <w:t>α</w:t>
            </w:r>
          </w:p>
        </w:tc>
        <w:tc>
          <w:tcPr>
            <w:tcW w:w="1160"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0.75</w:t>
            </w:r>
          </w:p>
        </w:tc>
        <w:tc>
          <w:tcPr>
            <w:tcW w:w="2835"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i/>
                <w:sz w:val="22"/>
              </w:rPr>
            </w:pPr>
            <w:r>
              <w:rPr>
                <w:i/>
                <w:sz w:val="22"/>
              </w:rPr>
              <w:t>m</w:t>
            </w:r>
          </w:p>
        </w:tc>
      </w:tr>
      <w:tr w:rsidR="002D6839" w:rsidRPr="00641561" w:rsidTr="00752F7E">
        <w:tc>
          <w:tcPr>
            <w:tcW w:w="1144"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HXK(</w:t>
            </w:r>
            <w:proofErr w:type="spellStart"/>
            <w:r w:rsidRPr="00641561">
              <w:rPr>
                <w:sz w:val="22"/>
              </w:rPr>
              <w:t>Fru</w:t>
            </w:r>
            <w:proofErr w:type="spellEnd"/>
            <w:r w:rsidRPr="00641561">
              <w:rPr>
                <w:sz w:val="22"/>
              </w:rPr>
              <w:t>)</w:t>
            </w:r>
          </w:p>
        </w:tc>
        <w:tc>
          <w:tcPr>
            <w:tcW w:w="825"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max,c</w:t>
            </w:r>
            <w:proofErr w:type="spellEnd"/>
          </w:p>
        </w:tc>
        <w:tc>
          <w:tcPr>
            <w:tcW w:w="1160"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1775</w:t>
            </w:r>
          </w:p>
        </w:tc>
        <w:tc>
          <w:tcPr>
            <w:tcW w:w="2835"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i/>
                <w:sz w:val="22"/>
              </w:rPr>
            </w:pPr>
            <w:r>
              <w:rPr>
                <w:i/>
                <w:sz w:val="22"/>
              </w:rPr>
              <w:t>n</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V</w:t>
            </w:r>
            <w:r w:rsidRPr="00641561">
              <w:rPr>
                <w:i/>
                <w:sz w:val="22"/>
                <w:vertAlign w:val="subscript"/>
              </w:rPr>
              <w:t>max,g</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154</w:t>
            </w:r>
          </w:p>
        </w:tc>
        <w:tc>
          <w:tcPr>
            <w:tcW w:w="2835" w:type="dxa"/>
            <w:tcMar>
              <w:top w:w="0" w:type="dxa"/>
              <w:left w:w="57" w:type="dxa"/>
              <w:bottom w:w="0" w:type="dxa"/>
              <w:right w:w="0" w:type="dxa"/>
            </w:tcMar>
          </w:tcPr>
          <w:p w:rsidR="002D6839" w:rsidRPr="00641561" w:rsidRDefault="002D6839" w:rsidP="00752F7E">
            <w:pPr>
              <w:spacing w:after="0" w:line="240" w:lineRule="auto"/>
              <w:rPr>
                <w:sz w:val="22"/>
                <w:vertAlign w:val="superscript"/>
              </w:rPr>
            </w:pPr>
            <w:r w:rsidRPr="00641561">
              <w:rPr>
                <w:sz w:val="22"/>
              </w:rPr>
              <w:t>nmol · min</w:t>
            </w:r>
            <w:r w:rsidRPr="00641561">
              <w:rPr>
                <w:sz w:val="22"/>
                <w:vertAlign w:val="superscript"/>
              </w:rPr>
              <w:t>−1</w:t>
            </w:r>
            <w:r w:rsidRPr="00641561">
              <w:rPr>
                <w:sz w:val="22"/>
              </w:rPr>
              <w:t xml:space="preserve"> · mg protein</w:t>
            </w:r>
            <w:r w:rsidRPr="00641561">
              <w:rPr>
                <w:sz w:val="22"/>
                <w:vertAlign w:val="superscript"/>
              </w:rPr>
              <w:t>−1</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Pr>
                <w:i/>
                <w:sz w:val="22"/>
              </w:rPr>
              <w:t>n</w:t>
            </w:r>
          </w:p>
        </w:tc>
      </w:tr>
      <w:tr w:rsidR="002D6839" w:rsidRPr="00641561" w:rsidTr="00752F7E">
        <w:trPr>
          <w:trHeight w:val="213"/>
        </w:trPr>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eq</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631</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dimensionless</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fldChar w:fldCharType="begin"/>
            </w:r>
            <w:r>
              <w:rPr>
                <w:sz w:val="22"/>
              </w:rPr>
              <w:instrText xml:space="preserve"> ADDIN ZOTERO_ITEM CSL_CITATION {"citationID":"a2b18nv2l","properties":{"formattedCitation":"[20]","plainCitation":"[20]"},"citationItems":[{"id":100,"uris":["http://zotero.org/users/685052/items/9QQWR2Q6"],"uri":["http://zotero.org/users/685052/items/9QQWR2Q6"],"itemData":{"id":100,"type":"article-journal","title":"Reassessment of the role of ATP in vivo","container-title":"Journal of Theoretical Biology","page":"301-326","volume":"29","issue":"2","source":"NCBI PubMed","ISSN":"0022-5193","note":"PMID: 5500472","journalAbbreviation":"J. Theor. Biol.","author":[{"family":"Banks","given":"B E"},{"family":"Vernon","given":"C A"}],"issued":{"date-parts":[["1970",11]]},"accessed":{"date-parts":[["2012",3,21]]},"PMID":"5500472"}}],"schema":"https://github.com/citation-style-language/schema/raw/master/csl-citation.json"} </w:instrText>
            </w:r>
            <w:r w:rsidRPr="00641561">
              <w:rPr>
                <w:sz w:val="22"/>
              </w:rPr>
              <w:fldChar w:fldCharType="separate"/>
            </w:r>
            <w:r w:rsidRPr="008750E9">
              <w:rPr>
                <w:sz w:val="22"/>
              </w:rPr>
              <w:t>[20]</w:t>
            </w:r>
            <w:r w:rsidRPr="00641561">
              <w:rPr>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m,Fru</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0.35</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fldChar w:fldCharType="begin"/>
            </w:r>
            <w:r>
              <w:rPr>
                <w:i/>
                <w:sz w:val="22"/>
              </w:rPr>
              <w:instrText xml:space="preserve"> ADDIN ZOTERO_ITEM CSL_CITATION {"citationID":"fi1cr5dk","properties":{"formattedCitation":"[21]","plainCitation":"[21]"},"citationItems":[{"id":134,"uris":["http://zotero.org/users/685052/items/C8DSQFAH"],"uri":["http://zotero.org/users/685052/items/C8DSQFAH"],"itemData":{"id":134,"type":"article-journal","title":"Activity of a Second Trypanosoma brucei Hexokinase Is Controlled by an 18-Amino-Acid C-Terminal Tail","container-title":"Eukaryotic Cell","page":"2014-2023","volume":"5","issue":"12","source":"ec.asm.org","abstract":"Trypanosoma brucei expresses two hexokinases that are 98% identical, namely, TbHK1 and TbHK2. Homozygous null TbHK2−/− procyclic-form parasites exhibit an increased doubling time, a change in cell morphology, and, surprisingly, a twofold increase in cellular hexokinase activity. Recombinant TbHK1 enzymatic activity is similar to that of other hexokinases, with apparent Km values for glucose and ATP of 0.09 ± 0.02 mM and 0.28 ± 0.1 mM, respectively. The kcat value for TbHK1 is 2.9 × 104 min−1. TbHK1 can use mannose, fructose, 2-deoxyglucose, and glucosamine as substrates. In addition, TbHK1 is inhibited by fatty acids, with lauric, myristic, and palmitic acids being the most potent (with 50% inhibitory concentrations of 75.8, 78.4, and 62.4 μM, respectively). In contrast to TbHK1, recombinant TbHK2 lacks detectable enzymatic activity. Seven of the 10 amino acid differences between TbHK1 and TbHK2 lie within the C-terminal 18 amino acids of the polypeptides. Modeling of the proteins maps the C-terminal tails near the interdomain cleft of the enzyme that participates in the conformational change of the enzyme upon substrate binding. Replacing the last 18 amino acids of TbHK2 with the corresponding residues of TbHK1 yields an active recombinant protein with kinetic properties similar to those of TbHK1. Conversely, replacing the C-terminal tail of TbHK1 with the TbHK2 tail inactivates the enzyme. These findings suggest that the C-terminal tail of TbHK1 is important for hexokinase activity. The altered C-terminal tail of TbHK2, along with the phenotype of the knockout parasites, suggests a distinct function for the protein.","DOI":"10.1128/EC.00146-06","ISSN":"1535-9778, 1535-9786","journalAbbreviation":"Eukaryotic Cell","language":"en","author":[{"family":"Morris","given":"Meredith T."},{"family":"DeBruin","given":"Courtney"},{"family":"Yang","given":"Zhaoqing"},{"family":"Chambers","given":"Jeremy W."},{"family":"Smith","given":"Kerry S."},{"family":"Morris","given":"James C."}],"issued":{"date-parts":[["2006",12,1]]},"accessed":{"date-parts":[["2012",7,3]]}}}],"schema":"https://github.com/citation-style-language/schema/raw/master/csl-citation.json"} </w:instrText>
            </w:r>
            <w:r w:rsidRPr="00641561">
              <w:rPr>
                <w:i/>
                <w:sz w:val="22"/>
              </w:rPr>
              <w:fldChar w:fldCharType="separate"/>
            </w:r>
            <w:r w:rsidRPr="008750E9">
              <w:rPr>
                <w:sz w:val="22"/>
              </w:rPr>
              <w:t>[21]</w:t>
            </w:r>
            <w:r w:rsidRPr="00641561">
              <w:rPr>
                <w:i/>
                <w:sz w:val="22"/>
              </w:rPr>
              <w:fldChar w:fldCharType="end"/>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m,Fru-6-P</w:t>
            </w:r>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12</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Pr>
                <w:i/>
                <w:sz w:val="22"/>
              </w:rPr>
              <w:t>n</w:t>
            </w:r>
          </w:p>
        </w:tc>
      </w:tr>
      <w:tr w:rsidR="002D6839" w:rsidRPr="00641561" w:rsidTr="00752F7E">
        <w:tc>
          <w:tcPr>
            <w:tcW w:w="1144" w:type="dxa"/>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m,ATP</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0.116</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Pr>
                <w:i/>
                <w:sz w:val="22"/>
              </w:rPr>
              <w:t>n</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m,ADP</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0.126</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Pr>
                <w:i/>
                <w:sz w:val="22"/>
              </w:rPr>
              <w:t>n</w:t>
            </w:r>
          </w:p>
        </w:tc>
      </w:tr>
      <w:tr w:rsidR="002D6839" w:rsidRPr="00641561" w:rsidTr="00752F7E">
        <w:tc>
          <w:tcPr>
            <w:tcW w:w="1144" w:type="dxa"/>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i,Glc</w:t>
            </w:r>
            <w:proofErr w:type="spellEnd"/>
          </w:p>
        </w:tc>
        <w:tc>
          <w:tcPr>
            <w:tcW w:w="1160"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0.1</w:t>
            </w:r>
          </w:p>
        </w:tc>
        <w:tc>
          <w:tcPr>
            <w:tcW w:w="2835" w:type="dxa"/>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Mar>
              <w:top w:w="0" w:type="dxa"/>
              <w:left w:w="57" w:type="dxa"/>
              <w:bottom w:w="0" w:type="dxa"/>
              <w:right w:w="0" w:type="dxa"/>
            </w:tcMar>
          </w:tcPr>
          <w:p w:rsidR="002D6839" w:rsidRPr="00641561" w:rsidRDefault="002D6839" w:rsidP="00752F7E">
            <w:pPr>
              <w:spacing w:after="0" w:line="240" w:lineRule="auto"/>
              <w:rPr>
                <w:sz w:val="22"/>
              </w:rPr>
            </w:pPr>
            <w:r>
              <w:rPr>
                <w:i/>
                <w:sz w:val="22"/>
              </w:rPr>
              <w:t>o</w:t>
            </w:r>
          </w:p>
        </w:tc>
      </w:tr>
      <w:tr w:rsidR="002D6839" w:rsidRPr="00641561" w:rsidTr="00752F7E">
        <w:tc>
          <w:tcPr>
            <w:tcW w:w="1144" w:type="dxa"/>
            <w:tcBorders>
              <w:bottom w:val="single" w:sz="8" w:space="0" w:color="auto"/>
            </w:tcBorders>
            <w:tcMar>
              <w:top w:w="0" w:type="dxa"/>
              <w:left w:w="57" w:type="dxa"/>
              <w:bottom w:w="0" w:type="dxa"/>
              <w:right w:w="0" w:type="dxa"/>
            </w:tcMar>
          </w:tcPr>
          <w:p w:rsidR="002D6839" w:rsidRPr="00641561" w:rsidRDefault="002D6839" w:rsidP="00752F7E">
            <w:pPr>
              <w:autoSpaceDE w:val="0"/>
              <w:spacing w:after="0" w:line="240" w:lineRule="auto"/>
              <w:jc w:val="both"/>
              <w:rPr>
                <w:sz w:val="22"/>
              </w:rPr>
            </w:pPr>
          </w:p>
        </w:tc>
        <w:tc>
          <w:tcPr>
            <w:tcW w:w="825"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i,Glc-6-P</w:t>
            </w:r>
          </w:p>
        </w:tc>
        <w:tc>
          <w:tcPr>
            <w:tcW w:w="1160"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12</w:t>
            </w:r>
          </w:p>
        </w:tc>
        <w:tc>
          <w:tcPr>
            <w:tcW w:w="2835"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bottom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Pr>
                <w:i/>
                <w:sz w:val="22"/>
              </w:rPr>
              <w:t>o</w:t>
            </w:r>
          </w:p>
        </w:tc>
      </w:tr>
      <w:tr w:rsidR="002D6839" w:rsidRPr="00641561" w:rsidTr="00752F7E">
        <w:tc>
          <w:tcPr>
            <w:tcW w:w="1144"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HXK(</w:t>
            </w:r>
            <w:proofErr w:type="spellStart"/>
            <w:r w:rsidRPr="00641561">
              <w:rPr>
                <w:sz w:val="22"/>
              </w:rPr>
              <w:t>Glc</w:t>
            </w:r>
            <w:proofErr w:type="spellEnd"/>
            <w:r w:rsidRPr="00641561">
              <w:rPr>
                <w:sz w:val="22"/>
              </w:rPr>
              <w:t>)</w:t>
            </w:r>
          </w:p>
        </w:tc>
        <w:tc>
          <w:tcPr>
            <w:tcW w:w="825"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proofErr w:type="spellStart"/>
            <w:r w:rsidRPr="00641561">
              <w:rPr>
                <w:i/>
                <w:sz w:val="22"/>
              </w:rPr>
              <w:t>K</w:t>
            </w:r>
            <w:r w:rsidRPr="00641561">
              <w:rPr>
                <w:i/>
                <w:sz w:val="22"/>
                <w:vertAlign w:val="subscript"/>
              </w:rPr>
              <w:t>i,Fru</w:t>
            </w:r>
            <w:proofErr w:type="spellEnd"/>
          </w:p>
        </w:tc>
        <w:tc>
          <w:tcPr>
            <w:tcW w:w="1160"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0.35</w:t>
            </w:r>
          </w:p>
        </w:tc>
        <w:tc>
          <w:tcPr>
            <w:tcW w:w="2835"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top w:val="single" w:sz="8" w:space="0" w:color="auto"/>
            </w:tcBorders>
            <w:tcMar>
              <w:top w:w="0" w:type="dxa"/>
              <w:left w:w="57" w:type="dxa"/>
              <w:bottom w:w="0" w:type="dxa"/>
              <w:right w:w="0" w:type="dxa"/>
            </w:tcMar>
          </w:tcPr>
          <w:p w:rsidR="002D6839" w:rsidRPr="00641561" w:rsidRDefault="002D6839" w:rsidP="00752F7E">
            <w:pPr>
              <w:spacing w:after="0" w:line="240" w:lineRule="auto"/>
              <w:rPr>
                <w:sz w:val="22"/>
              </w:rPr>
            </w:pPr>
            <w:r>
              <w:rPr>
                <w:i/>
                <w:sz w:val="22"/>
              </w:rPr>
              <w:t>o</w:t>
            </w:r>
          </w:p>
        </w:tc>
      </w:tr>
      <w:tr w:rsidR="002D6839" w:rsidRPr="00641561" w:rsidTr="00752F7E">
        <w:tc>
          <w:tcPr>
            <w:tcW w:w="1144"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p>
        </w:tc>
        <w:tc>
          <w:tcPr>
            <w:tcW w:w="82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i/>
                <w:sz w:val="22"/>
              </w:rPr>
              <w:t>K</w:t>
            </w:r>
            <w:r w:rsidRPr="00641561">
              <w:rPr>
                <w:i/>
                <w:sz w:val="22"/>
                <w:vertAlign w:val="subscript"/>
              </w:rPr>
              <w:t>i,Fru-6-P</w:t>
            </w:r>
          </w:p>
        </w:tc>
        <w:tc>
          <w:tcPr>
            <w:tcW w:w="1160"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12</w:t>
            </w:r>
          </w:p>
        </w:tc>
        <w:tc>
          <w:tcPr>
            <w:tcW w:w="2835"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sidRPr="00641561">
              <w:rPr>
                <w:sz w:val="22"/>
              </w:rPr>
              <w:t>mM</w:t>
            </w:r>
          </w:p>
        </w:tc>
        <w:tc>
          <w:tcPr>
            <w:tcW w:w="3507" w:type="dxa"/>
            <w:tcBorders>
              <w:bottom w:val="single" w:sz="8" w:space="0" w:color="000000"/>
            </w:tcBorders>
            <w:tcMar>
              <w:top w:w="0" w:type="dxa"/>
              <w:left w:w="57" w:type="dxa"/>
              <w:bottom w:w="0" w:type="dxa"/>
              <w:right w:w="0" w:type="dxa"/>
            </w:tcMar>
          </w:tcPr>
          <w:p w:rsidR="002D6839" w:rsidRPr="00641561" w:rsidRDefault="002D6839" w:rsidP="00752F7E">
            <w:pPr>
              <w:spacing w:after="0" w:line="240" w:lineRule="auto"/>
              <w:rPr>
                <w:sz w:val="22"/>
              </w:rPr>
            </w:pPr>
            <w:r>
              <w:rPr>
                <w:i/>
                <w:sz w:val="22"/>
              </w:rPr>
              <w:t>o</w:t>
            </w:r>
          </w:p>
        </w:tc>
      </w:tr>
    </w:tbl>
    <w:p w:rsidR="002D6839" w:rsidRPr="008235D7" w:rsidRDefault="002D6839" w:rsidP="002D6839">
      <w:pPr>
        <w:spacing w:line="360" w:lineRule="auto"/>
        <w:rPr>
          <w:i/>
          <w:sz w:val="22"/>
        </w:rPr>
      </w:pPr>
    </w:p>
    <w:p w:rsidR="002D6839" w:rsidRPr="008235D7" w:rsidRDefault="002D6839" w:rsidP="002D6839">
      <w:pPr>
        <w:rPr>
          <w:i/>
          <w:sz w:val="22"/>
        </w:rPr>
      </w:pPr>
      <w:proofErr w:type="gramStart"/>
      <w:r w:rsidRPr="008235D7">
        <w:rPr>
          <w:i/>
          <w:sz w:val="22"/>
        </w:rPr>
        <w:t>a</w:t>
      </w:r>
      <w:proofErr w:type="gramEnd"/>
      <w:r w:rsidRPr="008235D7">
        <w:rPr>
          <w:i/>
          <w:sz w:val="22"/>
        </w:rPr>
        <w:t xml:space="preserve">: </w:t>
      </w:r>
      <w:r w:rsidRPr="008235D7">
        <w:rPr>
          <w:sz w:val="22"/>
        </w:rPr>
        <w:t>Corrected to pH 7 and/or 25 ºC</w:t>
      </w:r>
      <w:r w:rsidRPr="008235D7">
        <w:rPr>
          <w:i/>
          <w:sz w:val="22"/>
        </w:rPr>
        <w:t>.</w:t>
      </w:r>
    </w:p>
    <w:p w:rsidR="002D6839" w:rsidRPr="008235D7" w:rsidRDefault="002D6839" w:rsidP="002D6839">
      <w:pPr>
        <w:rPr>
          <w:sz w:val="22"/>
        </w:rPr>
      </w:pPr>
      <w:proofErr w:type="gramStart"/>
      <w:r w:rsidRPr="008235D7">
        <w:rPr>
          <w:i/>
          <w:sz w:val="22"/>
        </w:rPr>
        <w:t>b</w:t>
      </w:r>
      <w:proofErr w:type="gramEnd"/>
      <w:r w:rsidRPr="008235D7">
        <w:rPr>
          <w:i/>
          <w:sz w:val="22"/>
        </w:rPr>
        <w:t xml:space="preserve">: </w:t>
      </w:r>
      <w:r w:rsidRPr="008235D7">
        <w:rPr>
          <w:sz w:val="22"/>
        </w:rPr>
        <w:t xml:space="preserve">Parameter derived from human red blood cells. </w:t>
      </w:r>
      <w:r w:rsidRPr="008235D7">
        <w:rPr>
          <w:i/>
          <w:sz w:val="22"/>
        </w:rPr>
        <w:t>K</w:t>
      </w:r>
      <w:r w:rsidRPr="008235D7">
        <w:rPr>
          <w:i/>
          <w:sz w:val="22"/>
          <w:vertAlign w:val="subscript"/>
        </w:rPr>
        <w:t>m</w:t>
      </w:r>
      <w:r w:rsidRPr="008235D7">
        <w:rPr>
          <w:sz w:val="22"/>
        </w:rPr>
        <w:t xml:space="preserve"> values for Glc-6-P and NADP</w:t>
      </w:r>
      <w:r w:rsidRPr="008235D7">
        <w:rPr>
          <w:sz w:val="22"/>
          <w:vertAlign w:val="superscript"/>
        </w:rPr>
        <w:t>+</w:t>
      </w:r>
      <w:r w:rsidRPr="008235D7">
        <w:rPr>
          <w:sz w:val="22"/>
        </w:rPr>
        <w:t xml:space="preserve"> are in the same range for </w:t>
      </w:r>
      <w:r w:rsidRPr="008235D7">
        <w:rPr>
          <w:i/>
          <w:sz w:val="22"/>
        </w:rPr>
        <w:t>T. brucei</w:t>
      </w:r>
      <w:r w:rsidRPr="008235D7">
        <w:rPr>
          <w:sz w:val="22"/>
        </w:rPr>
        <w:t xml:space="preserve"> and RBCs. Calculations can be found on </w:t>
      </w:r>
      <w:proofErr w:type="spellStart"/>
      <w:r w:rsidRPr="008235D7">
        <w:rPr>
          <w:sz w:val="22"/>
        </w:rPr>
        <w:t>SilicoTryp</w:t>
      </w:r>
      <w:proofErr w:type="spellEnd"/>
      <w:r w:rsidRPr="008235D7">
        <w:rPr>
          <w:sz w:val="22"/>
        </w:rPr>
        <w:t xml:space="preserve"> wiki (http://silicotryp.ibls.gla.ac.uk/wiki/).</w:t>
      </w:r>
    </w:p>
    <w:p w:rsidR="002D6839" w:rsidRPr="008235D7" w:rsidRDefault="002D6839" w:rsidP="002D6839">
      <w:pPr>
        <w:rPr>
          <w:sz w:val="22"/>
        </w:rPr>
      </w:pPr>
      <w:proofErr w:type="gramStart"/>
      <w:r w:rsidRPr="008235D7">
        <w:rPr>
          <w:i/>
          <w:sz w:val="22"/>
        </w:rPr>
        <w:t>c</w:t>
      </w:r>
      <w:proofErr w:type="gramEnd"/>
      <w:r w:rsidRPr="008235D7">
        <w:rPr>
          <w:i/>
          <w:sz w:val="22"/>
        </w:rPr>
        <w:t xml:space="preserve">: </w:t>
      </w:r>
      <w:r w:rsidRPr="008235D7">
        <w:rPr>
          <w:sz w:val="22"/>
        </w:rPr>
        <w:t xml:space="preserve">Parameter derived from </w:t>
      </w:r>
      <w:r w:rsidRPr="008235D7">
        <w:rPr>
          <w:i/>
          <w:sz w:val="22"/>
        </w:rPr>
        <w:t>Trypanosoma cruzi</w:t>
      </w:r>
      <w:r w:rsidRPr="008235D7">
        <w:rPr>
          <w:sz w:val="22"/>
        </w:rPr>
        <w:t>.</w:t>
      </w:r>
    </w:p>
    <w:p w:rsidR="002D6839" w:rsidRPr="008235D7" w:rsidRDefault="002D6839" w:rsidP="002D6839">
      <w:pPr>
        <w:rPr>
          <w:i/>
          <w:iCs/>
          <w:sz w:val="22"/>
        </w:rPr>
      </w:pPr>
      <w:proofErr w:type="gramStart"/>
      <w:r w:rsidRPr="008235D7">
        <w:rPr>
          <w:i/>
          <w:iCs/>
          <w:sz w:val="22"/>
        </w:rPr>
        <w:t>d</w:t>
      </w:r>
      <w:proofErr w:type="gramEnd"/>
      <w:r w:rsidRPr="008235D7">
        <w:rPr>
          <w:i/>
          <w:iCs/>
          <w:sz w:val="22"/>
        </w:rPr>
        <w:t xml:space="preserve">: </w:t>
      </w:r>
      <w:r w:rsidRPr="008235D7">
        <w:rPr>
          <w:sz w:val="22"/>
        </w:rPr>
        <w:t>No value available. The affinity is assumed to be similar for the substrate and the product.</w:t>
      </w:r>
    </w:p>
    <w:p w:rsidR="002D6839" w:rsidRPr="008235D7" w:rsidRDefault="002D6839" w:rsidP="002D6839">
      <w:pPr>
        <w:rPr>
          <w:sz w:val="22"/>
        </w:rPr>
      </w:pPr>
      <w:proofErr w:type="gramStart"/>
      <w:r w:rsidRPr="008235D7">
        <w:rPr>
          <w:i/>
          <w:iCs/>
          <w:sz w:val="22"/>
        </w:rPr>
        <w:t>e</w:t>
      </w:r>
      <w:proofErr w:type="gramEnd"/>
      <w:r w:rsidRPr="008235D7">
        <w:rPr>
          <w:i/>
          <w:iCs/>
          <w:sz w:val="22"/>
        </w:rPr>
        <w:t xml:space="preserve">: </w:t>
      </w:r>
      <w:r w:rsidRPr="008235D7">
        <w:rPr>
          <w:sz w:val="22"/>
        </w:rPr>
        <w:t>No reliable locali</w:t>
      </w:r>
      <w:r>
        <w:rPr>
          <w:sz w:val="22"/>
        </w:rPr>
        <w:t>z</w:t>
      </w:r>
      <w:r w:rsidRPr="008235D7">
        <w:rPr>
          <w:sz w:val="22"/>
        </w:rPr>
        <w:t>ation data available, assumed to be distributed equally in glycosome and cytosol.</w:t>
      </w:r>
    </w:p>
    <w:p w:rsidR="002D6839" w:rsidRPr="008235D7" w:rsidRDefault="002D6839" w:rsidP="002D6839">
      <w:pPr>
        <w:rPr>
          <w:sz w:val="22"/>
        </w:rPr>
      </w:pPr>
      <w:r w:rsidRPr="008235D7">
        <w:rPr>
          <w:i/>
          <w:iCs/>
          <w:sz w:val="22"/>
        </w:rPr>
        <w:t>f:</w:t>
      </w:r>
      <w:r w:rsidRPr="008235D7">
        <w:rPr>
          <w:sz w:val="22"/>
        </w:rPr>
        <w:t xml:space="preserve"> Corrected from activity per number of cells to activity per mg cell protein by using 1.94 · 10</w:t>
      </w:r>
      <w:r w:rsidRPr="008235D7">
        <w:rPr>
          <w:sz w:val="22"/>
          <w:vertAlign w:val="superscript"/>
        </w:rPr>
        <w:t>8</w:t>
      </w:r>
      <w:r w:rsidRPr="008235D7">
        <w:rPr>
          <w:sz w:val="22"/>
        </w:rPr>
        <w:t xml:space="preserve"> cells · mg cell protein</w:t>
      </w:r>
      <w:r w:rsidRPr="008235D7">
        <w:rPr>
          <w:sz w:val="22"/>
          <w:vertAlign w:val="superscript"/>
        </w:rPr>
        <w:t>−1</w:t>
      </w:r>
      <w:r w:rsidRPr="008235D7">
        <w:rPr>
          <w:sz w:val="22"/>
        </w:rPr>
        <w:t>, as used by</w:t>
      </w:r>
      <w:r>
        <w:rPr>
          <w:sz w:val="22"/>
        </w:rPr>
        <w:t xml:space="preserve"> </w:t>
      </w:r>
      <w:r>
        <w:rPr>
          <w:sz w:val="22"/>
        </w:rPr>
        <w:fldChar w:fldCharType="begin"/>
      </w:r>
      <w:r>
        <w:rPr>
          <w:sz w:val="22"/>
        </w:rPr>
        <w:instrText xml:space="preserve"> ADDIN ZOTERO_ITEM CSL_CITATION {"citationID":"fukd32v70","properties":{"formattedCitation":"[22]","plainCitation":"[22]"},"citationItems":[{"id":77,"uris":["http://zotero.org/users/685052/items/7UP4XRIT"],"uri":["http://zotero.org/users/685052/items/7UP4XRIT"],"itemData":{"id":77,"type":"article-journal","title":"What controls glycolysis in bloodstream form Trypanosoma brucei?","container-title":"Journal of Biological Chemistry","page":"14551-14559","volume":"274","issue":"21","source":"www.jbc.org","abstract":"On the basis of the experimentally determined kinetic properties of the trypanosomal enzymes, the question is addressed of which step limits the glycolytic flux in bloodstream formTrypanosoma brucei. There appeared to be no single answer; in the physiological range, control shifted between the glucose transporter on the one hand and aldolase (ALD), glyceraldehyde-3-phosphate dehydrogenase (GAPDH), phosphoglycerate kinase (PGK), and glycerol-3-phosphate dehydrogenase (GDH) on the other hand. The other kinases, which are often thought to control glycolysis, exerted little control; so did the utilization of ATP.\nWe identified potential targets for anti-trypanosomal drugs by calculating which steps need the least inhibition to achieve a certain inhibition of the glycolytic flux in these parasites. The glucose transporter appeared to be the most promising target, followed by ALD, GDH, GAPDH, and PGK. By contrast, in erythrocytes more than 95% deficiencies of PGK, GAPDH, or ALD did not cause any clinical symptoms (Schuster, R. and Holzhütter, H.-G. (1995) Eur. J. Biochem. 229, 403–418). Therefore, the selectivity of drugs inhibiting these enzymes may be much higher than expected from their molecular effects alone. Quite unexpectedly, trypanosomes seem to possess a substantial overcapacity of hexokinase, phosphofructokinase, and pyruvate kinase, making these “irreversible” enzymes mediocre drug targets.","DOI":"10.1074/jbc.274.21.14551","ISSN":"0021-9258, 1083-351X","journalAbbreviation":"J. Biol. Chem.","language":"en","author":[{"family":"Bakker","given":"Barbara M."},{"family":"Michels","given":"Paul A. M."},{"family":"Opperdoes","given":"Fred R."},{"family":"Westerhoff","given":"Hans V."}],"issued":{"date-parts":[["1999",5,21]]},"accessed":{"date-parts":[["2012",8,25]]}}}],"schema":"https://github.com/citation-style-language/schema/raw/master/csl-citation.json"} </w:instrText>
      </w:r>
      <w:r>
        <w:rPr>
          <w:sz w:val="22"/>
        </w:rPr>
        <w:fldChar w:fldCharType="separate"/>
      </w:r>
      <w:r w:rsidRPr="008750E9">
        <w:rPr>
          <w:sz w:val="22"/>
        </w:rPr>
        <w:t>[22]</w:t>
      </w:r>
      <w:r>
        <w:rPr>
          <w:sz w:val="22"/>
        </w:rPr>
        <w:fldChar w:fldCharType="end"/>
      </w:r>
      <w:r w:rsidRPr="008235D7">
        <w:rPr>
          <w:sz w:val="22"/>
        </w:rPr>
        <w:t>.</w:t>
      </w:r>
    </w:p>
    <w:p w:rsidR="002D6839" w:rsidRPr="008235D7" w:rsidRDefault="002D6839" w:rsidP="002D6839">
      <w:pPr>
        <w:rPr>
          <w:sz w:val="22"/>
        </w:rPr>
      </w:pPr>
      <w:proofErr w:type="gramStart"/>
      <w:r w:rsidRPr="008235D7">
        <w:rPr>
          <w:i/>
          <w:iCs/>
          <w:sz w:val="22"/>
        </w:rPr>
        <w:t>g</w:t>
      </w:r>
      <w:proofErr w:type="gramEnd"/>
      <w:r w:rsidRPr="008235D7">
        <w:rPr>
          <w:i/>
          <w:iCs/>
          <w:sz w:val="22"/>
        </w:rPr>
        <w:t xml:space="preserve">: </w:t>
      </w:r>
      <w:r w:rsidRPr="008235D7">
        <w:rPr>
          <w:sz w:val="22"/>
        </w:rPr>
        <w:t>Calculated from redox potential of trypanothione.</w:t>
      </w:r>
    </w:p>
    <w:p w:rsidR="002D6839" w:rsidRPr="008235D7" w:rsidRDefault="002D6839" w:rsidP="002D6839">
      <w:pPr>
        <w:rPr>
          <w:sz w:val="22"/>
        </w:rPr>
      </w:pPr>
      <w:proofErr w:type="gramStart"/>
      <w:r w:rsidRPr="008235D7">
        <w:rPr>
          <w:i/>
          <w:iCs/>
          <w:sz w:val="22"/>
        </w:rPr>
        <w:t>h</w:t>
      </w:r>
      <w:proofErr w:type="gramEnd"/>
      <w:r w:rsidRPr="008235D7">
        <w:rPr>
          <w:i/>
          <w:iCs/>
          <w:sz w:val="22"/>
        </w:rPr>
        <w:t xml:space="preserve">: </w:t>
      </w:r>
      <w:r w:rsidRPr="008235D7">
        <w:rPr>
          <w:sz w:val="22"/>
        </w:rPr>
        <w:t xml:space="preserve">Ratio of </w:t>
      </w:r>
      <w:r w:rsidRPr="008235D7">
        <w:rPr>
          <w:i/>
          <w:iCs/>
          <w:sz w:val="22"/>
        </w:rPr>
        <w:t>K</w:t>
      </w:r>
      <w:r w:rsidRPr="008235D7">
        <w:rPr>
          <w:i/>
          <w:iCs/>
          <w:sz w:val="22"/>
          <w:vertAlign w:val="subscript"/>
        </w:rPr>
        <w:t>m</w:t>
      </w:r>
      <w:r w:rsidRPr="008235D7">
        <w:rPr>
          <w:sz w:val="22"/>
        </w:rPr>
        <w:t xml:space="preserve"> values of reduced and oxidized trypanothione are assumed to be similar to the ratio of </w:t>
      </w:r>
      <w:r w:rsidRPr="008235D7">
        <w:rPr>
          <w:i/>
          <w:iCs/>
          <w:sz w:val="22"/>
        </w:rPr>
        <w:t>K</w:t>
      </w:r>
      <w:r w:rsidRPr="008235D7">
        <w:rPr>
          <w:i/>
          <w:iCs/>
          <w:sz w:val="22"/>
          <w:vertAlign w:val="subscript"/>
        </w:rPr>
        <w:t>m</w:t>
      </w:r>
      <w:r w:rsidRPr="008235D7">
        <w:rPr>
          <w:sz w:val="22"/>
        </w:rPr>
        <w:t xml:space="preserve"> values of reduced and oxidized glutathione for glutathione reductase.</w:t>
      </w:r>
    </w:p>
    <w:p w:rsidR="002D6839" w:rsidRPr="008235D7" w:rsidRDefault="002D6839" w:rsidP="002D6839">
      <w:pPr>
        <w:rPr>
          <w:sz w:val="22"/>
        </w:rPr>
      </w:pPr>
      <w:r w:rsidRPr="008235D7">
        <w:rPr>
          <w:i/>
          <w:iCs/>
          <w:sz w:val="22"/>
        </w:rPr>
        <w:t>i:</w:t>
      </w:r>
      <w:r w:rsidRPr="008235D7">
        <w:rPr>
          <w:sz w:val="22"/>
        </w:rPr>
        <w:t xml:space="preserve"> Fitted to result in a total PPP flux of 1.2 nmol · min</w:t>
      </w:r>
      <w:r w:rsidRPr="008235D7">
        <w:rPr>
          <w:sz w:val="22"/>
          <w:vertAlign w:val="superscript"/>
        </w:rPr>
        <w:t>−1</w:t>
      </w:r>
      <w:r w:rsidRPr="008235D7">
        <w:rPr>
          <w:sz w:val="22"/>
        </w:rPr>
        <w:t xml:space="preserve"> · mg protein</w:t>
      </w:r>
      <w:r w:rsidRPr="008235D7">
        <w:rPr>
          <w:sz w:val="22"/>
          <w:vertAlign w:val="superscript"/>
        </w:rPr>
        <w:t>−1</w:t>
      </w:r>
      <w:r w:rsidRPr="008235D7">
        <w:rPr>
          <w:sz w:val="22"/>
        </w:rPr>
        <w:t xml:space="preserve">, which is the average PPP flux in </w:t>
      </w:r>
      <w:r w:rsidRPr="008235D7">
        <w:rPr>
          <w:i/>
          <w:iCs/>
          <w:sz w:val="22"/>
        </w:rPr>
        <w:t>T. cruzi</w:t>
      </w:r>
      <w:r w:rsidRPr="008235D7">
        <w:rPr>
          <w:sz w:val="22"/>
        </w:rPr>
        <w:t xml:space="preserve"> and </w:t>
      </w:r>
      <w:r w:rsidRPr="008235D7">
        <w:rPr>
          <w:i/>
          <w:iCs/>
          <w:sz w:val="22"/>
        </w:rPr>
        <w:t xml:space="preserve">L. </w:t>
      </w:r>
      <w:proofErr w:type="spellStart"/>
      <w:r w:rsidRPr="008235D7">
        <w:rPr>
          <w:i/>
          <w:iCs/>
          <w:sz w:val="22"/>
        </w:rPr>
        <w:t>mexicana</w:t>
      </w:r>
      <w:proofErr w:type="spellEnd"/>
      <w:r w:rsidRPr="008235D7">
        <w:rPr>
          <w:i/>
          <w:iCs/>
          <w:sz w:val="22"/>
        </w:rPr>
        <w:t xml:space="preserve"> </w:t>
      </w:r>
      <w:r w:rsidRPr="008235D7">
        <w:rPr>
          <w:sz w:val="22"/>
        </w:rPr>
        <w:t xml:space="preserve">without induced oxidative stress </w:t>
      </w:r>
      <w:r>
        <w:rPr>
          <w:sz w:val="22"/>
        </w:rPr>
        <w:fldChar w:fldCharType="begin"/>
      </w:r>
      <w:r>
        <w:rPr>
          <w:sz w:val="22"/>
        </w:rPr>
        <w:instrText xml:space="preserve"> ADDIN ZOTERO_ITEM CSL_CITATION {"citationID":"hlqd6qro8","properties":{"formattedCitation":"[23,24]","plainCitation":"[23,24]"},"citationItems":[{"id":165,"uris":["http://zotero.org/users/685052/items/ERUJUJ5A"],"uri":["http://zotero.org/users/685052/items/ERUJUJ5A"],"itemData":{"id":165,"type":"article-journal","title":"Pentose phosphate metabolism in Leishmania mexicana","container-title":"Molecular and Biochemical Parasitology","page":"117-125","volume":"130","issue":"2","source":"NCBI PubMed","abstract":"The metabolism of pentose phosphates was studied in Leishmania mexicana promastigotes. Each of the enzymes of the classical pentose phosphate pathway (PPP) has been identified and specific activities measured. Functioning of the PPP was demonstrated in non-growing cells by measuring the evolution of 14CO2 from [1-14C]D-glucose and [6-14C]D-glucose under normal conditions and also under selective stimulation of the PPP by exposure to methylene blue. The proportion of glucose which passes through the PPP increases in the latter condition, thus suggesting a protective role against oxidant stress. The incorporation into nucleic acids of ribose 5-phosphate provided via either glucose or free ribose was also determined. Results indicate that the PPP enables glucose to serve as a source of ribose 5-phosphate in nucleotide biosynthesis. Moreover, free ribose is incorporated efficiently, implying the presence of a ribose uptake system and also of ribokinase. Ribose was shown to be accumulated by a carrier mediated process in L. mexicana promastigotes and ribokinase activity was also measured in these cells.","ISSN":"0166-6851","note":"PMID: 12946848","journalAbbreviation":"Mol. Biochem. Parasitol","author":[{"family":"Maugeri","given":"Dante Abel"},{"family":"Cazzulo","given":"Juan Jose"},{"family":"Burchmore","given":"Richard J S"},{"family":"Barrett","given":"Michael P"},{"family":"Ogbunude","given":"Patrick O J"}],"issued":{"date-parts":[["2003",8,31]]},"accessed":{"date-parts":[["2011",8,6]]},"PMID":"12946848"}},{"id":274,"uris":["http://zotero.org/users/685052/items/QGEHNNHU"],"uri":["http://zotero.org/users/685052/items/QGEHNNHU"],"itemData":{"id":274,"type":"article-journal","title":"The pentose phosphate pathway in Trypanosoma cruzi","container-title":"FEMS Microbiology Letters","page":"117-123","volume":"234","issue":"1","source":"NCBI PubMed","abstract":"The pentose phosphate pathway has been studied in Trypanosoma cruzi, Clone CL Brener. Functioning of the pathway was demonstrated in epimastigotes by measuring the evolution of (14)CO(2) from [1-(14)C] or [6-(14)C]D-glucose. Glucose consumption through the PPP increased from 9.9% to 20.4% in the presence of methylene blue, which mimics oxidative stress. All the enzymes of the PPP are present in the four major developmental stages of the parasite. Subcellular localisation experiments suggested that the PPP enzymes have a cytosolic component, predominant in most cases, although all of them also seem to have organellar localisation(s).","DOI":"10.1016/j.femsle.2004.03.018","ISSN":"0378-1097","note":"PMID: 15109729","journalAbbreviation":"FEMS Microbiol. Lett.","author":[{"family":"Maugeri","given":"Dante A"},{"family":"Cazzulo","given":"Juan J"}],"issued":{"date-parts":[["2004",5,1]]},"accessed":{"date-parts":[["2011",9,9]]},"PMID":"15109729"}}],"schema":"https://github.com/citation-style-language/schema/raw/master/csl-citation.json"} </w:instrText>
      </w:r>
      <w:r>
        <w:rPr>
          <w:sz w:val="22"/>
        </w:rPr>
        <w:fldChar w:fldCharType="separate"/>
      </w:r>
      <w:r w:rsidRPr="008750E9">
        <w:rPr>
          <w:sz w:val="22"/>
        </w:rPr>
        <w:t>[23,24]</w:t>
      </w:r>
      <w:r>
        <w:rPr>
          <w:sz w:val="22"/>
        </w:rPr>
        <w:fldChar w:fldCharType="end"/>
      </w:r>
      <w:r w:rsidRPr="008235D7">
        <w:rPr>
          <w:sz w:val="22"/>
        </w:rPr>
        <w:t>. The PPP flux is assumed to be distributed equally between cytosol and glycosome when no additional oxidative stress is present (</w:t>
      </w:r>
      <w:proofErr w:type="spellStart"/>
      <w:r w:rsidRPr="008235D7">
        <w:rPr>
          <w:i/>
          <w:iCs/>
          <w:sz w:val="22"/>
        </w:rPr>
        <w:t>k</w:t>
      </w:r>
      <w:r w:rsidRPr="008235D7">
        <w:rPr>
          <w:i/>
          <w:iCs/>
          <w:sz w:val="22"/>
          <w:vertAlign w:val="subscript"/>
        </w:rPr>
        <w:t>TOX</w:t>
      </w:r>
      <w:proofErr w:type="spellEnd"/>
      <w:r w:rsidRPr="008235D7">
        <w:rPr>
          <w:sz w:val="22"/>
        </w:rPr>
        <w:t xml:space="preserve"> = 0).</w:t>
      </w:r>
    </w:p>
    <w:p w:rsidR="002D6839" w:rsidRPr="008235D7" w:rsidRDefault="002D6839" w:rsidP="002D6839">
      <w:pPr>
        <w:rPr>
          <w:sz w:val="22"/>
        </w:rPr>
      </w:pPr>
      <w:proofErr w:type="gramStart"/>
      <w:r w:rsidRPr="008235D7">
        <w:rPr>
          <w:i/>
          <w:iCs/>
          <w:sz w:val="22"/>
        </w:rPr>
        <w:t>j</w:t>
      </w:r>
      <w:proofErr w:type="gramEnd"/>
      <w:r w:rsidRPr="008235D7">
        <w:rPr>
          <w:i/>
          <w:iCs/>
          <w:sz w:val="22"/>
        </w:rPr>
        <w:t>:</w:t>
      </w:r>
      <w:r w:rsidRPr="008235D7">
        <w:rPr>
          <w:sz w:val="22"/>
        </w:rPr>
        <w:t xml:space="preserve"> The average of the two types of acid phosphatases in </w:t>
      </w:r>
      <w:r w:rsidRPr="008235D7">
        <w:rPr>
          <w:i/>
          <w:iCs/>
          <w:sz w:val="22"/>
        </w:rPr>
        <w:t xml:space="preserve">T. </w:t>
      </w:r>
      <w:proofErr w:type="spellStart"/>
      <w:r w:rsidRPr="008235D7">
        <w:rPr>
          <w:i/>
          <w:iCs/>
          <w:sz w:val="22"/>
        </w:rPr>
        <w:t>rhodesiense</w:t>
      </w:r>
      <w:proofErr w:type="spellEnd"/>
      <w:r w:rsidRPr="008235D7">
        <w:rPr>
          <w:sz w:val="22"/>
        </w:rPr>
        <w:t xml:space="preserve"> were used as a first estimate.</w:t>
      </w:r>
    </w:p>
    <w:p w:rsidR="002D6839" w:rsidRPr="00A72836" w:rsidRDefault="002D6839" w:rsidP="002D6839">
      <w:pPr>
        <w:rPr>
          <w:sz w:val="22"/>
        </w:rPr>
      </w:pPr>
      <w:proofErr w:type="gramStart"/>
      <w:r w:rsidRPr="008235D7">
        <w:rPr>
          <w:i/>
          <w:sz w:val="22"/>
        </w:rPr>
        <w:t>k</w:t>
      </w:r>
      <w:proofErr w:type="gramEnd"/>
      <w:r w:rsidRPr="008235D7">
        <w:rPr>
          <w:i/>
          <w:sz w:val="22"/>
        </w:rPr>
        <w:t xml:space="preserve">: </w:t>
      </w:r>
      <w:r w:rsidRPr="008235D7">
        <w:rPr>
          <w:sz w:val="22"/>
        </w:rPr>
        <w:t>The hypothetical ATP:</w:t>
      </w:r>
      <w:r w:rsidRPr="00A72836">
        <w:rPr>
          <w:sz w:val="22"/>
        </w:rPr>
        <w:t xml:space="preserve">ADP antiporter was given arbitrary kinetic constants. The </w:t>
      </w:r>
      <w:proofErr w:type="spellStart"/>
      <w:r w:rsidRPr="00A72836">
        <w:rPr>
          <w:i/>
          <w:sz w:val="22"/>
        </w:rPr>
        <w:t>K</w:t>
      </w:r>
      <w:r w:rsidRPr="00A72836">
        <w:rPr>
          <w:i/>
          <w:sz w:val="22"/>
          <w:vertAlign w:val="subscript"/>
        </w:rPr>
        <w:t>eq</w:t>
      </w:r>
      <w:proofErr w:type="spellEnd"/>
      <w:r w:rsidRPr="00A72836">
        <w:rPr>
          <w:i/>
          <w:sz w:val="22"/>
        </w:rPr>
        <w:t xml:space="preserve"> </w:t>
      </w:r>
      <w:r w:rsidRPr="00A72836">
        <w:rPr>
          <w:sz w:val="22"/>
        </w:rPr>
        <w:t>of 1 reflects the assumption of facilitated transport, i.e. not driven by an external source of Gibbs free energy.</w:t>
      </w:r>
    </w:p>
    <w:p w:rsidR="002D6839" w:rsidRPr="00A72836" w:rsidRDefault="002D6839" w:rsidP="002D6839">
      <w:pPr>
        <w:rPr>
          <w:rFonts w:eastAsia="Times New Roman"/>
          <w:sz w:val="22"/>
        </w:rPr>
      </w:pPr>
      <w:proofErr w:type="gramStart"/>
      <w:r w:rsidRPr="00A72836">
        <w:rPr>
          <w:i/>
          <w:sz w:val="22"/>
        </w:rPr>
        <w:t>l</w:t>
      </w:r>
      <w:proofErr w:type="gramEnd"/>
      <w:r w:rsidRPr="00A72836">
        <w:rPr>
          <w:i/>
          <w:sz w:val="22"/>
        </w:rPr>
        <w:t>:</w:t>
      </w:r>
      <w:r w:rsidRPr="00A72836">
        <w:rPr>
          <w:sz w:val="22"/>
        </w:rPr>
        <w:t xml:space="preserve"> </w:t>
      </w:r>
      <w:r w:rsidRPr="00A72836">
        <w:rPr>
          <w:rFonts w:eastAsia="Times New Roman"/>
          <w:sz w:val="22"/>
        </w:rPr>
        <w:t>Attempts to measure the intracellular ribokinase activity in cellular lysates were unsuccessful, as other enzymes present in the cell extracts confounded the re</w:t>
      </w:r>
      <w:bookmarkStart w:id="0" w:name="_GoBack"/>
      <w:bookmarkEnd w:id="0"/>
      <w:r w:rsidRPr="00A72836">
        <w:rPr>
          <w:rFonts w:eastAsia="Times New Roman"/>
          <w:sz w:val="22"/>
        </w:rPr>
        <w:t xml:space="preserve">sults. The </w:t>
      </w:r>
      <w:proofErr w:type="spellStart"/>
      <w:r w:rsidRPr="00A72836">
        <w:rPr>
          <w:rFonts w:eastAsia="Times New Roman"/>
          <w:sz w:val="22"/>
        </w:rPr>
        <w:t>ribokinase</w:t>
      </w:r>
      <w:proofErr w:type="spellEnd"/>
      <w:r w:rsidRPr="00A72836">
        <w:rPr>
          <w:rFonts w:eastAsia="Times New Roman"/>
          <w:sz w:val="22"/>
        </w:rPr>
        <w:t xml:space="preserve"> </w:t>
      </w:r>
      <w:proofErr w:type="spellStart"/>
      <w:r w:rsidRPr="00A72836">
        <w:rPr>
          <w:rFonts w:eastAsia="Times New Roman"/>
          <w:i/>
          <w:sz w:val="22"/>
        </w:rPr>
        <w:t>V</w:t>
      </w:r>
      <w:r w:rsidRPr="00A72836">
        <w:rPr>
          <w:rFonts w:eastAsia="Times New Roman"/>
          <w:i/>
          <w:sz w:val="22"/>
          <w:vertAlign w:val="subscript"/>
        </w:rPr>
        <w:t>max</w:t>
      </w:r>
      <w:proofErr w:type="spellEnd"/>
      <w:r w:rsidRPr="00A72836">
        <w:rPr>
          <w:rFonts w:eastAsia="Times New Roman"/>
          <w:sz w:val="22"/>
        </w:rPr>
        <w:t>-value was therefore sampled from a wide range.</w:t>
      </w:r>
    </w:p>
    <w:p w:rsidR="002D6839" w:rsidRPr="008235D7" w:rsidRDefault="002D6839" w:rsidP="002D6839">
      <w:pPr>
        <w:rPr>
          <w:sz w:val="22"/>
        </w:rPr>
      </w:pPr>
      <w:proofErr w:type="gramStart"/>
      <w:r w:rsidRPr="00A72836">
        <w:rPr>
          <w:i/>
          <w:sz w:val="22"/>
        </w:rPr>
        <w:t>m</w:t>
      </w:r>
      <w:proofErr w:type="gramEnd"/>
      <w:r w:rsidRPr="00A72836">
        <w:rPr>
          <w:i/>
          <w:sz w:val="22"/>
        </w:rPr>
        <w:t>:</w:t>
      </w:r>
      <w:r w:rsidRPr="00A72836">
        <w:rPr>
          <w:sz w:val="22"/>
        </w:rPr>
        <w:t xml:space="preserve"> No value available, assumed</w:t>
      </w:r>
      <w:r w:rsidRPr="008235D7">
        <w:rPr>
          <w:sz w:val="22"/>
        </w:rPr>
        <w:t xml:space="preserve"> to be similar to glucose transporter.</w:t>
      </w:r>
    </w:p>
    <w:p w:rsidR="002D6839" w:rsidRPr="008235D7" w:rsidRDefault="002D6839" w:rsidP="002D6839">
      <w:pPr>
        <w:rPr>
          <w:sz w:val="22"/>
        </w:rPr>
      </w:pPr>
      <w:proofErr w:type="gramStart"/>
      <w:r>
        <w:rPr>
          <w:i/>
          <w:sz w:val="22"/>
        </w:rPr>
        <w:t>n</w:t>
      </w:r>
      <w:proofErr w:type="gramEnd"/>
      <w:r w:rsidRPr="008235D7">
        <w:rPr>
          <w:i/>
          <w:sz w:val="22"/>
        </w:rPr>
        <w:t>:</w:t>
      </w:r>
      <w:r w:rsidRPr="008235D7">
        <w:rPr>
          <w:sz w:val="22"/>
        </w:rPr>
        <w:t xml:space="preserve"> No value measured for fructose (6-phosphate). Assumed to be similar to the value for glucose (6-phosphate).</w:t>
      </w:r>
    </w:p>
    <w:p w:rsidR="002D6839" w:rsidRPr="008235D7" w:rsidRDefault="002D6839" w:rsidP="002D6839">
      <w:pPr>
        <w:rPr>
          <w:sz w:val="22"/>
        </w:rPr>
      </w:pPr>
      <w:proofErr w:type="gramStart"/>
      <w:r>
        <w:rPr>
          <w:i/>
          <w:sz w:val="22"/>
        </w:rPr>
        <w:t>o</w:t>
      </w:r>
      <w:proofErr w:type="gramEnd"/>
      <w:r w:rsidRPr="008235D7">
        <w:rPr>
          <w:i/>
          <w:sz w:val="22"/>
        </w:rPr>
        <w:t xml:space="preserve">: </w:t>
      </w:r>
      <w:r w:rsidRPr="008235D7">
        <w:rPr>
          <w:sz w:val="22"/>
        </w:rPr>
        <w:t>Competitive inhibitor, K</w:t>
      </w:r>
      <w:r w:rsidRPr="008235D7">
        <w:rPr>
          <w:sz w:val="22"/>
          <w:vertAlign w:val="subscript"/>
        </w:rPr>
        <w:t>i</w:t>
      </w:r>
      <w:r w:rsidRPr="008235D7">
        <w:rPr>
          <w:sz w:val="22"/>
        </w:rPr>
        <w:t xml:space="preserve"> is identical to K</w:t>
      </w:r>
      <w:r w:rsidRPr="008235D7">
        <w:rPr>
          <w:sz w:val="22"/>
          <w:vertAlign w:val="subscript"/>
        </w:rPr>
        <w:t>m</w:t>
      </w:r>
      <w:r w:rsidRPr="008235D7">
        <w:rPr>
          <w:sz w:val="22"/>
        </w:rPr>
        <w:t>.</w:t>
      </w:r>
    </w:p>
    <w:p w:rsidR="003A686F" w:rsidRPr="003A686F" w:rsidRDefault="002D6839" w:rsidP="003A686F">
      <w:pPr>
        <w:pStyle w:val="Bibliography"/>
        <w:rPr>
          <w:sz w:val="22"/>
        </w:rPr>
      </w:pPr>
      <w:r>
        <w:rPr>
          <w:b/>
          <w:color w:val="000000"/>
          <w:sz w:val="22"/>
        </w:rPr>
        <w:br w:type="page"/>
      </w:r>
      <w:r>
        <w:rPr>
          <w:b/>
          <w:color w:val="000000"/>
          <w:sz w:val="22"/>
        </w:rPr>
        <w:lastRenderedPageBreak/>
        <w:fldChar w:fldCharType="begin"/>
      </w:r>
      <w:r w:rsidR="003A686F">
        <w:rPr>
          <w:b/>
          <w:color w:val="000000"/>
          <w:sz w:val="22"/>
        </w:rPr>
        <w:instrText xml:space="preserve"> ADDIN ZOTERO_BIBL {"custom":[]} CSL_BIBLIOGRAPHY </w:instrText>
      </w:r>
      <w:r>
        <w:rPr>
          <w:b/>
          <w:color w:val="000000"/>
          <w:sz w:val="22"/>
        </w:rPr>
        <w:fldChar w:fldCharType="separate"/>
      </w:r>
      <w:r w:rsidR="003A686F" w:rsidRPr="003A686F">
        <w:rPr>
          <w:sz w:val="22"/>
        </w:rPr>
        <w:t xml:space="preserve">1. </w:t>
      </w:r>
      <w:r w:rsidR="003A686F" w:rsidRPr="003A686F">
        <w:rPr>
          <w:sz w:val="22"/>
        </w:rPr>
        <w:tab/>
        <w:t xml:space="preserve">Cronin CN, Nolan DP, Paul </w:t>
      </w:r>
      <w:proofErr w:type="spellStart"/>
      <w:r w:rsidR="003A686F" w:rsidRPr="003A686F">
        <w:rPr>
          <w:sz w:val="22"/>
        </w:rPr>
        <w:t>Voorheis</w:t>
      </w:r>
      <w:proofErr w:type="spellEnd"/>
      <w:r w:rsidR="003A686F" w:rsidRPr="003A686F">
        <w:rPr>
          <w:sz w:val="22"/>
        </w:rPr>
        <w:t xml:space="preserve"> H (1989) </w:t>
      </w:r>
      <w:proofErr w:type="gramStart"/>
      <w:r w:rsidR="003A686F" w:rsidRPr="003A686F">
        <w:rPr>
          <w:sz w:val="22"/>
        </w:rPr>
        <w:t>The</w:t>
      </w:r>
      <w:proofErr w:type="gramEnd"/>
      <w:r w:rsidR="003A686F" w:rsidRPr="003A686F">
        <w:rPr>
          <w:sz w:val="22"/>
        </w:rPr>
        <w:t xml:space="preserve"> enzymes of the classical pentose phosphate pathway display differential activities in </w:t>
      </w:r>
      <w:proofErr w:type="spellStart"/>
      <w:r w:rsidR="003A686F" w:rsidRPr="003A686F">
        <w:rPr>
          <w:sz w:val="22"/>
        </w:rPr>
        <w:t>procyclic</w:t>
      </w:r>
      <w:proofErr w:type="spellEnd"/>
      <w:r w:rsidR="003A686F" w:rsidRPr="003A686F">
        <w:rPr>
          <w:sz w:val="22"/>
        </w:rPr>
        <w:t xml:space="preserve"> and bloodstream forms of </w:t>
      </w:r>
      <w:proofErr w:type="spellStart"/>
      <w:r w:rsidR="003A686F" w:rsidRPr="003A686F">
        <w:rPr>
          <w:sz w:val="22"/>
        </w:rPr>
        <w:t>Trypanosoma</w:t>
      </w:r>
      <w:proofErr w:type="spellEnd"/>
      <w:r w:rsidR="003A686F" w:rsidRPr="003A686F">
        <w:rPr>
          <w:sz w:val="22"/>
        </w:rPr>
        <w:t xml:space="preserve"> </w:t>
      </w:r>
      <w:proofErr w:type="spellStart"/>
      <w:r w:rsidR="003A686F" w:rsidRPr="003A686F">
        <w:rPr>
          <w:sz w:val="22"/>
        </w:rPr>
        <w:t>brucei</w:t>
      </w:r>
      <w:proofErr w:type="spellEnd"/>
      <w:r w:rsidR="003A686F" w:rsidRPr="003A686F">
        <w:rPr>
          <w:sz w:val="22"/>
        </w:rPr>
        <w:t xml:space="preserve">. FEBS </w:t>
      </w:r>
      <w:proofErr w:type="spellStart"/>
      <w:r w:rsidR="003A686F" w:rsidRPr="003A686F">
        <w:rPr>
          <w:sz w:val="22"/>
        </w:rPr>
        <w:t>Lett</w:t>
      </w:r>
      <w:proofErr w:type="spellEnd"/>
      <w:r w:rsidR="003A686F" w:rsidRPr="003A686F">
        <w:rPr>
          <w:sz w:val="22"/>
        </w:rPr>
        <w:t xml:space="preserve"> 244: 26–30. </w:t>
      </w:r>
      <w:proofErr w:type="gramStart"/>
      <w:r w:rsidR="003A686F" w:rsidRPr="003A686F">
        <w:rPr>
          <w:sz w:val="22"/>
        </w:rPr>
        <w:t>doi:</w:t>
      </w:r>
      <w:proofErr w:type="gramEnd"/>
      <w:r w:rsidR="003A686F" w:rsidRPr="003A686F">
        <w:rPr>
          <w:sz w:val="22"/>
        </w:rPr>
        <w:t>10.1016/0014-5793(89)81154-8.</w:t>
      </w:r>
    </w:p>
    <w:p w:rsidR="003A686F" w:rsidRPr="003A686F" w:rsidRDefault="003A686F" w:rsidP="003A686F">
      <w:pPr>
        <w:pStyle w:val="Bibliography"/>
        <w:rPr>
          <w:sz w:val="22"/>
        </w:rPr>
      </w:pPr>
      <w:r w:rsidRPr="003A686F">
        <w:rPr>
          <w:sz w:val="22"/>
        </w:rPr>
        <w:t xml:space="preserve">2. </w:t>
      </w:r>
      <w:r w:rsidRPr="003A686F">
        <w:rPr>
          <w:sz w:val="22"/>
        </w:rPr>
        <w:tab/>
      </w:r>
      <w:proofErr w:type="spellStart"/>
      <w:r w:rsidRPr="003A686F">
        <w:rPr>
          <w:sz w:val="22"/>
        </w:rPr>
        <w:t>Heise</w:t>
      </w:r>
      <w:proofErr w:type="spellEnd"/>
      <w:r w:rsidRPr="003A686F">
        <w:rPr>
          <w:sz w:val="22"/>
        </w:rPr>
        <w:t xml:space="preserve"> N, </w:t>
      </w:r>
      <w:proofErr w:type="spellStart"/>
      <w:r w:rsidRPr="003A686F">
        <w:rPr>
          <w:sz w:val="22"/>
        </w:rPr>
        <w:t>Opperdoes</w:t>
      </w:r>
      <w:proofErr w:type="spellEnd"/>
      <w:r w:rsidRPr="003A686F">
        <w:rPr>
          <w:sz w:val="22"/>
        </w:rPr>
        <w:t xml:space="preserve"> FR (1999) Purification, </w:t>
      </w:r>
      <w:proofErr w:type="spellStart"/>
      <w:r w:rsidRPr="003A686F">
        <w:rPr>
          <w:sz w:val="22"/>
        </w:rPr>
        <w:t>localisation</w:t>
      </w:r>
      <w:proofErr w:type="spellEnd"/>
      <w:r w:rsidRPr="003A686F">
        <w:rPr>
          <w:sz w:val="22"/>
        </w:rPr>
        <w:t xml:space="preserve"> and </w:t>
      </w:r>
      <w:proofErr w:type="spellStart"/>
      <w:r w:rsidRPr="003A686F">
        <w:rPr>
          <w:sz w:val="22"/>
        </w:rPr>
        <w:t>characterisation</w:t>
      </w:r>
      <w:proofErr w:type="spellEnd"/>
      <w:r w:rsidRPr="003A686F">
        <w:rPr>
          <w:sz w:val="22"/>
        </w:rPr>
        <w:t xml:space="preserve"> of glucose-6-</w:t>
      </w:r>
      <w:proofErr w:type="gramStart"/>
      <w:r w:rsidRPr="003A686F">
        <w:rPr>
          <w:sz w:val="22"/>
        </w:rPr>
        <w:t>phosphate</w:t>
      </w:r>
      <w:proofErr w:type="gramEnd"/>
      <w:r w:rsidRPr="003A686F">
        <w:rPr>
          <w:sz w:val="22"/>
        </w:rPr>
        <w:t xml:space="preserve"> dehydrogenase of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w:t>
      </w:r>
      <w:proofErr w:type="spellStart"/>
      <w:r w:rsidRPr="003A686F">
        <w:rPr>
          <w:sz w:val="22"/>
        </w:rPr>
        <w:t>Mol</w:t>
      </w:r>
      <w:proofErr w:type="spellEnd"/>
      <w:r w:rsidRPr="003A686F">
        <w:rPr>
          <w:sz w:val="22"/>
        </w:rPr>
        <w:t xml:space="preserve"> </w:t>
      </w:r>
      <w:proofErr w:type="spellStart"/>
      <w:r w:rsidRPr="003A686F">
        <w:rPr>
          <w:sz w:val="22"/>
        </w:rPr>
        <w:t>Biochem</w:t>
      </w:r>
      <w:proofErr w:type="spellEnd"/>
      <w:r w:rsidRPr="003A686F">
        <w:rPr>
          <w:sz w:val="22"/>
        </w:rPr>
        <w:t xml:space="preserve"> </w:t>
      </w:r>
      <w:proofErr w:type="spellStart"/>
      <w:r w:rsidRPr="003A686F">
        <w:rPr>
          <w:sz w:val="22"/>
        </w:rPr>
        <w:t>Parasitol</w:t>
      </w:r>
      <w:proofErr w:type="spellEnd"/>
      <w:r w:rsidRPr="003A686F">
        <w:rPr>
          <w:sz w:val="22"/>
        </w:rPr>
        <w:t xml:space="preserve"> 99: 21–32.</w:t>
      </w:r>
    </w:p>
    <w:p w:rsidR="003A686F" w:rsidRPr="003A686F" w:rsidRDefault="003A686F" w:rsidP="003A686F">
      <w:pPr>
        <w:pStyle w:val="Bibliography"/>
        <w:rPr>
          <w:sz w:val="22"/>
        </w:rPr>
      </w:pPr>
      <w:r w:rsidRPr="003A686F">
        <w:rPr>
          <w:sz w:val="22"/>
        </w:rPr>
        <w:t xml:space="preserve">3. </w:t>
      </w:r>
      <w:r w:rsidRPr="003A686F">
        <w:rPr>
          <w:sz w:val="22"/>
        </w:rPr>
        <w:tab/>
        <w:t xml:space="preserve">Goldberg RN, </w:t>
      </w:r>
      <w:proofErr w:type="spellStart"/>
      <w:r w:rsidRPr="003A686F">
        <w:rPr>
          <w:sz w:val="22"/>
        </w:rPr>
        <w:t>Tewari</w:t>
      </w:r>
      <w:proofErr w:type="spellEnd"/>
      <w:r w:rsidRPr="003A686F">
        <w:rPr>
          <w:sz w:val="22"/>
        </w:rPr>
        <w:t xml:space="preserve"> YB, Bell D, Fazio K, Anderson E (1993) Thermodynamics of Enzyme-Catalyzed Reactions: Part 1. </w:t>
      </w:r>
      <w:proofErr w:type="spellStart"/>
      <w:proofErr w:type="gramStart"/>
      <w:r w:rsidRPr="003A686F">
        <w:rPr>
          <w:sz w:val="22"/>
        </w:rPr>
        <w:t>Oxidoreductases</w:t>
      </w:r>
      <w:proofErr w:type="spellEnd"/>
      <w:r w:rsidRPr="003A686F">
        <w:rPr>
          <w:sz w:val="22"/>
        </w:rPr>
        <w:t>.</w:t>
      </w:r>
      <w:proofErr w:type="gramEnd"/>
      <w:r w:rsidRPr="003A686F">
        <w:rPr>
          <w:sz w:val="22"/>
        </w:rPr>
        <w:t xml:space="preserve"> J </w:t>
      </w:r>
      <w:proofErr w:type="spellStart"/>
      <w:r w:rsidRPr="003A686F">
        <w:rPr>
          <w:sz w:val="22"/>
        </w:rPr>
        <w:t>Phys</w:t>
      </w:r>
      <w:proofErr w:type="spellEnd"/>
      <w:r w:rsidRPr="003A686F">
        <w:rPr>
          <w:sz w:val="22"/>
        </w:rPr>
        <w:t xml:space="preserve"> </w:t>
      </w:r>
      <w:proofErr w:type="spellStart"/>
      <w:r w:rsidRPr="003A686F">
        <w:rPr>
          <w:sz w:val="22"/>
        </w:rPr>
        <w:t>Chem</w:t>
      </w:r>
      <w:proofErr w:type="spellEnd"/>
      <w:r w:rsidRPr="003A686F">
        <w:rPr>
          <w:sz w:val="22"/>
        </w:rPr>
        <w:t xml:space="preserve"> Ref Data 22: 515–582.</w:t>
      </w:r>
    </w:p>
    <w:p w:rsidR="003A686F" w:rsidRPr="003A686F" w:rsidRDefault="003A686F" w:rsidP="003A686F">
      <w:pPr>
        <w:pStyle w:val="Bibliography"/>
        <w:rPr>
          <w:sz w:val="22"/>
        </w:rPr>
      </w:pPr>
      <w:r w:rsidRPr="003A686F">
        <w:rPr>
          <w:sz w:val="22"/>
        </w:rPr>
        <w:t xml:space="preserve">4. </w:t>
      </w:r>
      <w:r w:rsidRPr="003A686F">
        <w:rPr>
          <w:sz w:val="22"/>
        </w:rPr>
        <w:tab/>
      </w:r>
      <w:proofErr w:type="spellStart"/>
      <w:r w:rsidRPr="003A686F">
        <w:rPr>
          <w:sz w:val="22"/>
        </w:rPr>
        <w:t>Cordeiro</w:t>
      </w:r>
      <w:proofErr w:type="spellEnd"/>
      <w:r w:rsidRPr="003A686F">
        <w:rPr>
          <w:sz w:val="22"/>
        </w:rPr>
        <w:t xml:space="preserve"> AT, Thiemann OH, </w:t>
      </w:r>
      <w:proofErr w:type="spellStart"/>
      <w:r w:rsidRPr="003A686F">
        <w:rPr>
          <w:sz w:val="22"/>
        </w:rPr>
        <w:t>Michels</w:t>
      </w:r>
      <w:proofErr w:type="spellEnd"/>
      <w:r w:rsidRPr="003A686F">
        <w:rPr>
          <w:sz w:val="22"/>
        </w:rPr>
        <w:t xml:space="preserve"> PAM (2009) Inhibition of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glucose-6-phosphate dehydrogenase by human steroids and their effects on the viability of cultured parasites. </w:t>
      </w:r>
      <w:proofErr w:type="spellStart"/>
      <w:r w:rsidRPr="003A686F">
        <w:rPr>
          <w:sz w:val="22"/>
        </w:rPr>
        <w:t>Bioorg</w:t>
      </w:r>
      <w:proofErr w:type="spellEnd"/>
      <w:r w:rsidRPr="003A686F">
        <w:rPr>
          <w:sz w:val="22"/>
        </w:rPr>
        <w:t xml:space="preserve"> Med </w:t>
      </w:r>
      <w:proofErr w:type="spellStart"/>
      <w:r w:rsidRPr="003A686F">
        <w:rPr>
          <w:sz w:val="22"/>
        </w:rPr>
        <w:t>Chem</w:t>
      </w:r>
      <w:proofErr w:type="spellEnd"/>
      <w:r w:rsidRPr="003A686F">
        <w:rPr>
          <w:sz w:val="22"/>
        </w:rPr>
        <w:t xml:space="preserve"> 17: 2483–2489. </w:t>
      </w:r>
      <w:proofErr w:type="spellStart"/>
      <w:proofErr w:type="gramStart"/>
      <w:r w:rsidRPr="003A686F">
        <w:rPr>
          <w:sz w:val="22"/>
        </w:rPr>
        <w:t>doi:</w:t>
      </w:r>
      <w:proofErr w:type="gramEnd"/>
      <w:r w:rsidRPr="003A686F">
        <w:rPr>
          <w:sz w:val="22"/>
        </w:rPr>
        <w:t>doi</w:t>
      </w:r>
      <w:proofErr w:type="spellEnd"/>
      <w:r w:rsidRPr="003A686F">
        <w:rPr>
          <w:sz w:val="22"/>
        </w:rPr>
        <w:t>: DOI: 10.1016/j.bmc.2009.01.068.</w:t>
      </w:r>
    </w:p>
    <w:p w:rsidR="003A686F" w:rsidRPr="003A686F" w:rsidRDefault="003A686F" w:rsidP="003A686F">
      <w:pPr>
        <w:pStyle w:val="Bibliography"/>
        <w:rPr>
          <w:sz w:val="22"/>
        </w:rPr>
      </w:pPr>
      <w:r w:rsidRPr="003A686F">
        <w:rPr>
          <w:sz w:val="22"/>
        </w:rPr>
        <w:t xml:space="preserve">5. </w:t>
      </w:r>
      <w:r w:rsidRPr="003A686F">
        <w:rPr>
          <w:sz w:val="22"/>
        </w:rPr>
        <w:tab/>
      </w:r>
      <w:proofErr w:type="spellStart"/>
      <w:r w:rsidRPr="003A686F">
        <w:rPr>
          <w:sz w:val="22"/>
        </w:rPr>
        <w:t>Thorburn</w:t>
      </w:r>
      <w:proofErr w:type="spellEnd"/>
      <w:r w:rsidRPr="003A686F">
        <w:rPr>
          <w:sz w:val="22"/>
        </w:rPr>
        <w:t xml:space="preserve"> DR, </w:t>
      </w:r>
      <w:proofErr w:type="spellStart"/>
      <w:r w:rsidRPr="003A686F">
        <w:rPr>
          <w:sz w:val="22"/>
        </w:rPr>
        <w:t>Kuchel</w:t>
      </w:r>
      <w:proofErr w:type="spellEnd"/>
      <w:r w:rsidRPr="003A686F">
        <w:rPr>
          <w:sz w:val="22"/>
        </w:rPr>
        <w:t xml:space="preserve"> PW (1985) Regulation of the human-erythrocyte hexose-monophosphate </w:t>
      </w:r>
      <w:proofErr w:type="gramStart"/>
      <w:r w:rsidRPr="003A686F">
        <w:rPr>
          <w:sz w:val="22"/>
        </w:rPr>
        <w:t>shunt</w:t>
      </w:r>
      <w:proofErr w:type="gramEnd"/>
      <w:r w:rsidRPr="003A686F">
        <w:rPr>
          <w:sz w:val="22"/>
        </w:rPr>
        <w:t xml:space="preserve"> under conditions of oxidative stress. </w:t>
      </w:r>
      <w:proofErr w:type="gramStart"/>
      <w:r w:rsidRPr="003A686F">
        <w:rPr>
          <w:sz w:val="22"/>
        </w:rPr>
        <w:t>A study using NMR spectroscopy, a kinetic isotope effect, a reconstituted system and computer simulation.</w:t>
      </w:r>
      <w:proofErr w:type="gramEnd"/>
      <w:r w:rsidRPr="003A686F">
        <w:rPr>
          <w:sz w:val="22"/>
        </w:rPr>
        <w:t xml:space="preserve"> </w:t>
      </w:r>
      <w:proofErr w:type="spellStart"/>
      <w:r w:rsidRPr="003A686F">
        <w:rPr>
          <w:sz w:val="22"/>
        </w:rPr>
        <w:t>Eur</w:t>
      </w:r>
      <w:proofErr w:type="spellEnd"/>
      <w:r w:rsidRPr="003A686F">
        <w:rPr>
          <w:sz w:val="22"/>
        </w:rPr>
        <w:t xml:space="preserve"> J </w:t>
      </w:r>
      <w:proofErr w:type="spellStart"/>
      <w:r w:rsidRPr="003A686F">
        <w:rPr>
          <w:sz w:val="22"/>
        </w:rPr>
        <w:t>Biochem</w:t>
      </w:r>
      <w:proofErr w:type="spellEnd"/>
      <w:r w:rsidRPr="003A686F">
        <w:rPr>
          <w:sz w:val="22"/>
        </w:rPr>
        <w:t xml:space="preserve"> FEBS 150: 371–386.</w:t>
      </w:r>
    </w:p>
    <w:p w:rsidR="003A686F" w:rsidRPr="003A686F" w:rsidRDefault="003A686F" w:rsidP="003A686F">
      <w:pPr>
        <w:pStyle w:val="Bibliography"/>
        <w:rPr>
          <w:sz w:val="22"/>
        </w:rPr>
      </w:pPr>
      <w:r w:rsidRPr="003A686F">
        <w:rPr>
          <w:sz w:val="22"/>
        </w:rPr>
        <w:t xml:space="preserve">6. </w:t>
      </w:r>
      <w:r w:rsidRPr="003A686F">
        <w:rPr>
          <w:sz w:val="22"/>
        </w:rPr>
        <w:tab/>
      </w:r>
      <w:proofErr w:type="spellStart"/>
      <w:r w:rsidRPr="003A686F">
        <w:rPr>
          <w:sz w:val="22"/>
        </w:rPr>
        <w:t>Duffieux</w:t>
      </w:r>
      <w:proofErr w:type="spellEnd"/>
      <w:r w:rsidRPr="003A686F">
        <w:rPr>
          <w:sz w:val="22"/>
        </w:rPr>
        <w:t xml:space="preserve"> F, Van Roy J, </w:t>
      </w:r>
      <w:proofErr w:type="spellStart"/>
      <w:r w:rsidRPr="003A686F">
        <w:rPr>
          <w:sz w:val="22"/>
        </w:rPr>
        <w:t>Michels</w:t>
      </w:r>
      <w:proofErr w:type="spellEnd"/>
      <w:r w:rsidRPr="003A686F">
        <w:rPr>
          <w:sz w:val="22"/>
        </w:rPr>
        <w:t xml:space="preserve"> PA, </w:t>
      </w:r>
      <w:proofErr w:type="spellStart"/>
      <w:r w:rsidRPr="003A686F">
        <w:rPr>
          <w:sz w:val="22"/>
        </w:rPr>
        <w:t>Opperdoes</w:t>
      </w:r>
      <w:proofErr w:type="spellEnd"/>
      <w:r w:rsidRPr="003A686F">
        <w:rPr>
          <w:sz w:val="22"/>
        </w:rPr>
        <w:t xml:space="preserve"> FR (2000) Molecular characterization of the first two enzymes of the pentose-phosphate pathway of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w:t>
      </w:r>
      <w:proofErr w:type="gramStart"/>
      <w:r w:rsidRPr="003A686F">
        <w:rPr>
          <w:sz w:val="22"/>
        </w:rPr>
        <w:t>Glucose-6-phosphate dehydrogenase and 6-phosphogluconolactonase.</w:t>
      </w:r>
      <w:proofErr w:type="gramEnd"/>
      <w:r w:rsidRPr="003A686F">
        <w:rPr>
          <w:sz w:val="22"/>
        </w:rPr>
        <w:t xml:space="preserve"> J </w:t>
      </w:r>
      <w:proofErr w:type="spellStart"/>
      <w:r w:rsidRPr="003A686F">
        <w:rPr>
          <w:sz w:val="22"/>
        </w:rPr>
        <w:t>Biol</w:t>
      </w:r>
      <w:proofErr w:type="spellEnd"/>
      <w:r w:rsidRPr="003A686F">
        <w:rPr>
          <w:sz w:val="22"/>
        </w:rPr>
        <w:t xml:space="preserve"> </w:t>
      </w:r>
      <w:proofErr w:type="spellStart"/>
      <w:r w:rsidRPr="003A686F">
        <w:rPr>
          <w:sz w:val="22"/>
        </w:rPr>
        <w:t>Chem</w:t>
      </w:r>
      <w:proofErr w:type="spellEnd"/>
      <w:r w:rsidRPr="003A686F">
        <w:rPr>
          <w:sz w:val="22"/>
        </w:rPr>
        <w:t xml:space="preserve"> 275: 27559–27565. doi:10.1074/jbc.M004266200.</w:t>
      </w:r>
    </w:p>
    <w:p w:rsidR="003A686F" w:rsidRPr="003A686F" w:rsidRDefault="003A686F" w:rsidP="003A686F">
      <w:pPr>
        <w:pStyle w:val="Bibliography"/>
        <w:rPr>
          <w:sz w:val="22"/>
        </w:rPr>
      </w:pPr>
      <w:r w:rsidRPr="003A686F">
        <w:rPr>
          <w:sz w:val="22"/>
        </w:rPr>
        <w:t xml:space="preserve">7. </w:t>
      </w:r>
      <w:r w:rsidRPr="003A686F">
        <w:rPr>
          <w:sz w:val="22"/>
        </w:rPr>
        <w:tab/>
      </w:r>
      <w:proofErr w:type="spellStart"/>
      <w:r w:rsidRPr="003A686F">
        <w:rPr>
          <w:sz w:val="22"/>
        </w:rPr>
        <w:t>Casazza</w:t>
      </w:r>
      <w:proofErr w:type="spellEnd"/>
      <w:r w:rsidRPr="003A686F">
        <w:rPr>
          <w:sz w:val="22"/>
        </w:rPr>
        <w:t xml:space="preserve"> JP, </w:t>
      </w:r>
      <w:proofErr w:type="spellStart"/>
      <w:r w:rsidRPr="003A686F">
        <w:rPr>
          <w:sz w:val="22"/>
        </w:rPr>
        <w:t>Veech</w:t>
      </w:r>
      <w:proofErr w:type="spellEnd"/>
      <w:r w:rsidRPr="003A686F">
        <w:rPr>
          <w:sz w:val="22"/>
        </w:rPr>
        <w:t xml:space="preserve"> RL (1986) </w:t>
      </w:r>
      <w:proofErr w:type="gramStart"/>
      <w:r w:rsidRPr="003A686F">
        <w:rPr>
          <w:sz w:val="22"/>
        </w:rPr>
        <w:t>The</w:t>
      </w:r>
      <w:proofErr w:type="gramEnd"/>
      <w:r w:rsidRPr="003A686F">
        <w:rPr>
          <w:sz w:val="22"/>
        </w:rPr>
        <w:t xml:space="preserve"> interdependence of glycolytic and pentose cycle intermediates in ad libitum fed rats. J </w:t>
      </w:r>
      <w:proofErr w:type="spellStart"/>
      <w:r w:rsidRPr="003A686F">
        <w:rPr>
          <w:sz w:val="22"/>
        </w:rPr>
        <w:t>Biol</w:t>
      </w:r>
      <w:proofErr w:type="spellEnd"/>
      <w:r w:rsidRPr="003A686F">
        <w:rPr>
          <w:sz w:val="22"/>
        </w:rPr>
        <w:t xml:space="preserve"> </w:t>
      </w:r>
      <w:proofErr w:type="spellStart"/>
      <w:r w:rsidRPr="003A686F">
        <w:rPr>
          <w:sz w:val="22"/>
        </w:rPr>
        <w:t>Chem</w:t>
      </w:r>
      <w:proofErr w:type="spellEnd"/>
      <w:r w:rsidRPr="003A686F">
        <w:rPr>
          <w:sz w:val="22"/>
        </w:rPr>
        <w:t xml:space="preserve"> 261: 690–698.</w:t>
      </w:r>
    </w:p>
    <w:p w:rsidR="003A686F" w:rsidRPr="003A686F" w:rsidRDefault="003A686F" w:rsidP="003A686F">
      <w:pPr>
        <w:pStyle w:val="Bibliography"/>
        <w:rPr>
          <w:sz w:val="22"/>
        </w:rPr>
      </w:pPr>
      <w:r w:rsidRPr="003A686F">
        <w:rPr>
          <w:sz w:val="22"/>
        </w:rPr>
        <w:t xml:space="preserve">8. </w:t>
      </w:r>
      <w:r w:rsidRPr="003A686F">
        <w:rPr>
          <w:sz w:val="22"/>
        </w:rPr>
        <w:tab/>
      </w:r>
      <w:proofErr w:type="spellStart"/>
      <w:r w:rsidRPr="003A686F">
        <w:rPr>
          <w:sz w:val="22"/>
        </w:rPr>
        <w:t>Igoillo-Esteve</w:t>
      </w:r>
      <w:proofErr w:type="spellEnd"/>
      <w:r w:rsidRPr="003A686F">
        <w:rPr>
          <w:sz w:val="22"/>
        </w:rPr>
        <w:t xml:space="preserve"> M, </w:t>
      </w:r>
      <w:proofErr w:type="spellStart"/>
      <w:r w:rsidRPr="003A686F">
        <w:rPr>
          <w:sz w:val="22"/>
        </w:rPr>
        <w:t>Maugeri</w:t>
      </w:r>
      <w:proofErr w:type="spellEnd"/>
      <w:r w:rsidRPr="003A686F">
        <w:rPr>
          <w:sz w:val="22"/>
        </w:rPr>
        <w:t xml:space="preserve"> D, Stern AL, </w:t>
      </w:r>
      <w:proofErr w:type="spellStart"/>
      <w:r w:rsidRPr="003A686F">
        <w:rPr>
          <w:sz w:val="22"/>
        </w:rPr>
        <w:t>Beluardi</w:t>
      </w:r>
      <w:proofErr w:type="spellEnd"/>
      <w:r w:rsidRPr="003A686F">
        <w:rPr>
          <w:sz w:val="22"/>
        </w:rPr>
        <w:t xml:space="preserve"> P, </w:t>
      </w:r>
      <w:proofErr w:type="spellStart"/>
      <w:r w:rsidRPr="003A686F">
        <w:rPr>
          <w:sz w:val="22"/>
        </w:rPr>
        <w:t>Cazzulo</w:t>
      </w:r>
      <w:proofErr w:type="spellEnd"/>
      <w:r w:rsidRPr="003A686F">
        <w:rPr>
          <w:sz w:val="22"/>
        </w:rPr>
        <w:t xml:space="preserve"> JJ (2007) The pentose phosphate pathway in </w:t>
      </w:r>
      <w:proofErr w:type="spellStart"/>
      <w:r w:rsidRPr="003A686F">
        <w:rPr>
          <w:sz w:val="22"/>
        </w:rPr>
        <w:t>Trypanosoma</w:t>
      </w:r>
      <w:proofErr w:type="spellEnd"/>
      <w:r w:rsidRPr="003A686F">
        <w:rPr>
          <w:sz w:val="22"/>
        </w:rPr>
        <w:t xml:space="preserve"> </w:t>
      </w:r>
      <w:proofErr w:type="spellStart"/>
      <w:r w:rsidRPr="003A686F">
        <w:rPr>
          <w:sz w:val="22"/>
        </w:rPr>
        <w:t>cruzi</w:t>
      </w:r>
      <w:proofErr w:type="spellEnd"/>
      <w:r w:rsidRPr="003A686F">
        <w:rPr>
          <w:sz w:val="22"/>
        </w:rPr>
        <w:t xml:space="preserve">: a potential target for the chemotherapy of </w:t>
      </w:r>
      <w:proofErr w:type="spellStart"/>
      <w:r w:rsidRPr="003A686F">
        <w:rPr>
          <w:sz w:val="22"/>
        </w:rPr>
        <w:t>Chagas</w:t>
      </w:r>
      <w:proofErr w:type="spellEnd"/>
      <w:r w:rsidRPr="003A686F">
        <w:rPr>
          <w:sz w:val="22"/>
        </w:rPr>
        <w:t xml:space="preserve"> disease. An </w:t>
      </w:r>
      <w:proofErr w:type="spellStart"/>
      <w:r w:rsidRPr="003A686F">
        <w:rPr>
          <w:sz w:val="22"/>
        </w:rPr>
        <w:t>Acad</w:t>
      </w:r>
      <w:proofErr w:type="spellEnd"/>
      <w:r w:rsidRPr="003A686F">
        <w:rPr>
          <w:sz w:val="22"/>
        </w:rPr>
        <w:t xml:space="preserve"> Bras </w:t>
      </w:r>
      <w:proofErr w:type="spellStart"/>
      <w:r w:rsidRPr="003A686F">
        <w:rPr>
          <w:sz w:val="22"/>
        </w:rPr>
        <w:t>Ciências</w:t>
      </w:r>
      <w:proofErr w:type="spellEnd"/>
      <w:r w:rsidRPr="003A686F">
        <w:rPr>
          <w:sz w:val="22"/>
        </w:rPr>
        <w:t xml:space="preserve"> 79: 649–663.</w:t>
      </w:r>
    </w:p>
    <w:p w:rsidR="003A686F" w:rsidRPr="003A686F" w:rsidRDefault="003A686F" w:rsidP="003A686F">
      <w:pPr>
        <w:pStyle w:val="Bibliography"/>
        <w:rPr>
          <w:sz w:val="22"/>
        </w:rPr>
      </w:pPr>
      <w:proofErr w:type="gramStart"/>
      <w:r w:rsidRPr="003A686F">
        <w:rPr>
          <w:sz w:val="22"/>
        </w:rPr>
        <w:t xml:space="preserve">9. </w:t>
      </w:r>
      <w:r w:rsidRPr="003A686F">
        <w:rPr>
          <w:sz w:val="22"/>
        </w:rPr>
        <w:tab/>
        <w:t>Schofield PJ, Sols A (1976) Rat liver 6-phosphogluconolactonase: a low Km enzyme.</w:t>
      </w:r>
      <w:proofErr w:type="gramEnd"/>
      <w:r w:rsidRPr="003A686F">
        <w:rPr>
          <w:sz w:val="22"/>
        </w:rPr>
        <w:t xml:space="preserve"> </w:t>
      </w:r>
      <w:proofErr w:type="spellStart"/>
      <w:r w:rsidRPr="003A686F">
        <w:rPr>
          <w:sz w:val="22"/>
        </w:rPr>
        <w:t>Biochem</w:t>
      </w:r>
      <w:proofErr w:type="spellEnd"/>
      <w:r w:rsidRPr="003A686F">
        <w:rPr>
          <w:sz w:val="22"/>
        </w:rPr>
        <w:t xml:space="preserve"> </w:t>
      </w:r>
      <w:proofErr w:type="spellStart"/>
      <w:r w:rsidRPr="003A686F">
        <w:rPr>
          <w:sz w:val="22"/>
        </w:rPr>
        <w:t>Biophys</w:t>
      </w:r>
      <w:proofErr w:type="spellEnd"/>
      <w:r w:rsidRPr="003A686F">
        <w:rPr>
          <w:sz w:val="22"/>
        </w:rPr>
        <w:t xml:space="preserve"> Res </w:t>
      </w:r>
      <w:proofErr w:type="spellStart"/>
      <w:r w:rsidRPr="003A686F">
        <w:rPr>
          <w:sz w:val="22"/>
        </w:rPr>
        <w:t>Commun</w:t>
      </w:r>
      <w:proofErr w:type="spellEnd"/>
      <w:r w:rsidRPr="003A686F">
        <w:rPr>
          <w:sz w:val="22"/>
        </w:rPr>
        <w:t xml:space="preserve"> 71: 1313–1318.</w:t>
      </w:r>
    </w:p>
    <w:p w:rsidR="003A686F" w:rsidRPr="003A686F" w:rsidRDefault="003A686F" w:rsidP="003A686F">
      <w:pPr>
        <w:pStyle w:val="Bibliography"/>
        <w:rPr>
          <w:sz w:val="22"/>
        </w:rPr>
      </w:pPr>
      <w:r w:rsidRPr="003A686F">
        <w:rPr>
          <w:sz w:val="22"/>
        </w:rPr>
        <w:t xml:space="preserve">10. </w:t>
      </w:r>
      <w:r w:rsidRPr="003A686F">
        <w:rPr>
          <w:sz w:val="22"/>
        </w:rPr>
        <w:tab/>
      </w:r>
      <w:proofErr w:type="spellStart"/>
      <w:r w:rsidRPr="003A686F">
        <w:rPr>
          <w:sz w:val="22"/>
        </w:rPr>
        <w:t>Villet</w:t>
      </w:r>
      <w:proofErr w:type="spellEnd"/>
      <w:r w:rsidRPr="003A686F">
        <w:rPr>
          <w:sz w:val="22"/>
        </w:rPr>
        <w:t xml:space="preserve"> RH, </w:t>
      </w:r>
      <w:proofErr w:type="spellStart"/>
      <w:r w:rsidRPr="003A686F">
        <w:rPr>
          <w:sz w:val="22"/>
        </w:rPr>
        <w:t>Dalziel</w:t>
      </w:r>
      <w:proofErr w:type="spellEnd"/>
      <w:r w:rsidRPr="003A686F">
        <w:rPr>
          <w:sz w:val="22"/>
        </w:rPr>
        <w:t xml:space="preserve"> K (1969) </w:t>
      </w:r>
      <w:proofErr w:type="gramStart"/>
      <w:r w:rsidRPr="003A686F">
        <w:rPr>
          <w:sz w:val="22"/>
        </w:rPr>
        <w:t>The</w:t>
      </w:r>
      <w:proofErr w:type="gramEnd"/>
      <w:r w:rsidRPr="003A686F">
        <w:rPr>
          <w:sz w:val="22"/>
        </w:rPr>
        <w:t xml:space="preserve"> nature of the carbon dioxide substrate and equilibrium constant of the 6-phosphogluconate dehydrogenase reaction. </w:t>
      </w:r>
      <w:proofErr w:type="spellStart"/>
      <w:r w:rsidRPr="003A686F">
        <w:rPr>
          <w:sz w:val="22"/>
        </w:rPr>
        <w:t>Biochem</w:t>
      </w:r>
      <w:proofErr w:type="spellEnd"/>
      <w:r w:rsidRPr="003A686F">
        <w:rPr>
          <w:sz w:val="22"/>
        </w:rPr>
        <w:t xml:space="preserve"> J 115: 633–638.</w:t>
      </w:r>
    </w:p>
    <w:p w:rsidR="003A686F" w:rsidRPr="003A686F" w:rsidRDefault="003A686F" w:rsidP="003A686F">
      <w:pPr>
        <w:pStyle w:val="Bibliography"/>
        <w:rPr>
          <w:sz w:val="22"/>
        </w:rPr>
      </w:pPr>
      <w:r w:rsidRPr="003A686F">
        <w:rPr>
          <w:sz w:val="22"/>
        </w:rPr>
        <w:t xml:space="preserve">11. </w:t>
      </w:r>
      <w:r w:rsidRPr="003A686F">
        <w:rPr>
          <w:sz w:val="22"/>
        </w:rPr>
        <w:tab/>
        <w:t xml:space="preserve">Hanau S, </w:t>
      </w:r>
      <w:proofErr w:type="spellStart"/>
      <w:r w:rsidRPr="003A686F">
        <w:rPr>
          <w:sz w:val="22"/>
        </w:rPr>
        <w:t>Rippa</w:t>
      </w:r>
      <w:proofErr w:type="spellEnd"/>
      <w:r w:rsidRPr="003A686F">
        <w:rPr>
          <w:sz w:val="22"/>
        </w:rPr>
        <w:t xml:space="preserve"> M, </w:t>
      </w:r>
      <w:proofErr w:type="spellStart"/>
      <w:r w:rsidRPr="003A686F">
        <w:rPr>
          <w:sz w:val="22"/>
        </w:rPr>
        <w:t>Bertelli</w:t>
      </w:r>
      <w:proofErr w:type="spellEnd"/>
      <w:r w:rsidRPr="003A686F">
        <w:rPr>
          <w:sz w:val="22"/>
        </w:rPr>
        <w:t xml:space="preserve"> M, </w:t>
      </w:r>
      <w:proofErr w:type="spellStart"/>
      <w:r w:rsidRPr="003A686F">
        <w:rPr>
          <w:sz w:val="22"/>
        </w:rPr>
        <w:t>Dallocchio</w:t>
      </w:r>
      <w:proofErr w:type="spellEnd"/>
      <w:r w:rsidRPr="003A686F">
        <w:rPr>
          <w:sz w:val="22"/>
        </w:rPr>
        <w:t xml:space="preserve"> F, Barrett MP (1996) 6-Phosphogluconate dehydrogenase from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w:t>
      </w:r>
      <w:proofErr w:type="spellStart"/>
      <w:r w:rsidRPr="003A686F">
        <w:rPr>
          <w:sz w:val="22"/>
        </w:rPr>
        <w:t>Eur</w:t>
      </w:r>
      <w:proofErr w:type="spellEnd"/>
      <w:r w:rsidRPr="003A686F">
        <w:rPr>
          <w:sz w:val="22"/>
        </w:rPr>
        <w:t xml:space="preserve"> J </w:t>
      </w:r>
      <w:proofErr w:type="spellStart"/>
      <w:r w:rsidRPr="003A686F">
        <w:rPr>
          <w:sz w:val="22"/>
        </w:rPr>
        <w:t>Biochem</w:t>
      </w:r>
      <w:proofErr w:type="spellEnd"/>
      <w:r w:rsidRPr="003A686F">
        <w:rPr>
          <w:sz w:val="22"/>
        </w:rPr>
        <w:t xml:space="preserve"> 240: 592–599. doi:10.1111/j.1432-1033.1996.0592h.x.</w:t>
      </w:r>
    </w:p>
    <w:p w:rsidR="003A686F" w:rsidRPr="003A686F" w:rsidRDefault="003A686F" w:rsidP="003A686F">
      <w:pPr>
        <w:pStyle w:val="Bibliography"/>
        <w:rPr>
          <w:sz w:val="22"/>
        </w:rPr>
      </w:pPr>
      <w:r w:rsidRPr="003A686F">
        <w:rPr>
          <w:sz w:val="22"/>
        </w:rPr>
        <w:t xml:space="preserve">12. </w:t>
      </w:r>
      <w:r w:rsidRPr="003A686F">
        <w:rPr>
          <w:sz w:val="22"/>
        </w:rPr>
        <w:tab/>
        <w:t xml:space="preserve">Goldberg RN, </w:t>
      </w:r>
      <w:proofErr w:type="spellStart"/>
      <w:r w:rsidRPr="003A686F">
        <w:rPr>
          <w:sz w:val="22"/>
        </w:rPr>
        <w:t>Tewari</w:t>
      </w:r>
      <w:proofErr w:type="spellEnd"/>
      <w:r w:rsidRPr="003A686F">
        <w:rPr>
          <w:sz w:val="22"/>
        </w:rPr>
        <w:t xml:space="preserve"> YB (1995) Thermodynamics of Enzyme-Catalyzed Reactions: Part 5. </w:t>
      </w:r>
      <w:proofErr w:type="spellStart"/>
      <w:proofErr w:type="gramStart"/>
      <w:r w:rsidRPr="003A686F">
        <w:rPr>
          <w:sz w:val="22"/>
        </w:rPr>
        <w:t>Isomerases</w:t>
      </w:r>
      <w:proofErr w:type="spellEnd"/>
      <w:r w:rsidRPr="003A686F">
        <w:rPr>
          <w:sz w:val="22"/>
        </w:rPr>
        <w:t xml:space="preserve"> and Ligases.</w:t>
      </w:r>
      <w:proofErr w:type="gramEnd"/>
      <w:r w:rsidRPr="003A686F">
        <w:rPr>
          <w:sz w:val="22"/>
        </w:rPr>
        <w:t xml:space="preserve"> J </w:t>
      </w:r>
      <w:proofErr w:type="spellStart"/>
      <w:r w:rsidRPr="003A686F">
        <w:rPr>
          <w:sz w:val="22"/>
        </w:rPr>
        <w:t>Phys</w:t>
      </w:r>
      <w:proofErr w:type="spellEnd"/>
      <w:r w:rsidRPr="003A686F">
        <w:rPr>
          <w:sz w:val="22"/>
        </w:rPr>
        <w:t xml:space="preserve"> </w:t>
      </w:r>
      <w:proofErr w:type="spellStart"/>
      <w:r w:rsidRPr="003A686F">
        <w:rPr>
          <w:sz w:val="22"/>
        </w:rPr>
        <w:t>Chem</w:t>
      </w:r>
      <w:proofErr w:type="spellEnd"/>
      <w:r w:rsidRPr="003A686F">
        <w:rPr>
          <w:sz w:val="22"/>
        </w:rPr>
        <w:t xml:space="preserve"> Ref Data 24: 1765–1801.</w:t>
      </w:r>
    </w:p>
    <w:p w:rsidR="003A686F" w:rsidRPr="003A686F" w:rsidRDefault="003A686F" w:rsidP="003A686F">
      <w:pPr>
        <w:pStyle w:val="Bibliography"/>
        <w:rPr>
          <w:sz w:val="22"/>
        </w:rPr>
      </w:pPr>
      <w:r w:rsidRPr="003A686F">
        <w:rPr>
          <w:sz w:val="22"/>
        </w:rPr>
        <w:t xml:space="preserve">13. </w:t>
      </w:r>
      <w:r w:rsidRPr="003A686F">
        <w:rPr>
          <w:sz w:val="22"/>
        </w:rPr>
        <w:tab/>
        <w:t xml:space="preserve">Krieger S, Schwarz W, </w:t>
      </w:r>
      <w:proofErr w:type="spellStart"/>
      <w:r w:rsidRPr="003A686F">
        <w:rPr>
          <w:sz w:val="22"/>
        </w:rPr>
        <w:t>Ariyanayagam</w:t>
      </w:r>
      <w:proofErr w:type="spellEnd"/>
      <w:r w:rsidRPr="003A686F">
        <w:rPr>
          <w:sz w:val="22"/>
        </w:rPr>
        <w:t xml:space="preserve"> MR, </w:t>
      </w:r>
      <w:proofErr w:type="spellStart"/>
      <w:r w:rsidRPr="003A686F">
        <w:rPr>
          <w:sz w:val="22"/>
        </w:rPr>
        <w:t>Fairlamb</w:t>
      </w:r>
      <w:proofErr w:type="spellEnd"/>
      <w:r w:rsidRPr="003A686F">
        <w:rPr>
          <w:sz w:val="22"/>
        </w:rPr>
        <w:t xml:space="preserve"> AH, </w:t>
      </w:r>
      <w:proofErr w:type="spellStart"/>
      <w:r w:rsidRPr="003A686F">
        <w:rPr>
          <w:sz w:val="22"/>
        </w:rPr>
        <w:t>Krauth</w:t>
      </w:r>
      <w:proofErr w:type="spellEnd"/>
      <w:r w:rsidRPr="003A686F">
        <w:rPr>
          <w:sz w:val="22"/>
        </w:rPr>
        <w:t xml:space="preserve">-Siegel RL, et al. (2000) Trypanosomes lacking </w:t>
      </w:r>
      <w:proofErr w:type="spellStart"/>
      <w:r w:rsidRPr="003A686F">
        <w:rPr>
          <w:sz w:val="22"/>
        </w:rPr>
        <w:t>trypanothione</w:t>
      </w:r>
      <w:proofErr w:type="spellEnd"/>
      <w:r w:rsidRPr="003A686F">
        <w:rPr>
          <w:sz w:val="22"/>
        </w:rPr>
        <w:t xml:space="preserve"> </w:t>
      </w:r>
      <w:proofErr w:type="spellStart"/>
      <w:r w:rsidRPr="003A686F">
        <w:rPr>
          <w:sz w:val="22"/>
        </w:rPr>
        <w:t>reductase</w:t>
      </w:r>
      <w:proofErr w:type="spellEnd"/>
      <w:r w:rsidRPr="003A686F">
        <w:rPr>
          <w:sz w:val="22"/>
        </w:rPr>
        <w:t xml:space="preserve"> are </w:t>
      </w:r>
      <w:proofErr w:type="spellStart"/>
      <w:r w:rsidRPr="003A686F">
        <w:rPr>
          <w:sz w:val="22"/>
        </w:rPr>
        <w:t>avirulent</w:t>
      </w:r>
      <w:proofErr w:type="spellEnd"/>
      <w:r w:rsidRPr="003A686F">
        <w:rPr>
          <w:sz w:val="22"/>
        </w:rPr>
        <w:t xml:space="preserve"> and show increased sensitivity to oxidative stress. </w:t>
      </w:r>
      <w:proofErr w:type="spellStart"/>
      <w:r w:rsidRPr="003A686F">
        <w:rPr>
          <w:sz w:val="22"/>
        </w:rPr>
        <w:t>Mol</w:t>
      </w:r>
      <w:proofErr w:type="spellEnd"/>
      <w:r w:rsidRPr="003A686F">
        <w:rPr>
          <w:sz w:val="22"/>
        </w:rPr>
        <w:t xml:space="preserve"> </w:t>
      </w:r>
      <w:proofErr w:type="spellStart"/>
      <w:r w:rsidRPr="003A686F">
        <w:rPr>
          <w:sz w:val="22"/>
        </w:rPr>
        <w:t>Microbiol</w:t>
      </w:r>
      <w:proofErr w:type="spellEnd"/>
      <w:r w:rsidRPr="003A686F">
        <w:rPr>
          <w:sz w:val="22"/>
        </w:rPr>
        <w:t xml:space="preserve"> 35: 542–552.</w:t>
      </w:r>
    </w:p>
    <w:p w:rsidR="003A686F" w:rsidRPr="003A686F" w:rsidRDefault="003A686F" w:rsidP="003A686F">
      <w:pPr>
        <w:pStyle w:val="Bibliography"/>
        <w:rPr>
          <w:sz w:val="22"/>
        </w:rPr>
      </w:pPr>
      <w:r w:rsidRPr="003A686F">
        <w:rPr>
          <w:sz w:val="22"/>
        </w:rPr>
        <w:t xml:space="preserve">14. </w:t>
      </w:r>
      <w:r w:rsidRPr="003A686F">
        <w:rPr>
          <w:sz w:val="22"/>
        </w:rPr>
        <w:tab/>
      </w:r>
      <w:proofErr w:type="spellStart"/>
      <w:r w:rsidRPr="003A686F">
        <w:rPr>
          <w:sz w:val="22"/>
        </w:rPr>
        <w:t>Fairlamb</w:t>
      </w:r>
      <w:proofErr w:type="spellEnd"/>
      <w:r w:rsidRPr="003A686F">
        <w:rPr>
          <w:sz w:val="22"/>
        </w:rPr>
        <w:t xml:space="preserve"> AH, </w:t>
      </w:r>
      <w:proofErr w:type="spellStart"/>
      <w:r w:rsidRPr="003A686F">
        <w:rPr>
          <w:sz w:val="22"/>
        </w:rPr>
        <w:t>Cerami</w:t>
      </w:r>
      <w:proofErr w:type="spellEnd"/>
      <w:r w:rsidRPr="003A686F">
        <w:rPr>
          <w:sz w:val="22"/>
        </w:rPr>
        <w:t xml:space="preserve"> A (1992) Metabolism and functions of </w:t>
      </w:r>
      <w:proofErr w:type="spellStart"/>
      <w:r w:rsidRPr="003A686F">
        <w:rPr>
          <w:sz w:val="22"/>
        </w:rPr>
        <w:t>trypanothione</w:t>
      </w:r>
      <w:proofErr w:type="spellEnd"/>
      <w:r w:rsidRPr="003A686F">
        <w:rPr>
          <w:sz w:val="22"/>
        </w:rPr>
        <w:t xml:space="preserve"> in the </w:t>
      </w:r>
      <w:proofErr w:type="spellStart"/>
      <w:r w:rsidRPr="003A686F">
        <w:rPr>
          <w:sz w:val="22"/>
        </w:rPr>
        <w:t>Kinetoplastida</w:t>
      </w:r>
      <w:proofErr w:type="spellEnd"/>
      <w:r w:rsidRPr="003A686F">
        <w:rPr>
          <w:sz w:val="22"/>
        </w:rPr>
        <w:t xml:space="preserve">. </w:t>
      </w:r>
      <w:proofErr w:type="spellStart"/>
      <w:r w:rsidRPr="003A686F">
        <w:rPr>
          <w:sz w:val="22"/>
        </w:rPr>
        <w:t>Annu</w:t>
      </w:r>
      <w:proofErr w:type="spellEnd"/>
      <w:r w:rsidRPr="003A686F">
        <w:rPr>
          <w:sz w:val="22"/>
        </w:rPr>
        <w:t xml:space="preserve"> Rev </w:t>
      </w:r>
      <w:proofErr w:type="spellStart"/>
      <w:r w:rsidRPr="003A686F">
        <w:rPr>
          <w:sz w:val="22"/>
        </w:rPr>
        <w:t>Microbiol</w:t>
      </w:r>
      <w:proofErr w:type="spellEnd"/>
      <w:r w:rsidRPr="003A686F">
        <w:rPr>
          <w:sz w:val="22"/>
        </w:rPr>
        <w:t xml:space="preserve"> 46: 695–729. doi:10.1146/annurev.mi.46.100192.003403.</w:t>
      </w:r>
    </w:p>
    <w:p w:rsidR="003A686F" w:rsidRPr="003A686F" w:rsidRDefault="003A686F" w:rsidP="003A686F">
      <w:pPr>
        <w:pStyle w:val="Bibliography"/>
        <w:rPr>
          <w:sz w:val="22"/>
        </w:rPr>
      </w:pPr>
      <w:r w:rsidRPr="003A686F">
        <w:rPr>
          <w:sz w:val="22"/>
        </w:rPr>
        <w:t xml:space="preserve">15. </w:t>
      </w:r>
      <w:r w:rsidRPr="003A686F">
        <w:rPr>
          <w:sz w:val="22"/>
        </w:rPr>
        <w:tab/>
        <w:t xml:space="preserve">Jones DC, </w:t>
      </w:r>
      <w:proofErr w:type="spellStart"/>
      <w:r w:rsidRPr="003A686F">
        <w:rPr>
          <w:sz w:val="22"/>
        </w:rPr>
        <w:t>Ariza</w:t>
      </w:r>
      <w:proofErr w:type="spellEnd"/>
      <w:r w:rsidRPr="003A686F">
        <w:rPr>
          <w:sz w:val="22"/>
        </w:rPr>
        <w:t xml:space="preserve"> A, Chow W-HA, </w:t>
      </w:r>
      <w:proofErr w:type="spellStart"/>
      <w:r w:rsidRPr="003A686F">
        <w:rPr>
          <w:sz w:val="22"/>
        </w:rPr>
        <w:t>Oza</w:t>
      </w:r>
      <w:proofErr w:type="spellEnd"/>
      <w:r w:rsidRPr="003A686F">
        <w:rPr>
          <w:sz w:val="22"/>
        </w:rPr>
        <w:t xml:space="preserve"> SL, </w:t>
      </w:r>
      <w:proofErr w:type="spellStart"/>
      <w:r w:rsidRPr="003A686F">
        <w:rPr>
          <w:sz w:val="22"/>
        </w:rPr>
        <w:t>Fairlamb</w:t>
      </w:r>
      <w:proofErr w:type="spellEnd"/>
      <w:r w:rsidRPr="003A686F">
        <w:rPr>
          <w:sz w:val="22"/>
        </w:rPr>
        <w:t xml:space="preserve"> AH (2010) Comparative structural, kinetic and inhibitor studies of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w:t>
      </w:r>
      <w:proofErr w:type="spellStart"/>
      <w:r w:rsidRPr="003A686F">
        <w:rPr>
          <w:sz w:val="22"/>
        </w:rPr>
        <w:t>trypanothione</w:t>
      </w:r>
      <w:proofErr w:type="spellEnd"/>
      <w:r w:rsidRPr="003A686F">
        <w:rPr>
          <w:sz w:val="22"/>
        </w:rPr>
        <w:t xml:space="preserve"> </w:t>
      </w:r>
      <w:proofErr w:type="spellStart"/>
      <w:r w:rsidRPr="003A686F">
        <w:rPr>
          <w:sz w:val="22"/>
        </w:rPr>
        <w:t>reductase</w:t>
      </w:r>
      <w:proofErr w:type="spellEnd"/>
      <w:r w:rsidRPr="003A686F">
        <w:rPr>
          <w:sz w:val="22"/>
        </w:rPr>
        <w:t xml:space="preserve"> with T. </w:t>
      </w:r>
      <w:proofErr w:type="spellStart"/>
      <w:r w:rsidRPr="003A686F">
        <w:rPr>
          <w:sz w:val="22"/>
        </w:rPr>
        <w:t>cruzi</w:t>
      </w:r>
      <w:proofErr w:type="spellEnd"/>
      <w:r w:rsidRPr="003A686F">
        <w:rPr>
          <w:sz w:val="22"/>
        </w:rPr>
        <w:t xml:space="preserve">. </w:t>
      </w:r>
      <w:proofErr w:type="spellStart"/>
      <w:r w:rsidRPr="003A686F">
        <w:rPr>
          <w:sz w:val="22"/>
        </w:rPr>
        <w:t>Mol</w:t>
      </w:r>
      <w:proofErr w:type="spellEnd"/>
      <w:r w:rsidRPr="003A686F">
        <w:rPr>
          <w:sz w:val="22"/>
        </w:rPr>
        <w:t xml:space="preserve"> </w:t>
      </w:r>
      <w:proofErr w:type="spellStart"/>
      <w:r w:rsidRPr="003A686F">
        <w:rPr>
          <w:sz w:val="22"/>
        </w:rPr>
        <w:t>Biochem</w:t>
      </w:r>
      <w:proofErr w:type="spellEnd"/>
      <w:r w:rsidRPr="003A686F">
        <w:rPr>
          <w:sz w:val="22"/>
        </w:rPr>
        <w:t xml:space="preserve"> </w:t>
      </w:r>
      <w:proofErr w:type="spellStart"/>
      <w:r w:rsidRPr="003A686F">
        <w:rPr>
          <w:sz w:val="22"/>
        </w:rPr>
        <w:t>Parasitol</w:t>
      </w:r>
      <w:proofErr w:type="spellEnd"/>
      <w:r w:rsidRPr="003A686F">
        <w:rPr>
          <w:sz w:val="22"/>
        </w:rPr>
        <w:t xml:space="preserve"> 169: 12–19. doi:10.1016/j.molbiopara.2009.09.002.</w:t>
      </w:r>
    </w:p>
    <w:p w:rsidR="003A686F" w:rsidRPr="003A686F" w:rsidRDefault="003A686F" w:rsidP="003A686F">
      <w:pPr>
        <w:pStyle w:val="Bibliography"/>
        <w:rPr>
          <w:sz w:val="22"/>
        </w:rPr>
      </w:pPr>
      <w:r w:rsidRPr="003A686F">
        <w:rPr>
          <w:sz w:val="22"/>
        </w:rPr>
        <w:lastRenderedPageBreak/>
        <w:t xml:space="preserve">16. </w:t>
      </w:r>
      <w:r w:rsidRPr="003A686F">
        <w:rPr>
          <w:sz w:val="22"/>
        </w:rPr>
        <w:tab/>
        <w:t xml:space="preserve">Atkinson MR, Johnson E, Morton RK (1961) Equilibrium constants of </w:t>
      </w:r>
      <w:proofErr w:type="spellStart"/>
      <w:r w:rsidRPr="003A686F">
        <w:rPr>
          <w:sz w:val="22"/>
        </w:rPr>
        <w:t>phosphoryl</w:t>
      </w:r>
      <w:proofErr w:type="spellEnd"/>
      <w:r w:rsidRPr="003A686F">
        <w:rPr>
          <w:sz w:val="22"/>
        </w:rPr>
        <w:t xml:space="preserve"> transfer from C-1 to C-6 of alpha-D-glucose 1-phosphate and from glucose 6-phosphate to water. </w:t>
      </w:r>
      <w:proofErr w:type="spellStart"/>
      <w:r w:rsidRPr="003A686F">
        <w:rPr>
          <w:sz w:val="22"/>
        </w:rPr>
        <w:t>Biochem</w:t>
      </w:r>
      <w:proofErr w:type="spellEnd"/>
      <w:r w:rsidRPr="003A686F">
        <w:rPr>
          <w:sz w:val="22"/>
        </w:rPr>
        <w:t xml:space="preserve"> J 79: 12–15.</w:t>
      </w:r>
    </w:p>
    <w:p w:rsidR="003A686F" w:rsidRPr="003A686F" w:rsidRDefault="003A686F" w:rsidP="003A686F">
      <w:pPr>
        <w:pStyle w:val="Bibliography"/>
        <w:rPr>
          <w:sz w:val="22"/>
        </w:rPr>
      </w:pPr>
      <w:r w:rsidRPr="003A686F">
        <w:rPr>
          <w:sz w:val="22"/>
        </w:rPr>
        <w:t xml:space="preserve">17. </w:t>
      </w:r>
      <w:r w:rsidRPr="003A686F">
        <w:rPr>
          <w:sz w:val="22"/>
        </w:rPr>
        <w:tab/>
        <w:t xml:space="preserve">McLaughlin J (1986) </w:t>
      </w:r>
      <w:proofErr w:type="gramStart"/>
      <w:r w:rsidRPr="003A686F">
        <w:rPr>
          <w:sz w:val="22"/>
        </w:rPr>
        <w:t>The</w:t>
      </w:r>
      <w:proofErr w:type="gramEnd"/>
      <w:r w:rsidRPr="003A686F">
        <w:rPr>
          <w:sz w:val="22"/>
        </w:rPr>
        <w:t xml:space="preserve"> association of distinct acid phosphatases with the flagella pocket and surface membrane fractions obtained from bloodstream forms of </w:t>
      </w:r>
      <w:proofErr w:type="spellStart"/>
      <w:r w:rsidRPr="003A686F">
        <w:rPr>
          <w:sz w:val="22"/>
        </w:rPr>
        <w:t>Trypanosoma</w:t>
      </w:r>
      <w:proofErr w:type="spellEnd"/>
      <w:r w:rsidRPr="003A686F">
        <w:rPr>
          <w:sz w:val="22"/>
        </w:rPr>
        <w:t xml:space="preserve"> </w:t>
      </w:r>
      <w:proofErr w:type="spellStart"/>
      <w:r w:rsidRPr="003A686F">
        <w:rPr>
          <w:sz w:val="22"/>
        </w:rPr>
        <w:t>rhodesiense</w:t>
      </w:r>
      <w:proofErr w:type="spellEnd"/>
      <w:r w:rsidRPr="003A686F">
        <w:rPr>
          <w:sz w:val="22"/>
        </w:rPr>
        <w:t xml:space="preserve">. </w:t>
      </w:r>
      <w:proofErr w:type="spellStart"/>
      <w:r w:rsidRPr="003A686F">
        <w:rPr>
          <w:sz w:val="22"/>
        </w:rPr>
        <w:t>Mol</w:t>
      </w:r>
      <w:proofErr w:type="spellEnd"/>
      <w:r w:rsidRPr="003A686F">
        <w:rPr>
          <w:sz w:val="22"/>
        </w:rPr>
        <w:t xml:space="preserve"> Cell </w:t>
      </w:r>
      <w:proofErr w:type="spellStart"/>
      <w:r w:rsidRPr="003A686F">
        <w:rPr>
          <w:sz w:val="22"/>
        </w:rPr>
        <w:t>Biochem</w:t>
      </w:r>
      <w:proofErr w:type="spellEnd"/>
      <w:r w:rsidRPr="003A686F">
        <w:rPr>
          <w:sz w:val="22"/>
        </w:rPr>
        <w:t xml:space="preserve"> 70: 177–184.</w:t>
      </w:r>
    </w:p>
    <w:p w:rsidR="003A686F" w:rsidRPr="003A686F" w:rsidRDefault="003A686F" w:rsidP="003A686F">
      <w:pPr>
        <w:pStyle w:val="Bibliography"/>
        <w:rPr>
          <w:sz w:val="22"/>
        </w:rPr>
      </w:pPr>
      <w:r w:rsidRPr="003A686F">
        <w:rPr>
          <w:sz w:val="22"/>
        </w:rPr>
        <w:t xml:space="preserve">18. </w:t>
      </w:r>
      <w:r w:rsidRPr="003A686F">
        <w:rPr>
          <w:sz w:val="22"/>
        </w:rPr>
        <w:tab/>
      </w:r>
      <w:proofErr w:type="spellStart"/>
      <w:r w:rsidRPr="003A686F">
        <w:rPr>
          <w:sz w:val="22"/>
        </w:rPr>
        <w:t>Tewari</w:t>
      </w:r>
      <w:proofErr w:type="spellEnd"/>
      <w:r w:rsidRPr="003A686F">
        <w:rPr>
          <w:sz w:val="22"/>
        </w:rPr>
        <w:t xml:space="preserve"> YB, </w:t>
      </w:r>
      <w:proofErr w:type="spellStart"/>
      <w:r w:rsidRPr="003A686F">
        <w:rPr>
          <w:sz w:val="22"/>
        </w:rPr>
        <w:t>Steckler</w:t>
      </w:r>
      <w:proofErr w:type="spellEnd"/>
      <w:r w:rsidRPr="003A686F">
        <w:rPr>
          <w:sz w:val="22"/>
        </w:rPr>
        <w:t xml:space="preserve"> DK, Goldberg RN, </w:t>
      </w:r>
      <w:proofErr w:type="spellStart"/>
      <w:r w:rsidRPr="003A686F">
        <w:rPr>
          <w:sz w:val="22"/>
        </w:rPr>
        <w:t>Gitomer</w:t>
      </w:r>
      <w:proofErr w:type="spellEnd"/>
      <w:r w:rsidRPr="003A686F">
        <w:rPr>
          <w:sz w:val="22"/>
        </w:rPr>
        <w:t xml:space="preserve"> WL (1988) Thermodynamics of hydrolysis of sugar phosphates. J </w:t>
      </w:r>
      <w:proofErr w:type="spellStart"/>
      <w:r w:rsidRPr="003A686F">
        <w:rPr>
          <w:sz w:val="22"/>
        </w:rPr>
        <w:t>Biol</w:t>
      </w:r>
      <w:proofErr w:type="spellEnd"/>
      <w:r w:rsidRPr="003A686F">
        <w:rPr>
          <w:sz w:val="22"/>
        </w:rPr>
        <w:t xml:space="preserve"> </w:t>
      </w:r>
      <w:proofErr w:type="spellStart"/>
      <w:r w:rsidRPr="003A686F">
        <w:rPr>
          <w:sz w:val="22"/>
        </w:rPr>
        <w:t>Chem</w:t>
      </w:r>
      <w:proofErr w:type="spellEnd"/>
      <w:r w:rsidRPr="003A686F">
        <w:rPr>
          <w:sz w:val="22"/>
        </w:rPr>
        <w:t xml:space="preserve"> 263: 3670–3675.</w:t>
      </w:r>
    </w:p>
    <w:p w:rsidR="003A686F" w:rsidRPr="003A686F" w:rsidRDefault="003A686F" w:rsidP="003A686F">
      <w:pPr>
        <w:pStyle w:val="Bibliography"/>
        <w:rPr>
          <w:sz w:val="22"/>
        </w:rPr>
      </w:pPr>
      <w:r w:rsidRPr="003A686F">
        <w:rPr>
          <w:sz w:val="22"/>
        </w:rPr>
        <w:t xml:space="preserve">19. </w:t>
      </w:r>
      <w:r w:rsidRPr="003A686F">
        <w:rPr>
          <w:sz w:val="22"/>
        </w:rPr>
        <w:tab/>
        <w:t xml:space="preserve">Fry AJ, Towner P, Holman GD, </w:t>
      </w:r>
      <w:proofErr w:type="spellStart"/>
      <w:r w:rsidRPr="003A686F">
        <w:rPr>
          <w:sz w:val="22"/>
        </w:rPr>
        <w:t>Eisenthal</w:t>
      </w:r>
      <w:proofErr w:type="spellEnd"/>
      <w:r w:rsidRPr="003A686F">
        <w:rPr>
          <w:sz w:val="22"/>
        </w:rPr>
        <w:t xml:space="preserve"> R (1993) Transport of d-fructose and its analogues by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w:t>
      </w:r>
      <w:proofErr w:type="spellStart"/>
      <w:r w:rsidRPr="003A686F">
        <w:rPr>
          <w:sz w:val="22"/>
        </w:rPr>
        <w:t>Mol</w:t>
      </w:r>
      <w:proofErr w:type="spellEnd"/>
      <w:r w:rsidRPr="003A686F">
        <w:rPr>
          <w:sz w:val="22"/>
        </w:rPr>
        <w:t xml:space="preserve"> </w:t>
      </w:r>
      <w:proofErr w:type="spellStart"/>
      <w:r w:rsidRPr="003A686F">
        <w:rPr>
          <w:sz w:val="22"/>
        </w:rPr>
        <w:t>Biochem</w:t>
      </w:r>
      <w:proofErr w:type="spellEnd"/>
      <w:r w:rsidRPr="003A686F">
        <w:rPr>
          <w:sz w:val="22"/>
        </w:rPr>
        <w:t xml:space="preserve"> </w:t>
      </w:r>
      <w:proofErr w:type="spellStart"/>
      <w:r w:rsidRPr="003A686F">
        <w:rPr>
          <w:sz w:val="22"/>
        </w:rPr>
        <w:t>Parasitol</w:t>
      </w:r>
      <w:proofErr w:type="spellEnd"/>
      <w:r w:rsidRPr="003A686F">
        <w:rPr>
          <w:sz w:val="22"/>
        </w:rPr>
        <w:t xml:space="preserve"> 60: 9–18. </w:t>
      </w:r>
      <w:proofErr w:type="gramStart"/>
      <w:r w:rsidRPr="003A686F">
        <w:rPr>
          <w:sz w:val="22"/>
        </w:rPr>
        <w:t>doi:</w:t>
      </w:r>
      <w:proofErr w:type="gramEnd"/>
      <w:r w:rsidRPr="003A686F">
        <w:rPr>
          <w:sz w:val="22"/>
        </w:rPr>
        <w:t>10.1016/0166-6851(93)90023-Q.</w:t>
      </w:r>
    </w:p>
    <w:p w:rsidR="003A686F" w:rsidRPr="003A686F" w:rsidRDefault="003A686F" w:rsidP="003A686F">
      <w:pPr>
        <w:pStyle w:val="Bibliography"/>
        <w:rPr>
          <w:sz w:val="22"/>
        </w:rPr>
      </w:pPr>
      <w:r w:rsidRPr="003A686F">
        <w:rPr>
          <w:sz w:val="22"/>
        </w:rPr>
        <w:t xml:space="preserve">20. </w:t>
      </w:r>
      <w:r w:rsidRPr="003A686F">
        <w:rPr>
          <w:sz w:val="22"/>
        </w:rPr>
        <w:tab/>
        <w:t xml:space="preserve">Banks BE, Vernon CA (1970) Reassessment of the role of ATP in vivo. J </w:t>
      </w:r>
      <w:proofErr w:type="spellStart"/>
      <w:r w:rsidRPr="003A686F">
        <w:rPr>
          <w:sz w:val="22"/>
        </w:rPr>
        <w:t>Theor</w:t>
      </w:r>
      <w:proofErr w:type="spellEnd"/>
      <w:r w:rsidRPr="003A686F">
        <w:rPr>
          <w:sz w:val="22"/>
        </w:rPr>
        <w:t xml:space="preserve"> </w:t>
      </w:r>
      <w:proofErr w:type="spellStart"/>
      <w:r w:rsidRPr="003A686F">
        <w:rPr>
          <w:sz w:val="22"/>
        </w:rPr>
        <w:t>Biol</w:t>
      </w:r>
      <w:proofErr w:type="spellEnd"/>
      <w:r w:rsidRPr="003A686F">
        <w:rPr>
          <w:sz w:val="22"/>
        </w:rPr>
        <w:t xml:space="preserve"> 29: 301–326.</w:t>
      </w:r>
    </w:p>
    <w:p w:rsidR="003A686F" w:rsidRPr="003A686F" w:rsidRDefault="003A686F" w:rsidP="003A686F">
      <w:pPr>
        <w:pStyle w:val="Bibliography"/>
        <w:rPr>
          <w:sz w:val="22"/>
        </w:rPr>
      </w:pPr>
      <w:r w:rsidRPr="003A686F">
        <w:rPr>
          <w:sz w:val="22"/>
        </w:rPr>
        <w:t xml:space="preserve">21. </w:t>
      </w:r>
      <w:r w:rsidRPr="003A686F">
        <w:rPr>
          <w:sz w:val="22"/>
        </w:rPr>
        <w:tab/>
        <w:t xml:space="preserve">Morris MT, </w:t>
      </w:r>
      <w:proofErr w:type="spellStart"/>
      <w:r w:rsidRPr="003A686F">
        <w:rPr>
          <w:sz w:val="22"/>
        </w:rPr>
        <w:t>DeBruin</w:t>
      </w:r>
      <w:proofErr w:type="spellEnd"/>
      <w:r w:rsidRPr="003A686F">
        <w:rPr>
          <w:sz w:val="22"/>
        </w:rPr>
        <w:t xml:space="preserve"> C, Yang Z, Chambers JW, Smith KS, et al. (2006) Activity of a Second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Hexokinase Is Controlled by an 18-Amino-Acid C-Terminal Tail. </w:t>
      </w:r>
      <w:proofErr w:type="spellStart"/>
      <w:r w:rsidRPr="003A686F">
        <w:rPr>
          <w:sz w:val="22"/>
        </w:rPr>
        <w:t>Eukaryot</w:t>
      </w:r>
      <w:proofErr w:type="spellEnd"/>
      <w:r w:rsidRPr="003A686F">
        <w:rPr>
          <w:sz w:val="22"/>
        </w:rPr>
        <w:t xml:space="preserve"> Cell 5: 2014–2023. doi:10.1128/EC.00146-06.</w:t>
      </w:r>
    </w:p>
    <w:p w:rsidR="003A686F" w:rsidRPr="003A686F" w:rsidRDefault="003A686F" w:rsidP="003A686F">
      <w:pPr>
        <w:pStyle w:val="Bibliography"/>
        <w:rPr>
          <w:sz w:val="22"/>
        </w:rPr>
      </w:pPr>
      <w:r w:rsidRPr="003A686F">
        <w:rPr>
          <w:sz w:val="22"/>
        </w:rPr>
        <w:t xml:space="preserve">22. </w:t>
      </w:r>
      <w:r w:rsidRPr="003A686F">
        <w:rPr>
          <w:sz w:val="22"/>
        </w:rPr>
        <w:tab/>
        <w:t xml:space="preserve">Bakker BM, </w:t>
      </w:r>
      <w:proofErr w:type="spellStart"/>
      <w:r w:rsidRPr="003A686F">
        <w:rPr>
          <w:sz w:val="22"/>
        </w:rPr>
        <w:t>Michels</w:t>
      </w:r>
      <w:proofErr w:type="spellEnd"/>
      <w:r w:rsidRPr="003A686F">
        <w:rPr>
          <w:sz w:val="22"/>
        </w:rPr>
        <w:t xml:space="preserve"> PAM, </w:t>
      </w:r>
      <w:proofErr w:type="spellStart"/>
      <w:r w:rsidRPr="003A686F">
        <w:rPr>
          <w:sz w:val="22"/>
        </w:rPr>
        <w:t>Opperdoes</w:t>
      </w:r>
      <w:proofErr w:type="spellEnd"/>
      <w:r w:rsidRPr="003A686F">
        <w:rPr>
          <w:sz w:val="22"/>
        </w:rPr>
        <w:t xml:space="preserve"> FR, </w:t>
      </w:r>
      <w:proofErr w:type="spellStart"/>
      <w:r w:rsidRPr="003A686F">
        <w:rPr>
          <w:sz w:val="22"/>
        </w:rPr>
        <w:t>Westerhoff</w:t>
      </w:r>
      <w:proofErr w:type="spellEnd"/>
      <w:r w:rsidRPr="003A686F">
        <w:rPr>
          <w:sz w:val="22"/>
        </w:rPr>
        <w:t xml:space="preserve"> HV (1999) </w:t>
      </w:r>
      <w:proofErr w:type="gramStart"/>
      <w:r w:rsidRPr="003A686F">
        <w:rPr>
          <w:sz w:val="22"/>
        </w:rPr>
        <w:t>What</w:t>
      </w:r>
      <w:proofErr w:type="gramEnd"/>
      <w:r w:rsidRPr="003A686F">
        <w:rPr>
          <w:sz w:val="22"/>
        </w:rPr>
        <w:t xml:space="preserve"> controls glycolysis in bloodstream form </w:t>
      </w:r>
      <w:proofErr w:type="spellStart"/>
      <w:r w:rsidRPr="003A686F">
        <w:rPr>
          <w:sz w:val="22"/>
        </w:rPr>
        <w:t>Trypanosoma</w:t>
      </w:r>
      <w:proofErr w:type="spellEnd"/>
      <w:r w:rsidRPr="003A686F">
        <w:rPr>
          <w:sz w:val="22"/>
        </w:rPr>
        <w:t xml:space="preserve"> </w:t>
      </w:r>
      <w:proofErr w:type="spellStart"/>
      <w:r w:rsidRPr="003A686F">
        <w:rPr>
          <w:sz w:val="22"/>
        </w:rPr>
        <w:t>brucei</w:t>
      </w:r>
      <w:proofErr w:type="spellEnd"/>
      <w:r w:rsidRPr="003A686F">
        <w:rPr>
          <w:sz w:val="22"/>
        </w:rPr>
        <w:t xml:space="preserve">? J </w:t>
      </w:r>
      <w:proofErr w:type="spellStart"/>
      <w:r w:rsidRPr="003A686F">
        <w:rPr>
          <w:sz w:val="22"/>
        </w:rPr>
        <w:t>Biol</w:t>
      </w:r>
      <w:proofErr w:type="spellEnd"/>
      <w:r w:rsidRPr="003A686F">
        <w:rPr>
          <w:sz w:val="22"/>
        </w:rPr>
        <w:t xml:space="preserve"> </w:t>
      </w:r>
      <w:proofErr w:type="spellStart"/>
      <w:r w:rsidRPr="003A686F">
        <w:rPr>
          <w:sz w:val="22"/>
        </w:rPr>
        <w:t>Chem</w:t>
      </w:r>
      <w:proofErr w:type="spellEnd"/>
      <w:r w:rsidRPr="003A686F">
        <w:rPr>
          <w:sz w:val="22"/>
        </w:rPr>
        <w:t xml:space="preserve"> 274: 14551–14559. doi:10.1074/jbc.274.21.14551.</w:t>
      </w:r>
    </w:p>
    <w:p w:rsidR="003A686F" w:rsidRPr="003A686F" w:rsidRDefault="003A686F" w:rsidP="003A686F">
      <w:pPr>
        <w:pStyle w:val="Bibliography"/>
        <w:rPr>
          <w:sz w:val="22"/>
        </w:rPr>
      </w:pPr>
      <w:r w:rsidRPr="003A686F">
        <w:rPr>
          <w:sz w:val="22"/>
        </w:rPr>
        <w:t xml:space="preserve">23. </w:t>
      </w:r>
      <w:r w:rsidRPr="003A686F">
        <w:rPr>
          <w:sz w:val="22"/>
        </w:rPr>
        <w:tab/>
      </w:r>
      <w:proofErr w:type="spellStart"/>
      <w:r w:rsidRPr="003A686F">
        <w:rPr>
          <w:sz w:val="22"/>
        </w:rPr>
        <w:t>Maugeri</w:t>
      </w:r>
      <w:proofErr w:type="spellEnd"/>
      <w:r w:rsidRPr="003A686F">
        <w:rPr>
          <w:sz w:val="22"/>
        </w:rPr>
        <w:t xml:space="preserve"> DA, </w:t>
      </w:r>
      <w:proofErr w:type="spellStart"/>
      <w:r w:rsidRPr="003A686F">
        <w:rPr>
          <w:sz w:val="22"/>
        </w:rPr>
        <w:t>Cazzulo</w:t>
      </w:r>
      <w:proofErr w:type="spellEnd"/>
      <w:r w:rsidRPr="003A686F">
        <w:rPr>
          <w:sz w:val="22"/>
        </w:rPr>
        <w:t xml:space="preserve"> JJ, </w:t>
      </w:r>
      <w:proofErr w:type="spellStart"/>
      <w:r w:rsidRPr="003A686F">
        <w:rPr>
          <w:sz w:val="22"/>
        </w:rPr>
        <w:t>Burchmore</w:t>
      </w:r>
      <w:proofErr w:type="spellEnd"/>
      <w:r w:rsidRPr="003A686F">
        <w:rPr>
          <w:sz w:val="22"/>
        </w:rPr>
        <w:t xml:space="preserve"> RJS, Barrett MP, </w:t>
      </w:r>
      <w:proofErr w:type="spellStart"/>
      <w:r w:rsidRPr="003A686F">
        <w:rPr>
          <w:sz w:val="22"/>
        </w:rPr>
        <w:t>Ogbunude</w:t>
      </w:r>
      <w:proofErr w:type="spellEnd"/>
      <w:r w:rsidRPr="003A686F">
        <w:rPr>
          <w:sz w:val="22"/>
        </w:rPr>
        <w:t xml:space="preserve"> POJ (2003) Pentose phosphate metabolism in </w:t>
      </w:r>
      <w:proofErr w:type="spellStart"/>
      <w:r w:rsidRPr="003A686F">
        <w:rPr>
          <w:sz w:val="22"/>
        </w:rPr>
        <w:t>Leishmania</w:t>
      </w:r>
      <w:proofErr w:type="spellEnd"/>
      <w:r w:rsidRPr="003A686F">
        <w:rPr>
          <w:sz w:val="22"/>
        </w:rPr>
        <w:t xml:space="preserve"> </w:t>
      </w:r>
      <w:proofErr w:type="spellStart"/>
      <w:r w:rsidRPr="003A686F">
        <w:rPr>
          <w:sz w:val="22"/>
        </w:rPr>
        <w:t>mexicana</w:t>
      </w:r>
      <w:proofErr w:type="spellEnd"/>
      <w:r w:rsidRPr="003A686F">
        <w:rPr>
          <w:sz w:val="22"/>
        </w:rPr>
        <w:t xml:space="preserve">. </w:t>
      </w:r>
      <w:proofErr w:type="spellStart"/>
      <w:r w:rsidRPr="003A686F">
        <w:rPr>
          <w:sz w:val="22"/>
        </w:rPr>
        <w:t>Mol</w:t>
      </w:r>
      <w:proofErr w:type="spellEnd"/>
      <w:r w:rsidRPr="003A686F">
        <w:rPr>
          <w:sz w:val="22"/>
        </w:rPr>
        <w:t xml:space="preserve"> </w:t>
      </w:r>
      <w:proofErr w:type="spellStart"/>
      <w:r w:rsidRPr="003A686F">
        <w:rPr>
          <w:sz w:val="22"/>
        </w:rPr>
        <w:t>Biochem</w:t>
      </w:r>
      <w:proofErr w:type="spellEnd"/>
      <w:r w:rsidRPr="003A686F">
        <w:rPr>
          <w:sz w:val="22"/>
        </w:rPr>
        <w:t xml:space="preserve"> </w:t>
      </w:r>
      <w:proofErr w:type="spellStart"/>
      <w:r w:rsidRPr="003A686F">
        <w:rPr>
          <w:sz w:val="22"/>
        </w:rPr>
        <w:t>Parasitol</w:t>
      </w:r>
      <w:proofErr w:type="spellEnd"/>
      <w:r w:rsidRPr="003A686F">
        <w:rPr>
          <w:sz w:val="22"/>
        </w:rPr>
        <w:t xml:space="preserve"> 130: 117–125.</w:t>
      </w:r>
    </w:p>
    <w:p w:rsidR="003A686F" w:rsidRPr="003A686F" w:rsidRDefault="003A686F" w:rsidP="003A686F">
      <w:pPr>
        <w:pStyle w:val="Bibliography"/>
        <w:rPr>
          <w:sz w:val="22"/>
        </w:rPr>
      </w:pPr>
      <w:r w:rsidRPr="003A686F">
        <w:rPr>
          <w:sz w:val="22"/>
        </w:rPr>
        <w:t xml:space="preserve">24. </w:t>
      </w:r>
      <w:r w:rsidRPr="003A686F">
        <w:rPr>
          <w:sz w:val="22"/>
        </w:rPr>
        <w:tab/>
      </w:r>
      <w:proofErr w:type="spellStart"/>
      <w:r w:rsidRPr="003A686F">
        <w:rPr>
          <w:sz w:val="22"/>
        </w:rPr>
        <w:t>Maugeri</w:t>
      </w:r>
      <w:proofErr w:type="spellEnd"/>
      <w:r w:rsidRPr="003A686F">
        <w:rPr>
          <w:sz w:val="22"/>
        </w:rPr>
        <w:t xml:space="preserve"> DA, </w:t>
      </w:r>
      <w:proofErr w:type="spellStart"/>
      <w:r w:rsidRPr="003A686F">
        <w:rPr>
          <w:sz w:val="22"/>
        </w:rPr>
        <w:t>Cazzulo</w:t>
      </w:r>
      <w:proofErr w:type="spellEnd"/>
      <w:r w:rsidRPr="003A686F">
        <w:rPr>
          <w:sz w:val="22"/>
        </w:rPr>
        <w:t xml:space="preserve"> JJ (2004) </w:t>
      </w:r>
      <w:proofErr w:type="gramStart"/>
      <w:r w:rsidRPr="003A686F">
        <w:rPr>
          <w:sz w:val="22"/>
        </w:rPr>
        <w:t>The</w:t>
      </w:r>
      <w:proofErr w:type="gramEnd"/>
      <w:r w:rsidRPr="003A686F">
        <w:rPr>
          <w:sz w:val="22"/>
        </w:rPr>
        <w:t xml:space="preserve"> pentose phosphate pathway in </w:t>
      </w:r>
      <w:proofErr w:type="spellStart"/>
      <w:r w:rsidRPr="003A686F">
        <w:rPr>
          <w:sz w:val="22"/>
        </w:rPr>
        <w:t>Trypanosoma</w:t>
      </w:r>
      <w:proofErr w:type="spellEnd"/>
      <w:r w:rsidRPr="003A686F">
        <w:rPr>
          <w:sz w:val="22"/>
        </w:rPr>
        <w:t xml:space="preserve"> </w:t>
      </w:r>
      <w:proofErr w:type="spellStart"/>
      <w:r w:rsidRPr="003A686F">
        <w:rPr>
          <w:sz w:val="22"/>
        </w:rPr>
        <w:t>cruzi</w:t>
      </w:r>
      <w:proofErr w:type="spellEnd"/>
      <w:r w:rsidRPr="003A686F">
        <w:rPr>
          <w:sz w:val="22"/>
        </w:rPr>
        <w:t xml:space="preserve">. FEMS </w:t>
      </w:r>
      <w:proofErr w:type="spellStart"/>
      <w:r w:rsidRPr="003A686F">
        <w:rPr>
          <w:sz w:val="22"/>
        </w:rPr>
        <w:t>Microbiol</w:t>
      </w:r>
      <w:proofErr w:type="spellEnd"/>
      <w:r w:rsidRPr="003A686F">
        <w:rPr>
          <w:sz w:val="22"/>
        </w:rPr>
        <w:t xml:space="preserve"> </w:t>
      </w:r>
      <w:proofErr w:type="spellStart"/>
      <w:r w:rsidRPr="003A686F">
        <w:rPr>
          <w:sz w:val="22"/>
        </w:rPr>
        <w:t>Lett</w:t>
      </w:r>
      <w:proofErr w:type="spellEnd"/>
      <w:r w:rsidRPr="003A686F">
        <w:rPr>
          <w:sz w:val="22"/>
        </w:rPr>
        <w:t xml:space="preserve"> 234: 117–123. doi:10.1016/j.femsle.2004.03.018.</w:t>
      </w:r>
    </w:p>
    <w:p w:rsidR="0072460E" w:rsidRPr="002D6839" w:rsidRDefault="002D6839" w:rsidP="002D6839">
      <w:r>
        <w:rPr>
          <w:b/>
          <w:color w:val="000000"/>
          <w:sz w:val="22"/>
        </w:rPr>
        <w:fldChar w:fldCharType="end"/>
      </w:r>
    </w:p>
    <w:sectPr w:rsidR="0072460E" w:rsidRPr="002D6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Liberation Serif">
    <w:altName w:val="Times New Roman"/>
    <w:charset w:val="00"/>
    <w:family w:val="roman"/>
    <w:pitch w:val="default"/>
    <w:sig w:usb0="00000003" w:usb1="08070000" w:usb2="00000010" w:usb3="00000000" w:csb0="00020001" w:csb1="00000000"/>
  </w:font>
  <w:font w:name="Droid Sans Fallback">
    <w:altName w:val="Lucida Console"/>
    <w:charset w:val="00"/>
    <w:family w:val="modern"/>
    <w:pitch w:val="fixed"/>
    <w:sig w:usb0="00000003" w:usb1="08070000" w:usb2="00000010" w:usb3="00000000" w:csb0="00020001" w:csb1="00000000"/>
  </w:font>
  <w:font w:name="FreeSans">
    <w:altName w:val="Arial Unicode MS"/>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E72"/>
    <w:rsid w:val="00095E72"/>
    <w:rsid w:val="002D6839"/>
    <w:rsid w:val="003A686F"/>
    <w:rsid w:val="0072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72"/>
    <w:pPr>
      <w:spacing w:after="200" w:line="276" w:lineRule="auto"/>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95E72"/>
    <w:pPr>
      <w:suppressAutoHyphens/>
      <w:autoSpaceDE w:val="0"/>
      <w:autoSpaceDN w:val="0"/>
      <w:spacing w:after="0" w:line="360" w:lineRule="auto"/>
      <w:ind w:firstLine="720"/>
      <w:jc w:val="both"/>
      <w:textAlignment w:val="baseline"/>
    </w:pPr>
    <w:rPr>
      <w:rFonts w:ascii="Liberation Serif" w:eastAsia="Droid Sans Fallback" w:hAnsi="Liberation Serif" w:cs="FreeSans"/>
      <w:kern w:val="3"/>
      <w:szCs w:val="24"/>
      <w:lang w:val="en-GB" w:eastAsia="zh-CN" w:bidi="hi-IN"/>
    </w:rPr>
  </w:style>
  <w:style w:type="character" w:customStyle="1" w:styleId="FigureheadingChar">
    <w:name w:val="Figure heading Char"/>
    <w:rsid w:val="00095E72"/>
    <w:rPr>
      <w:rFonts w:ascii="Times New Roman" w:eastAsia="Times New Roman" w:hAnsi="Times New Roman"/>
      <w:b/>
      <w:sz w:val="22"/>
      <w:szCs w:val="24"/>
      <w:lang w:eastAsia="en-US"/>
    </w:rPr>
  </w:style>
  <w:style w:type="paragraph" w:styleId="Bibliography">
    <w:name w:val="Bibliography"/>
    <w:basedOn w:val="Normal"/>
    <w:next w:val="Normal"/>
    <w:uiPriority w:val="37"/>
    <w:unhideWhenUsed/>
    <w:rsid w:val="002D6839"/>
    <w:pPr>
      <w:tabs>
        <w:tab w:val="left" w:pos="504"/>
      </w:tabs>
      <w:spacing w:after="240" w:line="240" w:lineRule="auto"/>
      <w:ind w:left="504" w:hanging="50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72"/>
    <w:pPr>
      <w:spacing w:after="200" w:line="276" w:lineRule="auto"/>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95E72"/>
    <w:pPr>
      <w:suppressAutoHyphens/>
      <w:autoSpaceDE w:val="0"/>
      <w:autoSpaceDN w:val="0"/>
      <w:spacing w:after="0" w:line="360" w:lineRule="auto"/>
      <w:ind w:firstLine="720"/>
      <w:jc w:val="both"/>
      <w:textAlignment w:val="baseline"/>
    </w:pPr>
    <w:rPr>
      <w:rFonts w:ascii="Liberation Serif" w:eastAsia="Droid Sans Fallback" w:hAnsi="Liberation Serif" w:cs="FreeSans"/>
      <w:kern w:val="3"/>
      <w:szCs w:val="24"/>
      <w:lang w:val="en-GB" w:eastAsia="zh-CN" w:bidi="hi-IN"/>
    </w:rPr>
  </w:style>
  <w:style w:type="character" w:customStyle="1" w:styleId="FigureheadingChar">
    <w:name w:val="Figure heading Char"/>
    <w:rsid w:val="00095E72"/>
    <w:rPr>
      <w:rFonts w:ascii="Times New Roman" w:eastAsia="Times New Roman" w:hAnsi="Times New Roman"/>
      <w:b/>
      <w:sz w:val="22"/>
      <w:szCs w:val="24"/>
      <w:lang w:eastAsia="en-US"/>
    </w:rPr>
  </w:style>
  <w:style w:type="paragraph" w:styleId="Bibliography">
    <w:name w:val="Bibliography"/>
    <w:basedOn w:val="Normal"/>
    <w:next w:val="Normal"/>
    <w:uiPriority w:val="37"/>
    <w:unhideWhenUsed/>
    <w:rsid w:val="002D6839"/>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13554</Words>
  <Characters>77261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Eduard Kerkhoven</cp:lastModifiedBy>
  <cp:revision>2</cp:revision>
  <dcterms:created xsi:type="dcterms:W3CDTF">2013-08-22T20:03:00Z</dcterms:created>
  <dcterms:modified xsi:type="dcterms:W3CDTF">2013-08-23T09:23:00Z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id="gMfLxR3g"/&gt;&lt;style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