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77E7" w:rsidRPr="008235D7" w:rsidRDefault="00687B97" w:rsidP="007E03A3">
      <w:pPr>
        <w:spacing w:line="360" w:lineRule="auto"/>
        <w:rPr>
          <w:b/>
          <w:sz w:val="22"/>
        </w:rPr>
      </w:pPr>
      <w:proofErr w:type="gramStart"/>
      <w:r w:rsidRPr="008235D7">
        <w:rPr>
          <w:b/>
          <w:sz w:val="22"/>
        </w:rPr>
        <w:t>Text</w:t>
      </w:r>
      <w:r w:rsidR="00F977E7" w:rsidRPr="008235D7">
        <w:rPr>
          <w:b/>
          <w:sz w:val="22"/>
        </w:rPr>
        <w:t xml:space="preserve"> S1.</w:t>
      </w:r>
      <w:proofErr w:type="gramEnd"/>
      <w:r w:rsidR="00F977E7" w:rsidRPr="008235D7">
        <w:rPr>
          <w:b/>
          <w:sz w:val="22"/>
        </w:rPr>
        <w:t xml:space="preserve"> Uncertainty modeling &amp; distribution of parameter values</w:t>
      </w:r>
    </w:p>
    <w:p w:rsidR="00BE3F6E" w:rsidRDefault="00F977E7" w:rsidP="007E03A3">
      <w:pPr>
        <w:spacing w:line="360" w:lineRule="auto"/>
        <w:rPr>
          <w:sz w:val="22"/>
        </w:rPr>
      </w:pPr>
      <w:r w:rsidRPr="008235D7">
        <w:rPr>
          <w:sz w:val="22"/>
        </w:rPr>
        <w:t xml:space="preserve">The sampling methodology used is the same as described in </w:t>
      </w:r>
      <w:r w:rsidRPr="008235D7">
        <w:rPr>
          <w:sz w:val="22"/>
        </w:rPr>
        <w:fldChar w:fldCharType="begin"/>
      </w:r>
      <w:r w:rsidR="007E03A3">
        <w:rPr>
          <w:sz w:val="22"/>
        </w:rPr>
        <w:instrText xml:space="preserve"> ADDIN ZOTERO_ITEM CSL_CITATION {"citationID":"2q3of92n3","properties":{"formattedCitation":"[1]","plainCitation":"[1]"},"citationItems":[{"id":244,"uris":["http://zotero.org/users/685052/items/N9GII4TW"],"uri":["http://zotero.org/users/685052/items/N9GII4TW"],"itemData":{"id":244,"type":"article-journal","title":"Dynamic modelling under uncertainty: the case of Trypanosoma brucei energy metabolism","container-title":"PLoS Comput Biol","page":"e1002352","volume":"8","issue":"1","source":"PLoS Comput Biol","abstract":"Author Summary        An increasing number of mathematical models are being built and analysed in order to obtain a better understanding of specific biological systems. These quantitative models contain parameters that need to be measured or estimated. Because of experimental errors or lack of data, our knowledge about these parameters is uncertain. Our work explores the effect of including these uncertainties in model analysis. Therefore, we studied a particularly well curated model of the energy metabolism of the parasite Trypanosoma brucei, responsible for African sleeping sickness. We first collected all the information we could find about how the model parameters were defined on a website, the SilicoTryp wiki (http:///silicotryp.ibls.gla.ac.uk/wiki/). From this information, we were able to quantify our uncertainty about each parameter, thus allowing us to analyse the model while explicitly taking these uncertainties into account. We found that, even though the model was well-defined and most of its parameters were experimentally measured, taking into account the remaining uncertainty allows us to gain more insight into model behavior. We were able to identify previously unrecognised fragilities of the model, leading to new hypotheses amenable to experimental testing.","DOI":"10.1371/journal.pcbi.1002352","shortTitle":"Dynamic Modelling under Uncertainty","journalAbbreviation":"PLoS Comput Biol","author":[{"family":"Achcar","given":"Fiona"},{"family":"Kerkhoven","given":"Eduard J."},{"family":"The SilicoTryp Consortium","given":""},{"family":"Bakker","given":"Barbara M."},{"family":"Barrett","given":"Michael P."},{"family":"Breitling","given":"Rainer"}],"issued":{"date-parts":[["2012",1,19]]},"accessed":{"date-parts":[["2012",1,20]],"season":"10:15:48"}}}],"schema":"https://github.com/citation-style-language/schema/raw/master/csl-citation.json"} </w:instrText>
      </w:r>
      <w:r w:rsidRPr="008235D7">
        <w:rPr>
          <w:sz w:val="22"/>
        </w:rPr>
        <w:fldChar w:fldCharType="separate"/>
      </w:r>
      <w:r w:rsidR="007E03A3" w:rsidRPr="007E03A3">
        <w:rPr>
          <w:sz w:val="22"/>
        </w:rPr>
        <w:t>[1]</w:t>
      </w:r>
      <w:r w:rsidRPr="008235D7">
        <w:rPr>
          <w:sz w:val="22"/>
        </w:rPr>
        <w:fldChar w:fldCharType="end"/>
      </w:r>
      <w:r w:rsidR="00BE3F6E">
        <w:rPr>
          <w:sz w:val="22"/>
        </w:rPr>
        <w:t xml:space="preserve">. </w:t>
      </w:r>
      <w:r w:rsidR="00BE3F6E" w:rsidRPr="00BE3F6E">
        <w:rPr>
          <w:sz w:val="22"/>
        </w:rPr>
        <w:t>Each parameter is sampled independently while respecting thermodynamic constraints, usually from a log-normal distribution using experimentally observed standard deviations. Thus, the distributions used to sample the parameters reﬂect our uncertainty about the value of</w:t>
      </w:r>
      <w:r w:rsidR="00BE3F6E">
        <w:rPr>
          <w:sz w:val="22"/>
        </w:rPr>
        <w:t xml:space="preserve"> each parameter. In compar</w:t>
      </w:r>
      <w:r w:rsidR="00BE3F6E" w:rsidRPr="00BE3F6E">
        <w:rPr>
          <w:sz w:val="22"/>
        </w:rPr>
        <w:t xml:space="preserve">ison to </w:t>
      </w:r>
      <w:r w:rsidR="006F4850">
        <w:rPr>
          <w:sz w:val="22"/>
        </w:rPr>
        <w:t>[1]</w:t>
      </w:r>
      <w:r w:rsidR="00BE3F6E" w:rsidRPr="00BE3F6E">
        <w:rPr>
          <w:sz w:val="22"/>
        </w:rPr>
        <w:t>, the time limit allowed for a given model to reach steady-state (from the initial values based on the steady-state of the ﬁxed-parameter model) is increased to 1000 minutes (instead of 300) to account for the larger size of the models. This limit is further extended to 10,000,000 for the simulations of the inhibition of 6-phosphogluconate dehydrogenase (</w:t>
      </w:r>
      <w:r w:rsidR="00BE3F6E">
        <w:rPr>
          <w:sz w:val="22"/>
        </w:rPr>
        <w:t>Figures 5, S</w:t>
      </w:r>
      <w:r w:rsidR="006F4850">
        <w:rPr>
          <w:sz w:val="22"/>
        </w:rPr>
        <w:t>6</w:t>
      </w:r>
      <w:r w:rsidR="00927664">
        <w:rPr>
          <w:sz w:val="22"/>
        </w:rPr>
        <w:t>–</w:t>
      </w:r>
      <w:r w:rsidR="006F4850">
        <w:rPr>
          <w:sz w:val="22"/>
        </w:rPr>
        <w:t>7</w:t>
      </w:r>
      <w:r w:rsidR="00BE3F6E" w:rsidRPr="00BE3F6E">
        <w:rPr>
          <w:sz w:val="22"/>
        </w:rPr>
        <w:t>) to allow most models to reach steady-state. Despite this large time limit, a small proportion of the models still are unable to reach steady-state before the time limit due to the accumulation of some metabolites (</w:t>
      </w:r>
      <w:r w:rsidR="00BE3F6E">
        <w:rPr>
          <w:sz w:val="22"/>
        </w:rPr>
        <w:t>Figures S</w:t>
      </w:r>
      <w:bookmarkStart w:id="0" w:name="_GoBack"/>
      <w:bookmarkEnd w:id="0"/>
      <w:r w:rsidR="006F4850">
        <w:rPr>
          <w:sz w:val="22"/>
        </w:rPr>
        <w:t>8</w:t>
      </w:r>
      <w:r w:rsidR="00927664">
        <w:rPr>
          <w:sz w:val="22"/>
        </w:rPr>
        <w:t>–</w:t>
      </w:r>
      <w:r w:rsidR="006F4850">
        <w:rPr>
          <w:sz w:val="22"/>
        </w:rPr>
        <w:t>9</w:t>
      </w:r>
      <w:r w:rsidR="00BE3F6E" w:rsidRPr="00BE3F6E">
        <w:rPr>
          <w:sz w:val="22"/>
        </w:rPr>
        <w:t>).</w:t>
      </w:r>
    </w:p>
    <w:p w:rsidR="00F977E7" w:rsidRPr="008235D7" w:rsidRDefault="00F977E7" w:rsidP="007E03A3">
      <w:pPr>
        <w:spacing w:line="360" w:lineRule="auto"/>
        <w:rPr>
          <w:sz w:val="22"/>
        </w:rPr>
      </w:pPr>
      <w:r w:rsidRPr="008235D7">
        <w:rPr>
          <w:sz w:val="22"/>
        </w:rPr>
        <w:t xml:space="preserve">Except for time series simulations, the results presented in the main manuscript are the steady state values of only those models that were able to reach steady state within 1000 minutes. For the glycolysis part of the models, the parameters and their uncertainties are the same as in </w:t>
      </w:r>
      <w:r w:rsidRPr="008235D7">
        <w:rPr>
          <w:sz w:val="22"/>
        </w:rPr>
        <w:fldChar w:fldCharType="begin"/>
      </w:r>
      <w:r w:rsidR="007E03A3">
        <w:rPr>
          <w:sz w:val="22"/>
        </w:rPr>
        <w:instrText xml:space="preserve"> ADDIN ZOTERO_ITEM CSL_CITATION {"citationID":"58w6QYIy","properties":{"formattedCitation":"[1]","plainCitation":"[1]"},"citationItems":[{"id":244,"uris":["http://zotero.org/users/685052/items/N9GII4TW"],"uri":["http://zotero.org/users/685052/items/N9GII4TW"],"itemData":{"id":244,"type":"article-journal","title":"Dynamic modelling under uncertainty: the case of Trypanosoma brucei energy metabolism","container-title":"PLoS Comput Biol","page":"e1002352","volume":"8","issue":"1","source":"PLoS Comput Biol","abstract":"Author Summary        An increasing number of mathematical models are being built and analysed in order to obtain a better understanding of specific biological systems. These quantitative models contain parameters that need to be measured or estimated. Because of experimental errors or lack of data, our knowledge about these parameters is uncertain. Our work explores the effect of including these uncertainties in model analysis. Therefore, we studied a particularly well curated model of the energy metabolism of the parasite Trypanosoma brucei, responsible for African sleeping sickness. We first collected all the information we could find about how the model parameters were defined on a website, the SilicoTryp wiki (http:///silicotryp.ibls.gla.ac.uk/wiki/). From this information, we were able to quantify our uncertainty about each parameter, thus allowing us to analyse the model while explicitly taking these uncertainties into account. We found that, even though the model was well-defined and most of its parameters were experimentally measured, taking into account the remaining uncertainty allows us to gain more insight into model behavior. We were able to identify previously unrecognised fragilities of the model, leading to new hypotheses amenable to experimental testing.","DOI":"10.1371/journal.pcbi.1002352","shortTitle":"Dynamic Modelling under Uncertainty","journalAbbreviation":"PLoS Comput Biol","author":[{"family":"Achcar","given":"Fiona"},{"family":"Kerkhoven","given":"Eduard J."},{"family":"The SilicoTryp Consortium","given":""},{"family":"Bakker","given":"Barbara M."},{"family":"Barrett","given":"Michael P."},{"family":"Breitling","given":"Rainer"}],"issued":{"date-parts":[["2012",1,19]]},"accessed":{"date-parts":[["2012",1,20]],"season":"10:15:48"}}}],"schema":"https://github.com/citation-style-language/schema/raw/master/csl-citation.json"} </w:instrText>
      </w:r>
      <w:r w:rsidRPr="008235D7">
        <w:rPr>
          <w:sz w:val="22"/>
        </w:rPr>
        <w:fldChar w:fldCharType="separate"/>
      </w:r>
      <w:r w:rsidR="007E03A3" w:rsidRPr="007E03A3">
        <w:rPr>
          <w:sz w:val="22"/>
        </w:rPr>
        <w:t>[1]</w:t>
      </w:r>
      <w:r w:rsidRPr="008235D7">
        <w:rPr>
          <w:sz w:val="22"/>
        </w:rPr>
        <w:fldChar w:fldCharType="end"/>
      </w:r>
      <w:r w:rsidRPr="008235D7">
        <w:rPr>
          <w:sz w:val="22"/>
        </w:rPr>
        <w:t xml:space="preserve"> with the exception of the following parameters:</w:t>
      </w:r>
    </w:p>
    <w:p w:rsidR="00F977E7" w:rsidRPr="008235D7" w:rsidRDefault="00F977E7" w:rsidP="007E03A3">
      <w:pPr>
        <w:pStyle w:val="ListParagraph"/>
        <w:numPr>
          <w:ilvl w:val="0"/>
          <w:numId w:val="1"/>
        </w:numPr>
        <w:spacing w:line="360" w:lineRule="auto"/>
        <w:rPr>
          <w:sz w:val="22"/>
        </w:rPr>
      </w:pPr>
      <w:r w:rsidRPr="008235D7">
        <w:rPr>
          <w:sz w:val="22"/>
        </w:rPr>
        <w:t xml:space="preserve">The </w:t>
      </w:r>
      <w:proofErr w:type="spellStart"/>
      <w:r w:rsidRPr="008235D7">
        <w:rPr>
          <w:sz w:val="22"/>
        </w:rPr>
        <w:t>V</w:t>
      </w:r>
      <w:r w:rsidRPr="008235D7">
        <w:rPr>
          <w:sz w:val="22"/>
          <w:vertAlign w:val="subscript"/>
        </w:rPr>
        <w:t>max</w:t>
      </w:r>
      <w:proofErr w:type="spellEnd"/>
      <w:r w:rsidRPr="008235D7">
        <w:rPr>
          <w:sz w:val="22"/>
        </w:rPr>
        <w:t xml:space="preserve"> of the </w:t>
      </w:r>
      <w:proofErr w:type="spellStart"/>
      <w:r w:rsidRPr="008235D7">
        <w:rPr>
          <w:sz w:val="22"/>
        </w:rPr>
        <w:t>phosphoglycerate</w:t>
      </w:r>
      <w:proofErr w:type="spellEnd"/>
      <w:r w:rsidRPr="008235D7">
        <w:rPr>
          <w:sz w:val="22"/>
        </w:rPr>
        <w:t xml:space="preserve"> </w:t>
      </w:r>
      <w:proofErr w:type="spellStart"/>
      <w:r w:rsidRPr="008235D7">
        <w:rPr>
          <w:sz w:val="22"/>
        </w:rPr>
        <w:t>mutase</w:t>
      </w:r>
      <w:proofErr w:type="spellEnd"/>
      <w:r w:rsidRPr="008235D7">
        <w:rPr>
          <w:sz w:val="22"/>
        </w:rPr>
        <w:t xml:space="preserve"> is still unknown. The accumulation of 3-phosphoglycerate described in </w:t>
      </w:r>
      <w:r w:rsidRPr="008235D7">
        <w:rPr>
          <w:sz w:val="22"/>
        </w:rPr>
        <w:fldChar w:fldCharType="begin"/>
      </w:r>
      <w:r w:rsidR="007E03A3">
        <w:rPr>
          <w:sz w:val="22"/>
        </w:rPr>
        <w:instrText xml:space="preserve"> ADDIN ZOTERO_ITEM CSL_CITATION {"citationID":"Vjad9urS","properties":{"formattedCitation":"[1]","plainCitation":"[1]"},"citationItems":[{"id":244,"uris":["http://zotero.org/users/685052/items/N9GII4TW"],"uri":["http://zotero.org/users/685052/items/N9GII4TW"],"itemData":{"id":244,"type":"article-journal","title":"Dynamic modelling under uncertainty: the case of Trypanosoma brucei energy metabolism","container-title":"PLoS Comput Biol","page":"e1002352","volume":"8","issue":"1","source":"PLoS Comput Biol","abstract":"Author Summary        An increasing number of mathematical models are being built and analysed in order to obtain a better understanding of specific biological systems. These quantitative models contain parameters that need to be measured or estimated. Because of experimental errors or lack of data, our knowledge about these parameters is uncertain. Our work explores the effect of including these uncertainties in model analysis. Therefore, we studied a particularly well curated model of the energy metabolism of the parasite Trypanosoma brucei, responsible for African sleeping sickness. We first collected all the information we could find about how the model parameters were defined on a website, the SilicoTryp wiki (http:///silicotryp.ibls.gla.ac.uk/wiki/). From this information, we were able to quantify our uncertainty about each parameter, thus allowing us to analyse the model while explicitly taking these uncertainties into account. We found that, even though the model was well-defined and most of its parameters were experimentally measured, taking into account the remaining uncertainty allows us to gain more insight into model behavior. We were able to identify previously unrecognised fragilities of the model, leading to new hypotheses amenable to experimental testing.","DOI":"10.1371/journal.pcbi.1002352","shortTitle":"Dynamic Modelling under Uncertainty","journalAbbreviation":"PLoS Comput Biol","author":[{"family":"Achcar","given":"Fiona"},{"family":"Kerkhoven","given":"Eduard J."},{"family":"The SilicoTryp Consortium","given":""},{"family":"Bakker","given":"Barbara M."},{"family":"Barrett","given":"Michael P."},{"family":"Breitling","given":"Rainer"}],"issued":{"date-parts":[["2012",1,19]]},"accessed":{"date-parts":[["2012",1,20]],"season":"10:15:48"}}}],"schema":"https://github.com/citation-style-language/schema/raw/master/csl-citation.json"} </w:instrText>
      </w:r>
      <w:r w:rsidRPr="008235D7">
        <w:rPr>
          <w:sz w:val="22"/>
        </w:rPr>
        <w:fldChar w:fldCharType="separate"/>
      </w:r>
      <w:r w:rsidR="007E03A3" w:rsidRPr="007E03A3">
        <w:rPr>
          <w:sz w:val="22"/>
        </w:rPr>
        <w:t>[1]</w:t>
      </w:r>
      <w:r w:rsidRPr="008235D7">
        <w:rPr>
          <w:sz w:val="22"/>
        </w:rPr>
        <w:fldChar w:fldCharType="end"/>
      </w:r>
      <w:r w:rsidRPr="008235D7">
        <w:rPr>
          <w:sz w:val="22"/>
        </w:rPr>
        <w:t xml:space="preserve"> when this </w:t>
      </w:r>
      <w:proofErr w:type="spellStart"/>
      <w:r w:rsidRPr="008235D7">
        <w:rPr>
          <w:sz w:val="22"/>
        </w:rPr>
        <w:t>V</w:t>
      </w:r>
      <w:r w:rsidRPr="007E03A3">
        <w:rPr>
          <w:sz w:val="22"/>
          <w:vertAlign w:val="subscript"/>
        </w:rPr>
        <w:t>max</w:t>
      </w:r>
      <w:proofErr w:type="spellEnd"/>
      <w:r w:rsidRPr="007E03A3">
        <w:rPr>
          <w:sz w:val="22"/>
        </w:rPr>
        <w:t xml:space="preserve"> </w:t>
      </w:r>
      <w:r w:rsidRPr="008235D7">
        <w:rPr>
          <w:sz w:val="22"/>
        </w:rPr>
        <w:t xml:space="preserve">is sampled in the lower range of its values is still occurring after addition of the pentose phosphate pathway. This issue is not modified by the addition of the pentose phosphate pathway in any of the topologies described in the main text. However, in order to limit the percentage of models that fail to reach steady state before 1000 minutes, we limited the sampling of the </w:t>
      </w:r>
      <w:proofErr w:type="spellStart"/>
      <w:r w:rsidRPr="008235D7">
        <w:rPr>
          <w:sz w:val="22"/>
        </w:rPr>
        <w:t>V</w:t>
      </w:r>
      <w:r w:rsidRPr="008235D7">
        <w:rPr>
          <w:sz w:val="22"/>
          <w:vertAlign w:val="subscript"/>
        </w:rPr>
        <w:t>max</w:t>
      </w:r>
      <w:proofErr w:type="spellEnd"/>
      <w:r w:rsidRPr="008235D7">
        <w:rPr>
          <w:sz w:val="22"/>
        </w:rPr>
        <w:t xml:space="preserve"> of the </w:t>
      </w:r>
      <w:proofErr w:type="spellStart"/>
      <w:r w:rsidRPr="008235D7">
        <w:rPr>
          <w:sz w:val="22"/>
        </w:rPr>
        <w:t>phosphoglycerate</w:t>
      </w:r>
      <w:proofErr w:type="spellEnd"/>
      <w:r w:rsidRPr="008235D7">
        <w:rPr>
          <w:sz w:val="22"/>
        </w:rPr>
        <w:t xml:space="preserve"> </w:t>
      </w:r>
      <w:proofErr w:type="spellStart"/>
      <w:r w:rsidRPr="008235D7">
        <w:rPr>
          <w:sz w:val="22"/>
        </w:rPr>
        <w:t>mutase</w:t>
      </w:r>
      <w:proofErr w:type="spellEnd"/>
      <w:r w:rsidRPr="008235D7">
        <w:rPr>
          <w:sz w:val="22"/>
        </w:rPr>
        <w:t xml:space="preserve"> so that 95 % of the models have values in the range [202.5; 250] with a median of 225 </w:t>
      </w:r>
      <w:proofErr w:type="spellStart"/>
      <w:r w:rsidRPr="008235D7">
        <w:rPr>
          <w:sz w:val="22"/>
        </w:rPr>
        <w:t>nmol</w:t>
      </w:r>
      <w:proofErr w:type="spellEnd"/>
      <w:r w:rsidRPr="008235D7">
        <w:rPr>
          <w:sz w:val="22"/>
        </w:rPr>
        <w:t xml:space="preserve"> · min</w:t>
      </w:r>
      <w:r w:rsidRPr="008235D7">
        <w:rPr>
          <w:sz w:val="22"/>
          <w:vertAlign w:val="superscript"/>
        </w:rPr>
        <w:t>–1</w:t>
      </w:r>
      <w:r w:rsidRPr="008235D7">
        <w:rPr>
          <w:sz w:val="22"/>
        </w:rPr>
        <w:t xml:space="preserve"> · mg protein</w:t>
      </w:r>
      <w:r w:rsidRPr="008235D7">
        <w:rPr>
          <w:sz w:val="22"/>
          <w:vertAlign w:val="superscript"/>
        </w:rPr>
        <w:t>–1</w:t>
      </w:r>
      <w:r w:rsidRPr="008235D7">
        <w:rPr>
          <w:sz w:val="22"/>
        </w:rPr>
        <w:t xml:space="preserve"> (distribution is log normal </w:t>
      </w:r>
      <w:r w:rsidRPr="008235D7">
        <w:rPr>
          <w:sz w:val="22"/>
        </w:rPr>
        <w:fldChar w:fldCharType="begin"/>
      </w:r>
      <w:r w:rsidR="007E03A3">
        <w:rPr>
          <w:sz w:val="22"/>
        </w:rPr>
        <w:instrText xml:space="preserve"> ADDIN ZOTERO_ITEM CSL_CITATION {"citationID":"XaZAmv4X","properties":{"formattedCitation":"[1]","plainCitation":"[1]"},"citationItems":[{"id":244,"uris":["http://zotero.org/users/685052/items/N9GII4TW"],"uri":["http://zotero.org/users/685052/items/N9GII4TW"],"itemData":{"id":244,"type":"article-journal","title":"Dynamic modelling under uncertainty: the case of Trypanosoma brucei energy metabolism","container-title":"PLoS Comput Biol","page":"e1002352","volume":"8","issue":"1","source":"PLoS Comput Biol","abstract":"Author Summary        An increasing number of mathematical models are being built and analysed in order to obtain a better understanding of specific biological systems. These quantitative models contain parameters that need to be measured or estimated. Because of experimental errors or lack of data, our knowledge about these parameters is uncertain. Our work explores the effect of including these uncertainties in model analysis. Therefore, we studied a particularly well curated model of the energy metabolism of the parasite Trypanosoma brucei, responsible for African sleeping sickness. We first collected all the information we could find about how the model parameters were defined on a website, the SilicoTryp wiki (http:///silicotryp.ibls.gla.ac.uk/wiki/). From this information, we were able to quantify our uncertainty about each parameter, thus allowing us to analyse the model while explicitly taking these uncertainties into account. We found that, even though the model was well-defined and most of its parameters were experimentally measured, taking into account the remaining uncertainty allows us to gain more insight into model behavior. We were able to identify previously unrecognised fragilities of the model, leading to new hypotheses amenable to experimental testing.","DOI":"10.1371/journal.pcbi.1002352","shortTitle":"Dynamic Modelling under Uncertainty","journalAbbreviation":"PLoS Comput Biol","author":[{"family":"Achcar","given":"Fiona"},{"family":"Kerkhoven","given":"Eduard J."},{"family":"The SilicoTryp Consortium","given":""},{"family":"Bakker","given":"Barbara M."},{"family":"Barrett","given":"Michael P."},{"family":"Breitling","given":"Rainer"}],"issued":{"date-parts":[["2012",1,19]]},"accessed":{"date-parts":[["2012",1,20]],"season":"10:15:48"}}}],"schema":"https://github.com/citation-style-language/schema/raw/master/csl-citation.json"} </w:instrText>
      </w:r>
      <w:r w:rsidRPr="008235D7">
        <w:rPr>
          <w:sz w:val="22"/>
        </w:rPr>
        <w:fldChar w:fldCharType="separate"/>
      </w:r>
      <w:r w:rsidR="007E03A3" w:rsidRPr="007E03A3">
        <w:rPr>
          <w:sz w:val="22"/>
        </w:rPr>
        <w:t>[1]</w:t>
      </w:r>
      <w:r w:rsidRPr="008235D7">
        <w:rPr>
          <w:sz w:val="22"/>
        </w:rPr>
        <w:fldChar w:fldCharType="end"/>
      </w:r>
      <w:r w:rsidRPr="008235D7">
        <w:rPr>
          <w:sz w:val="22"/>
        </w:rPr>
        <w:t>).</w:t>
      </w:r>
    </w:p>
    <w:p w:rsidR="00F977E7" w:rsidRPr="008235D7" w:rsidRDefault="00F977E7" w:rsidP="006F4850">
      <w:pPr>
        <w:pStyle w:val="ListParagraph"/>
        <w:numPr>
          <w:ilvl w:val="0"/>
          <w:numId w:val="1"/>
        </w:numPr>
        <w:spacing w:line="360" w:lineRule="auto"/>
        <w:rPr>
          <w:sz w:val="22"/>
        </w:rPr>
      </w:pPr>
      <w:r w:rsidRPr="008235D7">
        <w:rPr>
          <w:sz w:val="22"/>
        </w:rPr>
        <w:t xml:space="preserve">The </w:t>
      </w:r>
      <w:proofErr w:type="spellStart"/>
      <w:r w:rsidRPr="008235D7">
        <w:rPr>
          <w:sz w:val="22"/>
        </w:rPr>
        <w:t>V</w:t>
      </w:r>
      <w:r w:rsidRPr="008235D7">
        <w:rPr>
          <w:sz w:val="22"/>
          <w:vertAlign w:val="subscript"/>
        </w:rPr>
        <w:t>max</w:t>
      </w:r>
      <w:proofErr w:type="spellEnd"/>
      <w:r w:rsidRPr="008235D7">
        <w:rPr>
          <w:sz w:val="22"/>
        </w:rPr>
        <w:t xml:space="preserve"> of the pyruvate transporter is set using the median value and standard deviation calculated from </w:t>
      </w:r>
      <w:r w:rsidRPr="008235D7">
        <w:rPr>
          <w:sz w:val="22"/>
        </w:rPr>
        <w:fldChar w:fldCharType="begin"/>
      </w:r>
      <w:r w:rsidR="007E03A3">
        <w:rPr>
          <w:sz w:val="22"/>
        </w:rPr>
        <w:instrText xml:space="preserve"> ADDIN ZOTERO_ITEM CSL_CITATION {"citationID":"27gftgi2ng","properties":{"formattedCitation":"[2]","plainCitation":"[2]"},"citationItems":[{"id":206,"uris":["http://zotero.org/users/685052/items/IM8TAH6X"],"uri":["http://zotero.org/users/685052/items/IM8TAH6X"],"itemData":{"id":206,"type":"article-journal","title":"A pyruvate-proton symport and an H+-ATPase regulate the intracellular pH of Trypanosoma brucei at different stages of its life cycle","container-title":"The Biochemical Journal","page":"53-62","volume":"346 Pt 1","source":"NCBI PubMed","abstract":"Regulation of intracellular pH (pH(i)) and H(+) efflux were investigated in Trypanosoma brucei bloodstream and procyclic trypomastigotes using the fluorescent dyes 2', 7'-bis-(2-carboxyethyl)-5(6)-carboxyfluorescein (BCECF) acetoxymethyl ester and free BCECF respectively. pH(i) in bloodstream and procyclic trypomastigotes was 7.47+/-0.06 and 7. 53+/-0.07 respectively. Differences in the mechanisms for the regulation of pH(i) were noted between bloodstream and procyclic forms. Procyclic trypomastigotes maintained their pH(i) at neutral over a wide range of external pH values from 6 to 8, and in the absence of K(+) or Na(+). The H(+)-ATPase inhibitors N, N'-dicyclohexylcarbodi-imide (DCCD), diethylstilboestrol and N-ethylmaleimide substantially decreased the steady-state pH(i) and inhibited its recovery from acidification. The rate of H(+) efflux in these forms was determined to be 62+/-6.5 nmol/min per mg of protein, and was substantially decreased by H(+)-ATPase inhibitors. The data support the presence of an H(+)-ATPase as the major regulator of pH(i) in procyclic trypomastigotes. In contrast, bloodstream trypomastigotes were unable to maintain a neutral pH under acidic conditions, and their steady-state pH(i) and recovery from acidification were unaffected by H(+)-ATPase inhibitors, except for DCCD (100 microM). Their steady-state pH(i) was markedly decreased in glucose-free buffer or by &gt;/=10 mM pyruvate, whereas procyclic trypomastigotes were unaffected by similar treatments. The rate of H(+) efflux in bloodstream trypomastigotes was 534+/-38 nmol/min per mg of protein, and was decreased in the absence of glucose and by the addition of pyruvate or DCCD. Pyruvate efflux in these forms was calculated to be 499+/-34 nmol/min per mg of protein, and was significantly inhibited by DCCD, 4, 4'-di-isothiocyanatodihydrostilbene-2,2'-disulphonic acid and alpha-cyanohydroxycinnamic acid. The pyruvate analogues beta-hydroxypyruvate, 3-bromopyruvate, 3-oxoglutarate, oxaloacetate, 3-oxoisovalerate and 3-oxoisohexanoate significantly decreased pH(i), as well as proton and pyruvate efflux, whereas lactate had only a small effect, and no effect was observed with citrate or fumarate. The inhibition by pyruvate analogues of pyruvate efflux, proton efflux and acidification of pH(i) supports the hypothesis that pyruvate efflux is accompanied by proton efflux and that this is the major pH(i) control mechanism in bloodstream forms. Inhibition by H(+)-ATPase inhibitors of residual H(+) efflux in the absence of glucose or in the presence of high extracellular pyruvate indicates a minor role for H(+)-ATPase(s) in control of pH(i) in bloodstream forms.","ISSN":"0264-6021","note":"PMID: 10657239","journalAbbreviation":"Biochem. J.","author":[{"family":"Vanderheyden","given":"N"},{"family":"Wong","given":"J"},{"family":"Docampo","given":"R"}],"issued":{"date-parts":[["2000",2,15]]},"accessed":{"date-parts":[["2011",10,24]]},"PMID":"10657239"}}],"schema":"https://github.com/citation-style-language/schema/raw/master/csl-citation.json"} </w:instrText>
      </w:r>
      <w:r w:rsidRPr="008235D7">
        <w:rPr>
          <w:sz w:val="22"/>
        </w:rPr>
        <w:fldChar w:fldCharType="separate"/>
      </w:r>
      <w:r w:rsidR="007E03A3" w:rsidRPr="007E03A3">
        <w:rPr>
          <w:sz w:val="22"/>
        </w:rPr>
        <w:t>[2]</w:t>
      </w:r>
      <w:r w:rsidRPr="008235D7">
        <w:rPr>
          <w:sz w:val="22"/>
        </w:rPr>
        <w:fldChar w:fldCharType="end"/>
      </w:r>
      <w:r w:rsidRPr="008235D7">
        <w:rPr>
          <w:sz w:val="22"/>
        </w:rPr>
        <w:t xml:space="preserve"> as described in </w:t>
      </w:r>
      <w:r w:rsidRPr="008235D7">
        <w:rPr>
          <w:sz w:val="22"/>
        </w:rPr>
        <w:fldChar w:fldCharType="begin"/>
      </w:r>
      <w:r w:rsidR="007E03A3">
        <w:rPr>
          <w:sz w:val="22"/>
        </w:rPr>
        <w:instrText xml:space="preserve"> ADDIN ZOTERO_ITEM CSL_CITATION {"citationID":"prn2sVnq","properties":{"formattedCitation":"[1]","plainCitation":"[1]"},"citationItems":[{"id":244,"uris":["http://zotero.org/users/685052/items/N9GII4TW"],"uri":["http://zotero.org/users/685052/items/N9GII4TW"],"itemData":{"id":244,"type":"article-journal","title":"Dynamic modelling under uncertainty: the case of Trypanosoma brucei energy metabolism","container-title":"PLoS Comput Biol","page":"e1002352","volume":"8","issue":"1","source":"PLoS Comput Biol","abstract":"Author Summary        An increasing number of mathematical models are being built and analysed in order to obtain a better understanding of specific biological systems. These quantitative models contain parameters that need to be measured or estimated. Because of experimental errors or lack of data, our knowledge about these parameters is uncertain. Our work explores the effect of including these uncertainties in model analysis. Therefore, we studied a particularly well curated model of the energy metabolism of the parasite Trypanosoma brucei, responsible for African sleeping sickness. We first collected all the information we could find about how the model parameters were defined on a website, the SilicoTryp wiki (http:///silicotryp.ibls.gla.ac.uk/wiki/). From this information, we were able to quantify our uncertainty about each parameter, thus allowing us to analyse the model while explicitly taking these uncertainties into account. We found that, even though the model was well-defined and most of its parameters were experimentally measured, taking into account the remaining uncertainty allows us to gain more insight into model behavior. We were able to identify previously unrecognised fragilities of the model, leading to new hypotheses amenable to experimental testing.","DOI":"10.1371/journal.pcbi.1002352","shortTitle":"Dynamic Modelling under Uncertainty","journalAbbreviation":"PLoS Comput Biol","author":[{"family":"Achcar","given":"Fiona"},{"family":"Kerkhoven","given":"Eduard J."},{"family":"The SilicoTryp Consortium","given":""},{"family":"Bakker","given":"Barbara M."},{"family":"Barrett","given":"Michael P."},{"family":"Breitling","given":"Rainer"}],"issued":{"date-parts":[["2012",1,19]]},"accessed":{"date-parts":[["2012",1,20]],"season":"10:15:48"}}}],"schema":"https://github.com/citation-style-language/schema/raw/master/csl-citation.json"} </w:instrText>
      </w:r>
      <w:r w:rsidRPr="008235D7">
        <w:rPr>
          <w:sz w:val="22"/>
        </w:rPr>
        <w:fldChar w:fldCharType="separate"/>
      </w:r>
      <w:r w:rsidR="007E03A3" w:rsidRPr="007E03A3">
        <w:rPr>
          <w:sz w:val="22"/>
        </w:rPr>
        <w:t>[1]</w:t>
      </w:r>
      <w:r w:rsidRPr="008235D7">
        <w:rPr>
          <w:sz w:val="22"/>
        </w:rPr>
        <w:fldChar w:fldCharType="end"/>
      </w:r>
      <w:r w:rsidRPr="008235D7">
        <w:rPr>
          <w:sz w:val="22"/>
        </w:rPr>
        <w:t xml:space="preserve">. Similarly, as for the </w:t>
      </w:r>
      <w:proofErr w:type="spellStart"/>
      <w:r w:rsidRPr="008235D7">
        <w:rPr>
          <w:sz w:val="22"/>
        </w:rPr>
        <w:t>phosphoglycerate</w:t>
      </w:r>
      <w:proofErr w:type="spellEnd"/>
      <w:r w:rsidRPr="008235D7">
        <w:rPr>
          <w:sz w:val="22"/>
        </w:rPr>
        <w:t xml:space="preserve"> </w:t>
      </w:r>
      <w:proofErr w:type="spellStart"/>
      <w:r w:rsidRPr="008235D7">
        <w:rPr>
          <w:sz w:val="22"/>
        </w:rPr>
        <w:t>mutase</w:t>
      </w:r>
      <w:proofErr w:type="spellEnd"/>
      <w:r w:rsidRPr="008235D7">
        <w:rPr>
          <w:sz w:val="22"/>
        </w:rPr>
        <w:t xml:space="preserve">, the accumulation of  pyruvate observed when the </w:t>
      </w:r>
      <w:proofErr w:type="spellStart"/>
      <w:r w:rsidRPr="008235D7">
        <w:rPr>
          <w:sz w:val="22"/>
        </w:rPr>
        <w:t>V</w:t>
      </w:r>
      <w:r w:rsidRPr="006F4850">
        <w:rPr>
          <w:sz w:val="22"/>
          <w:vertAlign w:val="subscript"/>
        </w:rPr>
        <w:t>max</w:t>
      </w:r>
      <w:proofErr w:type="spellEnd"/>
      <w:r w:rsidRPr="008235D7">
        <w:rPr>
          <w:sz w:val="22"/>
        </w:rPr>
        <w:t xml:space="preserve"> of the pyruvate transporter is in the lower range of its values is not modified by the addition of the pentose phosphate pathway.</w:t>
      </w:r>
    </w:p>
    <w:p w:rsidR="00F977E7" w:rsidRPr="008235D7" w:rsidRDefault="00F977E7" w:rsidP="007E03A3">
      <w:pPr>
        <w:spacing w:line="360" w:lineRule="auto"/>
        <w:rPr>
          <w:sz w:val="22"/>
        </w:rPr>
      </w:pPr>
      <w:r w:rsidRPr="008235D7">
        <w:rPr>
          <w:b/>
          <w:sz w:val="22"/>
        </w:rPr>
        <w:t>New parameters:</w:t>
      </w:r>
      <w:r w:rsidRPr="008235D7">
        <w:rPr>
          <w:sz w:val="22"/>
        </w:rPr>
        <w:t xml:space="preserve"> The parameters of the newly added reactions are sampled using the same rules as used for the glycolysis parameters. The median values are set as the fixed parameter values described in the main article unless specified otherwise below. The standard deviations are set as described in the sources of the fixed-parameter values, when these mention a standard deviation or standard error of mean or using the mean standard error of the other measured parameters as described in </w:t>
      </w:r>
      <w:r w:rsidR="006F4850">
        <w:rPr>
          <w:sz w:val="22"/>
        </w:rPr>
        <w:t>[1]</w:t>
      </w:r>
      <w:r w:rsidRPr="008235D7">
        <w:rPr>
          <w:sz w:val="22"/>
        </w:rPr>
        <w:t>.</w:t>
      </w:r>
    </w:p>
    <w:p w:rsidR="00F977E7" w:rsidRPr="008235D7" w:rsidRDefault="00F977E7" w:rsidP="007E03A3">
      <w:pPr>
        <w:spacing w:line="360" w:lineRule="auto"/>
        <w:rPr>
          <w:sz w:val="22"/>
        </w:rPr>
      </w:pPr>
      <w:r w:rsidRPr="008235D7">
        <w:rPr>
          <w:b/>
          <w:sz w:val="22"/>
        </w:rPr>
        <w:lastRenderedPageBreak/>
        <w:t xml:space="preserve">Exceptions: </w:t>
      </w:r>
      <w:r w:rsidRPr="008235D7">
        <w:rPr>
          <w:sz w:val="22"/>
        </w:rPr>
        <w:t>The following parameter values remains fixed unless mentioned otherwise:</w:t>
      </w:r>
    </w:p>
    <w:p w:rsidR="00F977E7" w:rsidRPr="008235D7" w:rsidRDefault="00F977E7" w:rsidP="007E03A3">
      <w:pPr>
        <w:pStyle w:val="ListParagraph"/>
        <w:numPr>
          <w:ilvl w:val="0"/>
          <w:numId w:val="2"/>
        </w:numPr>
        <w:spacing w:line="360" w:lineRule="auto"/>
        <w:rPr>
          <w:sz w:val="22"/>
        </w:rPr>
      </w:pPr>
      <w:r w:rsidRPr="008235D7">
        <w:rPr>
          <w:sz w:val="22"/>
        </w:rPr>
        <w:t>The parameters of the black-box reactions of NADPH utili</w:t>
      </w:r>
      <w:r w:rsidR="00927664">
        <w:rPr>
          <w:sz w:val="22"/>
        </w:rPr>
        <w:t>z</w:t>
      </w:r>
      <w:r w:rsidRPr="008235D7">
        <w:rPr>
          <w:sz w:val="22"/>
        </w:rPr>
        <w:t xml:space="preserve">ation in the cytosol and the </w:t>
      </w:r>
      <w:proofErr w:type="spellStart"/>
      <w:r w:rsidRPr="008235D7">
        <w:rPr>
          <w:sz w:val="22"/>
        </w:rPr>
        <w:t>glycosome</w:t>
      </w:r>
      <w:proofErr w:type="spellEnd"/>
      <w:r w:rsidRPr="008235D7">
        <w:rPr>
          <w:sz w:val="22"/>
        </w:rPr>
        <w:t>.</w:t>
      </w:r>
    </w:p>
    <w:p w:rsidR="00F977E7" w:rsidRPr="008235D7" w:rsidRDefault="00F977E7" w:rsidP="007E03A3">
      <w:pPr>
        <w:pStyle w:val="ListParagraph"/>
        <w:numPr>
          <w:ilvl w:val="0"/>
          <w:numId w:val="2"/>
        </w:numPr>
        <w:spacing w:line="360" w:lineRule="auto"/>
        <w:rPr>
          <w:sz w:val="22"/>
        </w:rPr>
      </w:pPr>
      <w:r w:rsidRPr="008235D7">
        <w:rPr>
          <w:sz w:val="22"/>
        </w:rPr>
        <w:t>The parameters of the ATP</w:t>
      </w:r>
      <w:proofErr w:type="gramStart"/>
      <w:r w:rsidRPr="008235D7">
        <w:rPr>
          <w:sz w:val="22"/>
        </w:rPr>
        <w:t>:ADP</w:t>
      </w:r>
      <w:proofErr w:type="gramEnd"/>
      <w:r w:rsidRPr="008235D7">
        <w:rPr>
          <w:sz w:val="22"/>
        </w:rPr>
        <w:t xml:space="preserve"> </w:t>
      </w:r>
      <w:proofErr w:type="spellStart"/>
      <w:r w:rsidRPr="008235D7">
        <w:rPr>
          <w:sz w:val="22"/>
        </w:rPr>
        <w:t>antiporter</w:t>
      </w:r>
      <w:proofErr w:type="spellEnd"/>
      <w:r w:rsidRPr="008235D7">
        <w:rPr>
          <w:sz w:val="22"/>
        </w:rPr>
        <w:t>.</w:t>
      </w:r>
    </w:p>
    <w:p w:rsidR="00F977E7" w:rsidRPr="008235D7" w:rsidRDefault="00F977E7" w:rsidP="007E03A3">
      <w:pPr>
        <w:pStyle w:val="ListParagraph"/>
        <w:numPr>
          <w:ilvl w:val="0"/>
          <w:numId w:val="2"/>
        </w:numPr>
        <w:spacing w:line="360" w:lineRule="auto"/>
        <w:rPr>
          <w:sz w:val="22"/>
        </w:rPr>
      </w:pPr>
      <w:r w:rsidRPr="008235D7">
        <w:rPr>
          <w:sz w:val="22"/>
        </w:rPr>
        <w:t xml:space="preserve">The parameter </w:t>
      </w:r>
      <w:proofErr w:type="spellStart"/>
      <w:r w:rsidRPr="008235D7">
        <w:rPr>
          <w:i/>
          <w:sz w:val="22"/>
        </w:rPr>
        <w:t>k</w:t>
      </w:r>
      <w:r w:rsidRPr="008235D7">
        <w:rPr>
          <w:i/>
          <w:sz w:val="22"/>
          <w:vertAlign w:val="subscript"/>
        </w:rPr>
        <w:t>TOX</w:t>
      </w:r>
      <w:proofErr w:type="spellEnd"/>
      <w:r w:rsidRPr="008235D7">
        <w:rPr>
          <w:sz w:val="22"/>
          <w:vertAlign w:val="subscript"/>
        </w:rPr>
        <w:t xml:space="preserve"> </w:t>
      </w:r>
      <w:r w:rsidRPr="008235D7">
        <w:rPr>
          <w:sz w:val="22"/>
        </w:rPr>
        <w:t xml:space="preserve">of </w:t>
      </w:r>
      <w:proofErr w:type="spellStart"/>
      <w:r w:rsidRPr="008235D7">
        <w:rPr>
          <w:sz w:val="22"/>
        </w:rPr>
        <w:t>trypanothione</w:t>
      </w:r>
      <w:proofErr w:type="spellEnd"/>
      <w:r w:rsidRPr="008235D7">
        <w:rPr>
          <w:sz w:val="22"/>
        </w:rPr>
        <w:t xml:space="preserve"> oxidation.</w:t>
      </w:r>
    </w:p>
    <w:p w:rsidR="00F977E7" w:rsidRPr="008235D7" w:rsidRDefault="00F977E7" w:rsidP="007E03A3">
      <w:pPr>
        <w:spacing w:line="360" w:lineRule="auto"/>
        <w:rPr>
          <w:sz w:val="22"/>
        </w:rPr>
      </w:pPr>
      <w:proofErr w:type="spellStart"/>
      <w:r w:rsidRPr="008235D7">
        <w:rPr>
          <w:b/>
          <w:sz w:val="22"/>
        </w:rPr>
        <w:t>V</w:t>
      </w:r>
      <w:r w:rsidRPr="008235D7">
        <w:rPr>
          <w:b/>
          <w:sz w:val="22"/>
          <w:vertAlign w:val="subscript"/>
        </w:rPr>
        <w:t>max</w:t>
      </w:r>
      <w:proofErr w:type="spellEnd"/>
      <w:r w:rsidRPr="008235D7">
        <w:rPr>
          <w:b/>
          <w:sz w:val="22"/>
        </w:rPr>
        <w:t xml:space="preserve"> of enzymes present in both the cytosol and the </w:t>
      </w:r>
      <w:proofErr w:type="spellStart"/>
      <w:r w:rsidRPr="008235D7">
        <w:rPr>
          <w:b/>
          <w:sz w:val="22"/>
        </w:rPr>
        <w:t>glycosome</w:t>
      </w:r>
      <w:proofErr w:type="spellEnd"/>
      <w:r w:rsidRPr="008235D7">
        <w:rPr>
          <w:b/>
          <w:sz w:val="22"/>
        </w:rPr>
        <w:t>:</w:t>
      </w:r>
      <w:r w:rsidRPr="008235D7">
        <w:rPr>
          <w:sz w:val="22"/>
        </w:rPr>
        <w:t xml:space="preserve"> The total activity is sampled as described above. The cytosolic fraction is then computed from this total activity and the fixed percentage of activity as described in the main article, the rest of the activity is the </w:t>
      </w:r>
      <w:proofErr w:type="spellStart"/>
      <w:r w:rsidRPr="008235D7">
        <w:rPr>
          <w:sz w:val="22"/>
        </w:rPr>
        <w:t>glycosomal</w:t>
      </w:r>
      <w:proofErr w:type="spellEnd"/>
      <w:r w:rsidRPr="008235D7">
        <w:rPr>
          <w:sz w:val="22"/>
        </w:rPr>
        <w:t xml:space="preserve"> activity. This percentage of cytosolic activity is fixed except for the cytosolic hexokinase activity, which is sampled from a uniform distribution between 1 and 10 percent, as its value has an important impact on some of the results as described in the main article.</w:t>
      </w:r>
    </w:p>
    <w:p w:rsidR="00F977E7" w:rsidRPr="008235D7" w:rsidRDefault="00F977E7" w:rsidP="007E03A3">
      <w:pPr>
        <w:spacing w:line="360" w:lineRule="auto"/>
        <w:rPr>
          <w:sz w:val="22"/>
        </w:rPr>
      </w:pPr>
      <w:r w:rsidRPr="008235D7">
        <w:rPr>
          <w:b/>
          <w:sz w:val="22"/>
        </w:rPr>
        <w:t xml:space="preserve">Glucose-6-phosphate phosphatase </w:t>
      </w:r>
      <w:proofErr w:type="spellStart"/>
      <w:r w:rsidRPr="008235D7">
        <w:rPr>
          <w:b/>
          <w:sz w:val="22"/>
        </w:rPr>
        <w:t>V</w:t>
      </w:r>
      <w:r w:rsidRPr="008235D7">
        <w:rPr>
          <w:b/>
          <w:sz w:val="22"/>
          <w:vertAlign w:val="subscript"/>
        </w:rPr>
        <w:t>max</w:t>
      </w:r>
      <w:proofErr w:type="spellEnd"/>
      <w:r w:rsidRPr="008235D7">
        <w:rPr>
          <w:b/>
          <w:sz w:val="22"/>
        </w:rPr>
        <w:t>:</w:t>
      </w:r>
      <w:r w:rsidRPr="008235D7">
        <w:rPr>
          <w:sz w:val="22"/>
        </w:rPr>
        <w:t xml:space="preserve"> This value is unknown. It is sampled from a uniform distribution between 1 and 40 </w:t>
      </w:r>
      <w:proofErr w:type="spellStart"/>
      <w:r w:rsidRPr="008235D7">
        <w:rPr>
          <w:sz w:val="22"/>
        </w:rPr>
        <w:t>nmol</w:t>
      </w:r>
      <w:proofErr w:type="spellEnd"/>
      <w:r w:rsidRPr="008235D7">
        <w:rPr>
          <w:sz w:val="22"/>
        </w:rPr>
        <w:t xml:space="preserve"> · min</w:t>
      </w:r>
      <w:r w:rsidRPr="008235D7">
        <w:rPr>
          <w:sz w:val="22"/>
          <w:vertAlign w:val="superscript"/>
        </w:rPr>
        <w:t>–1</w:t>
      </w:r>
      <w:r w:rsidRPr="008235D7">
        <w:rPr>
          <w:sz w:val="22"/>
        </w:rPr>
        <w:t xml:space="preserve"> · mg protein</w:t>
      </w:r>
      <w:r w:rsidRPr="008235D7">
        <w:rPr>
          <w:sz w:val="22"/>
          <w:vertAlign w:val="superscript"/>
        </w:rPr>
        <w:t>–1</w:t>
      </w:r>
      <w:r w:rsidRPr="008235D7">
        <w:rPr>
          <w:sz w:val="22"/>
        </w:rPr>
        <w:t xml:space="preserve"> (this latter value is in the range of the measured total phosphatase activity reported in </w:t>
      </w:r>
      <w:r w:rsidRPr="008235D7">
        <w:rPr>
          <w:sz w:val="22"/>
        </w:rPr>
        <w:fldChar w:fldCharType="begin"/>
      </w:r>
      <w:r w:rsidR="007E03A3">
        <w:rPr>
          <w:sz w:val="22"/>
        </w:rPr>
        <w:instrText xml:space="preserve"> ADDIN ZOTERO_ITEM CSL_CITATION {"citationID":"r33q49n99","properties":{"formattedCitation":"[3]","plainCitation":"[3]"},"citationItems":[{"id":366,"uris":["http://zotero.org/users/685052/items/VXVUM2M5"],"uri":["http://zotero.org/users/685052/items/VXVUM2M5"],"itemData":{"id":366,"type":"article-journal","title":"The association of distinct acid phosphatases with the flagella pocket and surface membrane fractions obtained from bloodstream forms of Trypanosoma rhodesiense","container-title":"Molecular and Cellular Biochemistry","page":"177-184","volume":"70","issue":"2","source":"NCBI PubMed","abstract":"Cell fractionation of bloodstream Trypanosoma rhodesiense, using isopycnic sucrose gradient centrifugation, reveals acid phosphatase activities against a range of substrates to be associated, to varying degrees, with subcellular particle populations identified as derived from flagella pocket membrane and surface membrane. Using these same substrates (alpha and beta glycerophosphate, p-nitrophenyl phosphate and glucose-6-phosphate) at least two distinct acid phosphatase activities can be distinguished. One is thermolabile (approximately 80% inactivated after 30 min. at 60 degrees C), sensitive to tartrate (50% inhibited at 1.8 mM Na tartrate) with a pH optimum approximately 4.5 and appears to exhibit little substrate preference. The other acid phosphatase is relatively heat stable (approximately 30% inactivated), insensitive to tartrate (greater than 5.0% inhibited using 1.8 mM Na tartrate) exhibits a somewhat higher pH optimum (approximately 6.0) and is more substrate specific (6X more active toward glucose-6-PO4 than beta-glycerophosphate). Further cell fractionation experiments reveal 85% of the tartrate sensitive acid phosphatase to be associated with flagella pocket membrane and to account for 80% of the organisms hydrolytic activity toward beta-glycerophosphate. The tartrate resistant acid phosphatase however, has a much less exclusive localization being almost equally distributed between surface membrane (40%) and flagella pocket membrane (60%).","ISSN":"0300-8177","note":"PMID: 3014309","journalAbbreviation":"Mol. Cell. Biochem.","author":[{"family":"McLaughlin","given":"J"}],"issued":{"date-parts":[["1986",5]]},"accessed":{"date-parts":[["2011",10,20]]},"PMID":"3014309"}}],"schema":"https://github.com/citation-style-language/schema/raw/master/csl-citation.json"} </w:instrText>
      </w:r>
      <w:r w:rsidRPr="008235D7">
        <w:rPr>
          <w:sz w:val="22"/>
        </w:rPr>
        <w:fldChar w:fldCharType="separate"/>
      </w:r>
      <w:r w:rsidR="007E03A3" w:rsidRPr="007E03A3">
        <w:rPr>
          <w:sz w:val="22"/>
        </w:rPr>
        <w:t>[3]</w:t>
      </w:r>
      <w:r w:rsidRPr="008235D7">
        <w:rPr>
          <w:sz w:val="22"/>
        </w:rPr>
        <w:fldChar w:fldCharType="end"/>
      </w:r>
      <w:r w:rsidRPr="008235D7">
        <w:rPr>
          <w:sz w:val="22"/>
        </w:rPr>
        <w:t>).</w:t>
      </w:r>
    </w:p>
    <w:p w:rsidR="00F977E7" w:rsidRPr="008235D7" w:rsidRDefault="00F977E7" w:rsidP="007E03A3">
      <w:pPr>
        <w:spacing w:line="360" w:lineRule="auto"/>
        <w:rPr>
          <w:sz w:val="22"/>
        </w:rPr>
      </w:pPr>
      <w:proofErr w:type="spellStart"/>
      <w:r w:rsidRPr="008235D7">
        <w:rPr>
          <w:b/>
          <w:sz w:val="22"/>
        </w:rPr>
        <w:t>Ribokinase</w:t>
      </w:r>
      <w:proofErr w:type="spellEnd"/>
      <w:r w:rsidRPr="008235D7">
        <w:rPr>
          <w:b/>
          <w:sz w:val="22"/>
        </w:rPr>
        <w:t xml:space="preserve"> </w:t>
      </w:r>
      <w:proofErr w:type="spellStart"/>
      <w:r w:rsidRPr="008235D7">
        <w:rPr>
          <w:b/>
          <w:sz w:val="22"/>
        </w:rPr>
        <w:t>V</w:t>
      </w:r>
      <w:r w:rsidRPr="008235D7">
        <w:rPr>
          <w:b/>
          <w:sz w:val="22"/>
          <w:vertAlign w:val="subscript"/>
        </w:rPr>
        <w:t>max</w:t>
      </w:r>
      <w:proofErr w:type="spellEnd"/>
      <w:r w:rsidRPr="008235D7">
        <w:rPr>
          <w:b/>
          <w:sz w:val="22"/>
        </w:rPr>
        <w:t>:</w:t>
      </w:r>
      <w:r w:rsidRPr="008235D7">
        <w:rPr>
          <w:sz w:val="22"/>
        </w:rPr>
        <w:t xml:space="preserve"> This value is unknown. As the equilibrium constant of </w:t>
      </w:r>
      <w:proofErr w:type="spellStart"/>
      <w:r w:rsidRPr="008235D7">
        <w:rPr>
          <w:sz w:val="22"/>
        </w:rPr>
        <w:t>ribokinase</w:t>
      </w:r>
      <w:proofErr w:type="spellEnd"/>
      <w:r w:rsidRPr="008235D7">
        <w:rPr>
          <w:sz w:val="22"/>
        </w:rPr>
        <w:t xml:space="preserve"> favors the reverse direction more easily, we sampled the reverse </w:t>
      </w:r>
      <w:proofErr w:type="spellStart"/>
      <w:r w:rsidRPr="008235D7">
        <w:rPr>
          <w:sz w:val="22"/>
        </w:rPr>
        <w:t>V</w:t>
      </w:r>
      <w:r w:rsidRPr="008235D7">
        <w:rPr>
          <w:sz w:val="22"/>
          <w:vertAlign w:val="subscript"/>
        </w:rPr>
        <w:t>max</w:t>
      </w:r>
      <w:proofErr w:type="spellEnd"/>
      <w:r w:rsidRPr="008235D7">
        <w:rPr>
          <w:sz w:val="22"/>
        </w:rPr>
        <w:t xml:space="preserve"> with a median of 1000 </w:t>
      </w:r>
      <w:proofErr w:type="spellStart"/>
      <w:r w:rsidRPr="008235D7">
        <w:rPr>
          <w:sz w:val="22"/>
        </w:rPr>
        <w:t>nmol</w:t>
      </w:r>
      <w:proofErr w:type="spellEnd"/>
      <w:r w:rsidRPr="008235D7">
        <w:rPr>
          <w:sz w:val="22"/>
        </w:rPr>
        <w:t xml:space="preserve"> · min</w:t>
      </w:r>
      <w:r w:rsidRPr="008235D7">
        <w:rPr>
          <w:sz w:val="22"/>
          <w:vertAlign w:val="superscript"/>
        </w:rPr>
        <w:t>–1</w:t>
      </w:r>
      <w:r w:rsidRPr="008235D7">
        <w:rPr>
          <w:sz w:val="22"/>
        </w:rPr>
        <w:t xml:space="preserve"> · mg protein</w:t>
      </w:r>
      <w:r w:rsidRPr="008235D7">
        <w:rPr>
          <w:sz w:val="22"/>
          <w:vertAlign w:val="superscript"/>
        </w:rPr>
        <w:t>–1</w:t>
      </w:r>
      <w:r w:rsidRPr="008235D7">
        <w:rPr>
          <w:sz w:val="22"/>
        </w:rPr>
        <w:t xml:space="preserve"> and 97.5 % of the value sampled lower than 4000 </w:t>
      </w:r>
      <w:proofErr w:type="spellStart"/>
      <w:r w:rsidRPr="008235D7">
        <w:rPr>
          <w:sz w:val="22"/>
        </w:rPr>
        <w:t>nmol</w:t>
      </w:r>
      <w:proofErr w:type="spellEnd"/>
      <w:r w:rsidRPr="008235D7">
        <w:rPr>
          <w:sz w:val="22"/>
        </w:rPr>
        <w:t xml:space="preserve"> · min</w:t>
      </w:r>
      <w:r w:rsidRPr="008235D7">
        <w:rPr>
          <w:sz w:val="22"/>
          <w:vertAlign w:val="superscript"/>
        </w:rPr>
        <w:t>–1</w:t>
      </w:r>
      <w:r w:rsidRPr="008235D7">
        <w:rPr>
          <w:sz w:val="22"/>
        </w:rPr>
        <w:t xml:space="preserve"> · mg protein</w:t>
      </w:r>
      <w:r w:rsidRPr="008235D7">
        <w:rPr>
          <w:sz w:val="22"/>
          <w:vertAlign w:val="superscript"/>
        </w:rPr>
        <w:t>–1</w:t>
      </w:r>
      <w:r w:rsidRPr="008235D7">
        <w:rPr>
          <w:sz w:val="22"/>
        </w:rPr>
        <w:t xml:space="preserve"> (log normal distribution).</w:t>
      </w:r>
    </w:p>
    <w:p w:rsidR="00F977E7" w:rsidRPr="008235D7" w:rsidRDefault="00F977E7" w:rsidP="007E03A3">
      <w:pPr>
        <w:spacing w:line="360" w:lineRule="auto"/>
        <w:rPr>
          <w:sz w:val="22"/>
        </w:rPr>
      </w:pPr>
      <w:r w:rsidRPr="00BE3F6E">
        <w:rPr>
          <w:b/>
          <w:sz w:val="22"/>
        </w:rPr>
        <w:t>Equilibrium constants</w:t>
      </w:r>
      <w:r w:rsidRPr="008235D7">
        <w:rPr>
          <w:sz w:val="22"/>
        </w:rPr>
        <w:t xml:space="preserve">: In addition to the equilibrium constants of the pentose phosphate pathway reactions, equilibrium constants were introduced for pyruvate kinase, hexokinase and phosphofructokinase as described in the methods subsection of the main manuscript. All the new equilibrium constants are sampled using the fixed-parameter value as a median and the relative standard error of the other equilibrium constants, except for glucose-6-phosphate dehydrogenase for which the value used is the median of the values published in </w:t>
      </w:r>
      <w:r w:rsidRPr="008235D7">
        <w:rPr>
          <w:sz w:val="22"/>
        </w:rPr>
        <w:fldChar w:fldCharType="begin"/>
      </w:r>
      <w:r w:rsidR="007E03A3">
        <w:rPr>
          <w:sz w:val="22"/>
        </w:rPr>
        <w:instrText xml:space="preserve"> ADDIN ZOTERO_ITEM CSL_CITATION {"citationID":"3VM9PaGz","properties":{"formattedCitation":"[4,5]","plainCitation":"[4,5]"},"citationItems":[{"id":84,"uris":["http://zotero.org/users/685052/items/8GWPMB8E"],"uri":["http://zotero.org/users/685052/items/8GWPMB8E"],"itemData":{"id":84,"type":"article-journal","title":"Kinetic analysis of the glucosephosphate isomerase-glucose-6-phosphate dehydrogenase system from yeast in vitro","container-title":"Hoppe-Seyler's Zeitschrift Für Physiologische Chemie","page":"1537-1544","volume":"351","issue":"12","source":"NCBI PubMed","ISSN":"0018-4888","note":"PMID: 4395302","journalAbbreviation":"Hoppe-Seyler's Z. Physiol. Chem.","author":[{"family":"Wurster","given":"B"},{"family":"Hess","given":"B"}],"issued":{"date-parts":[["1970",12]]},"accessed":{"date-parts":[["2012",2,13]]},"PMID":"4395302"}},{"id":55,"uris":["http://zotero.org/users/685052/items/6C6ZQDTV"],"uri":["http://zotero.org/users/685052/items/6C6ZQDTV"],"itemData":{"id":55,"type":"article-journal","title":"Anomeric specificity and anomerase activity of glucosephosphate isomerase (EC 5.3.1.9) From baker's yeast","container-title":"Hoppe-Seyler's Zeitschrift Für Physiologische Chemie","page":"407-420","volume":"354","issue":"4","source":"NCBI PubMed","ISSN":"0018-4888","note":"PMID: 4279207","journalAbbreviation":"Hoppe-Seyler's Z. Physiol. Chem.","author":[{"family":"Wurster","given":"B"},{"family":"Hess","given":"B"}],"issued":{"date-parts":[["1973",4]]},"accessed":{"date-parts":[["2012",2,13]]},"PMID":"4279207"}}],"schema":"https://github.com/citation-style-language/schema/raw/master/csl-citation.json"} </w:instrText>
      </w:r>
      <w:r w:rsidRPr="008235D7">
        <w:rPr>
          <w:sz w:val="22"/>
        </w:rPr>
        <w:fldChar w:fldCharType="separate"/>
      </w:r>
      <w:r w:rsidR="007E03A3" w:rsidRPr="007E03A3">
        <w:rPr>
          <w:sz w:val="22"/>
        </w:rPr>
        <w:t>[4,5]</w:t>
      </w:r>
      <w:r w:rsidRPr="008235D7">
        <w:rPr>
          <w:sz w:val="22"/>
        </w:rPr>
        <w:fldChar w:fldCharType="end"/>
      </w:r>
      <w:r w:rsidRPr="008235D7">
        <w:rPr>
          <w:sz w:val="22"/>
        </w:rPr>
        <w:t xml:space="preserve"> corrected for pH (median equilibrium constant = 7.0), and the corresponding standard error.</w:t>
      </w:r>
    </w:p>
    <w:p w:rsidR="00F977E7" w:rsidRPr="008235D7" w:rsidRDefault="00F977E7" w:rsidP="007E03A3">
      <w:pPr>
        <w:spacing w:line="360" w:lineRule="auto"/>
        <w:rPr>
          <w:b/>
          <w:sz w:val="22"/>
        </w:rPr>
      </w:pPr>
      <w:r w:rsidRPr="008235D7">
        <w:rPr>
          <w:b/>
          <w:sz w:val="22"/>
        </w:rPr>
        <w:t>Distributions</w:t>
      </w:r>
    </w:p>
    <w:p w:rsidR="00F977E7" w:rsidRDefault="00BE3F6E" w:rsidP="007E03A3">
      <w:pPr>
        <w:spacing w:line="360" w:lineRule="auto"/>
        <w:rPr>
          <w:sz w:val="22"/>
        </w:rPr>
      </w:pPr>
      <w:proofErr w:type="gramStart"/>
      <w:r w:rsidRPr="00BE3F6E">
        <w:rPr>
          <w:sz w:val="22"/>
        </w:rPr>
        <w:t>Distribution of parameters and steady-state ﬂuxes and concentrations in the sampled model based on model C (see Figure 1 of the main article).</w:t>
      </w:r>
      <w:proofErr w:type="gramEnd"/>
      <w:r w:rsidRPr="00BE3F6E">
        <w:rPr>
          <w:sz w:val="22"/>
        </w:rPr>
        <w:t xml:space="preserve"> Additionally, 1000 parameter sets of the models including the transport of glucose only are available as </w:t>
      </w:r>
      <w:r w:rsidR="007E03A3">
        <w:rPr>
          <w:sz w:val="22"/>
        </w:rPr>
        <w:t>D</w:t>
      </w:r>
      <w:r w:rsidRPr="00BE3F6E">
        <w:rPr>
          <w:sz w:val="22"/>
        </w:rPr>
        <w:t>ataset S</w:t>
      </w:r>
      <w:r w:rsidR="006F4850">
        <w:rPr>
          <w:sz w:val="22"/>
        </w:rPr>
        <w:t>2</w:t>
      </w:r>
      <w:r w:rsidRPr="00BE3F6E">
        <w:rPr>
          <w:sz w:val="22"/>
        </w:rPr>
        <w:t xml:space="preserve">, and 250 parameter sets of the models including the transport of both glucose and fructose are available as </w:t>
      </w:r>
      <w:r w:rsidR="007E03A3">
        <w:rPr>
          <w:sz w:val="22"/>
        </w:rPr>
        <w:t>D</w:t>
      </w:r>
      <w:r w:rsidRPr="00BE3F6E">
        <w:rPr>
          <w:sz w:val="22"/>
        </w:rPr>
        <w:t>ataset S</w:t>
      </w:r>
      <w:r w:rsidR="006F4850">
        <w:rPr>
          <w:sz w:val="22"/>
        </w:rPr>
        <w:t>3</w:t>
      </w:r>
      <w:r w:rsidRPr="00BE3F6E">
        <w:rPr>
          <w:sz w:val="22"/>
        </w:rPr>
        <w:t>.</w:t>
      </w:r>
      <w:r w:rsidR="00F977E7" w:rsidRPr="008235D7">
        <w:rPr>
          <w:sz w:val="22"/>
        </w:rPr>
        <w:t xml:space="preserve"> Most parameters are sampled </w:t>
      </w:r>
      <w:proofErr w:type="gramStart"/>
      <w:r w:rsidR="00F977E7" w:rsidRPr="008235D7">
        <w:rPr>
          <w:sz w:val="22"/>
        </w:rPr>
        <w:t>from a</w:t>
      </w:r>
      <w:proofErr w:type="gramEnd"/>
      <w:r w:rsidR="00F977E7" w:rsidRPr="008235D7">
        <w:rPr>
          <w:sz w:val="22"/>
        </w:rPr>
        <w:t xml:space="preserve"> log normal distributions of mean and standard deviations based on experimental sources, some parameters </w:t>
      </w:r>
      <w:r w:rsidR="00F977E7" w:rsidRPr="008235D7">
        <w:rPr>
          <w:sz w:val="22"/>
        </w:rPr>
        <w:lastRenderedPageBreak/>
        <w:t xml:space="preserve">are calculated from other sampled parameters for </w:t>
      </w:r>
      <w:proofErr w:type="spellStart"/>
      <w:r w:rsidR="00F977E7" w:rsidRPr="008235D7">
        <w:rPr>
          <w:sz w:val="22"/>
        </w:rPr>
        <w:t>thermodynamical</w:t>
      </w:r>
      <w:proofErr w:type="spellEnd"/>
      <w:r w:rsidR="00F977E7" w:rsidRPr="008235D7">
        <w:rPr>
          <w:sz w:val="22"/>
        </w:rPr>
        <w:t xml:space="preserve"> consistency. Detailed descriptions can be found in the section above and in </w:t>
      </w:r>
      <w:r w:rsidR="00F977E7" w:rsidRPr="008235D7">
        <w:rPr>
          <w:sz w:val="22"/>
        </w:rPr>
        <w:fldChar w:fldCharType="begin"/>
      </w:r>
      <w:r w:rsidR="007E03A3">
        <w:rPr>
          <w:sz w:val="22"/>
        </w:rPr>
        <w:instrText xml:space="preserve"> ADDIN ZOTERO_ITEM CSL_CITATION {"citationID":"1fvie8n103","properties":{"formattedCitation":"[1]","plainCitation":"[1]"},"citationItems":[{"id":244,"uris":["http://zotero.org/users/685052/items/N9GII4TW"],"uri":["http://zotero.org/users/685052/items/N9GII4TW"],"itemData":{"id":244,"type":"article-journal","title":"Dynamic modelling under uncertainty: the case of Trypanosoma brucei energy metabolism","container-title":"PLoS Comput Biol","page":"e1002352","volume":"8","issue":"1","source":"PLoS Comput Biol","abstract":"Author Summary        An increasing number of mathematical models are being built and analysed in order to obtain a better understanding of specific biological systems. These quantitative models contain parameters that need to be measured or estimated. Because of experimental errors or lack of data, our knowledge about these parameters is uncertain. Our work explores the effect of including these uncertainties in model analysis. Therefore, we studied a particularly well curated model of the energy metabolism of the parasite Trypanosoma brucei, responsible for African sleeping sickness. We first collected all the information we could find about how the model parameters were defined on a website, the SilicoTryp wiki (http:///silicotryp.ibls.gla.ac.uk/wiki/). From this information, we were able to quantify our uncertainty about each parameter, thus allowing us to analyse the model while explicitly taking these uncertainties into account. We found that, even though the model was well-defined and most of its parameters were experimentally measured, taking into account the remaining uncertainty allows us to gain more insight into model behavior. We were able to identify previously unrecognised fragilities of the model, leading to new hypotheses amenable to experimental testing.","DOI":"10.1371/journal.pcbi.1002352","shortTitle":"Dynamic Modelling under Uncertainty","journalAbbreviation":"PLoS Comput Biol","author":[{"family":"Achcar","given":"Fiona"},{"family":"Kerkhoven","given":"Eduard J."},{"family":"The SilicoTryp Consortium","given":""},{"family":"Bakker","given":"Barbara M."},{"family":"Barrett","given":"Michael P."},{"family":"Breitling","given":"Rainer"}],"issued":{"date-parts":[["2012",1,19]]},"accessed":{"date-parts":[["2012",1,20]],"season":"10:15:48"}}}],"schema":"https://github.com/citation-style-language/schema/raw/master/csl-citation.json"} </w:instrText>
      </w:r>
      <w:r w:rsidR="00F977E7" w:rsidRPr="008235D7">
        <w:rPr>
          <w:sz w:val="22"/>
        </w:rPr>
        <w:fldChar w:fldCharType="separate"/>
      </w:r>
      <w:r w:rsidR="007E03A3" w:rsidRPr="007E03A3">
        <w:rPr>
          <w:sz w:val="22"/>
        </w:rPr>
        <w:t>[1]</w:t>
      </w:r>
      <w:r w:rsidR="00F977E7" w:rsidRPr="008235D7">
        <w:rPr>
          <w:sz w:val="22"/>
        </w:rPr>
        <w:fldChar w:fldCharType="end"/>
      </w:r>
      <w:r w:rsidR="00F977E7" w:rsidRPr="008235D7">
        <w:rPr>
          <w:sz w:val="22"/>
        </w:rPr>
        <w:t>. The vertical black lines indicate the value in the fixed- parameter model. The units of the x-axis are as follows: K</w:t>
      </w:r>
      <w:r w:rsidR="00F977E7" w:rsidRPr="008235D7">
        <w:rPr>
          <w:sz w:val="22"/>
          <w:vertAlign w:val="subscript"/>
        </w:rPr>
        <w:t>m</w:t>
      </w:r>
      <w:r w:rsidR="00F977E7" w:rsidRPr="008235D7">
        <w:rPr>
          <w:sz w:val="22"/>
        </w:rPr>
        <w:t>, K</w:t>
      </w:r>
      <w:r w:rsidR="00F977E7" w:rsidRPr="008235D7">
        <w:rPr>
          <w:sz w:val="22"/>
          <w:vertAlign w:val="subscript"/>
        </w:rPr>
        <w:t>i</w:t>
      </w:r>
      <w:r w:rsidR="00F977E7" w:rsidRPr="008235D7">
        <w:rPr>
          <w:sz w:val="22"/>
        </w:rPr>
        <w:t xml:space="preserve"> and K</w:t>
      </w:r>
      <w:r w:rsidR="00F977E7" w:rsidRPr="008235D7">
        <w:rPr>
          <w:sz w:val="22"/>
          <w:vertAlign w:val="subscript"/>
        </w:rPr>
        <w:t>s</w:t>
      </w:r>
      <w:r w:rsidR="00F977E7" w:rsidRPr="008235D7">
        <w:rPr>
          <w:sz w:val="22"/>
        </w:rPr>
        <w:t xml:space="preserve">: </w:t>
      </w:r>
      <w:proofErr w:type="spellStart"/>
      <w:r w:rsidR="00F977E7" w:rsidRPr="008235D7">
        <w:rPr>
          <w:sz w:val="22"/>
        </w:rPr>
        <w:t>mM</w:t>
      </w:r>
      <w:proofErr w:type="spellEnd"/>
      <w:r w:rsidR="00F977E7" w:rsidRPr="008235D7">
        <w:rPr>
          <w:sz w:val="22"/>
        </w:rPr>
        <w:t xml:space="preserve">; </w:t>
      </w:r>
      <w:proofErr w:type="spellStart"/>
      <w:r w:rsidR="00F977E7" w:rsidRPr="008235D7">
        <w:rPr>
          <w:sz w:val="22"/>
        </w:rPr>
        <w:t>V</w:t>
      </w:r>
      <w:r w:rsidR="00F977E7" w:rsidRPr="008235D7">
        <w:rPr>
          <w:sz w:val="22"/>
          <w:vertAlign w:val="subscript"/>
        </w:rPr>
        <w:t>max</w:t>
      </w:r>
      <w:proofErr w:type="spellEnd"/>
      <w:r w:rsidR="00F977E7" w:rsidRPr="008235D7">
        <w:rPr>
          <w:sz w:val="22"/>
        </w:rPr>
        <w:t xml:space="preserve">: </w:t>
      </w:r>
      <w:proofErr w:type="spellStart"/>
      <w:r w:rsidR="00F977E7" w:rsidRPr="008235D7">
        <w:rPr>
          <w:sz w:val="22"/>
        </w:rPr>
        <w:t>nmol</w:t>
      </w:r>
      <w:proofErr w:type="spellEnd"/>
      <w:r w:rsidR="00F977E7" w:rsidRPr="008235D7">
        <w:rPr>
          <w:sz w:val="22"/>
        </w:rPr>
        <w:t xml:space="preserve"> · min</w:t>
      </w:r>
      <w:r w:rsidR="00F977E7" w:rsidRPr="008235D7">
        <w:rPr>
          <w:sz w:val="22"/>
          <w:vertAlign w:val="superscript"/>
        </w:rPr>
        <w:t>–1</w:t>
      </w:r>
      <w:r w:rsidR="00F977E7" w:rsidRPr="008235D7">
        <w:rPr>
          <w:sz w:val="22"/>
        </w:rPr>
        <w:t xml:space="preserve"> · mg protein</w:t>
      </w:r>
      <w:r w:rsidR="00F977E7" w:rsidRPr="008235D7">
        <w:rPr>
          <w:sz w:val="22"/>
          <w:vertAlign w:val="superscript"/>
        </w:rPr>
        <w:t>–1</w:t>
      </w:r>
      <w:r w:rsidR="00F977E7" w:rsidRPr="008235D7">
        <w:rPr>
          <w:sz w:val="22"/>
        </w:rPr>
        <w:t xml:space="preserve">; others: </w:t>
      </w:r>
      <w:proofErr w:type="spellStart"/>
      <w:r w:rsidR="00F977E7" w:rsidRPr="008235D7">
        <w:rPr>
          <w:sz w:val="22"/>
        </w:rPr>
        <w:t>unitless</w:t>
      </w:r>
      <w:proofErr w:type="spellEnd"/>
      <w:r w:rsidR="00F977E7" w:rsidRPr="008235D7">
        <w:rPr>
          <w:sz w:val="22"/>
        </w:rPr>
        <w:t>.</w:t>
      </w:r>
    </w:p>
    <w:p w:rsidR="00927664" w:rsidRPr="00927664" w:rsidRDefault="007E03A3" w:rsidP="00927664">
      <w:pPr>
        <w:pStyle w:val="Bibliography"/>
        <w:rPr>
          <w:sz w:val="22"/>
        </w:rPr>
      </w:pPr>
      <w:r>
        <w:rPr>
          <w:sz w:val="22"/>
        </w:rPr>
        <w:fldChar w:fldCharType="begin"/>
      </w:r>
      <w:r w:rsidR="00927664">
        <w:rPr>
          <w:sz w:val="22"/>
        </w:rPr>
        <w:instrText xml:space="preserve"> ADDIN ZOTERO_BIBL {"custom":[]} CSL_BIBLIOGRAPHY </w:instrText>
      </w:r>
      <w:r>
        <w:rPr>
          <w:sz w:val="22"/>
        </w:rPr>
        <w:fldChar w:fldCharType="separate"/>
      </w:r>
      <w:r w:rsidR="00927664" w:rsidRPr="00927664">
        <w:rPr>
          <w:sz w:val="22"/>
        </w:rPr>
        <w:t xml:space="preserve">1. </w:t>
      </w:r>
      <w:r w:rsidR="00927664" w:rsidRPr="00927664">
        <w:rPr>
          <w:sz w:val="22"/>
        </w:rPr>
        <w:tab/>
        <w:t>Achcar F, Kerkhoven EJ, The SilicoTryp Consortium, Bakker BM, Barrett MP, et al. (2012) Dynamic modelling under uncertainty: the case of Trypanosoma brucei energy metabolism. PLoS Comput Biol 8: e1002352. doi:10.1371/journal.pcbi.1002352.</w:t>
      </w:r>
    </w:p>
    <w:p w:rsidR="00927664" w:rsidRPr="00927664" w:rsidRDefault="00927664" w:rsidP="00927664">
      <w:pPr>
        <w:pStyle w:val="Bibliography"/>
        <w:rPr>
          <w:sz w:val="22"/>
        </w:rPr>
      </w:pPr>
      <w:r w:rsidRPr="00927664">
        <w:rPr>
          <w:sz w:val="22"/>
        </w:rPr>
        <w:t xml:space="preserve">2. </w:t>
      </w:r>
      <w:r w:rsidRPr="00927664">
        <w:rPr>
          <w:sz w:val="22"/>
        </w:rPr>
        <w:tab/>
        <w:t>Vanderheyden N, Wong J, Docampo R (2000) A pyruvate-proton symport and an H+-ATPase regulate the intracellular pH of Trypanosoma brucei at different stages of its life cycle. Biochem J 346 Pt 1: 53–62.</w:t>
      </w:r>
    </w:p>
    <w:p w:rsidR="00927664" w:rsidRPr="00927664" w:rsidRDefault="00927664" w:rsidP="00927664">
      <w:pPr>
        <w:pStyle w:val="Bibliography"/>
        <w:rPr>
          <w:sz w:val="22"/>
        </w:rPr>
      </w:pPr>
      <w:r w:rsidRPr="00927664">
        <w:rPr>
          <w:sz w:val="22"/>
        </w:rPr>
        <w:t xml:space="preserve">3. </w:t>
      </w:r>
      <w:r w:rsidRPr="00927664">
        <w:rPr>
          <w:sz w:val="22"/>
        </w:rPr>
        <w:tab/>
        <w:t>McLaughlin J (1986) The association of distinct acid phosphatases with the flagella pocket and surface membrane fractions obtained from bloodstream forms of Trypanosoma rhodesiense. Mol Cell Biochem 70: 177–184.</w:t>
      </w:r>
    </w:p>
    <w:p w:rsidR="00927664" w:rsidRPr="00927664" w:rsidRDefault="00927664" w:rsidP="00927664">
      <w:pPr>
        <w:pStyle w:val="Bibliography"/>
        <w:rPr>
          <w:sz w:val="22"/>
        </w:rPr>
      </w:pPr>
      <w:r w:rsidRPr="00927664">
        <w:rPr>
          <w:sz w:val="22"/>
        </w:rPr>
        <w:t xml:space="preserve">4. </w:t>
      </w:r>
      <w:r w:rsidRPr="00927664">
        <w:rPr>
          <w:sz w:val="22"/>
        </w:rPr>
        <w:tab/>
        <w:t>Wurster B, Hess B (1970) Kinetic analysis of the glucosephosphate isomerase-glucose-6-phosphate dehydrogenase system from yeast in vitro. Hoppe-Seyler’s Z Physiol Chem 351: 1537–1544.</w:t>
      </w:r>
    </w:p>
    <w:p w:rsidR="00927664" w:rsidRPr="00927664" w:rsidRDefault="00927664" w:rsidP="00927664">
      <w:pPr>
        <w:pStyle w:val="Bibliography"/>
        <w:rPr>
          <w:sz w:val="22"/>
        </w:rPr>
      </w:pPr>
      <w:r w:rsidRPr="00927664">
        <w:rPr>
          <w:sz w:val="22"/>
        </w:rPr>
        <w:t xml:space="preserve">5. </w:t>
      </w:r>
      <w:r w:rsidRPr="00927664">
        <w:rPr>
          <w:sz w:val="22"/>
        </w:rPr>
        <w:tab/>
        <w:t>Wurster B, Hess B (1973) Anomeric specificity and anomerase activity of glucosephosphate isomerase (EC 5.3.1.9) From baker’s yeast. Hoppe-Seyler’s Z Physiol Chem 354: 407–420.</w:t>
      </w:r>
    </w:p>
    <w:p w:rsidR="007E03A3" w:rsidRPr="008235D7" w:rsidRDefault="007E03A3" w:rsidP="00BE3F6E">
      <w:pPr>
        <w:rPr>
          <w:sz w:val="22"/>
        </w:rPr>
      </w:pPr>
      <w:r>
        <w:rPr>
          <w:sz w:val="22"/>
        </w:rPr>
        <w:fldChar w:fldCharType="end"/>
      </w:r>
    </w:p>
    <w:p w:rsidR="00F977E7" w:rsidRPr="008235D7" w:rsidRDefault="00862D3E" w:rsidP="00F977E7">
      <w:pPr>
        <w:rPr>
          <w:b/>
          <w:sz w:val="18"/>
          <w:szCs w:val="18"/>
        </w:rPr>
      </w:pPr>
      <w:r>
        <w:rPr>
          <w:noProof/>
          <w:sz w:val="18"/>
          <w:szCs w:val="18"/>
          <w:lang w:val="en-GB" w:eastAsia="en-GB"/>
        </w:rPr>
        <w:lastRenderedPageBreak/>
        <w:drawing>
          <wp:inline distT="0" distB="0" distL="0" distR="0">
            <wp:extent cx="5876925" cy="6410325"/>
            <wp:effectExtent l="0" t="0" r="9525" b="9525"/>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6925" cy="6410325"/>
                    </a:xfrm>
                    <a:prstGeom prst="rect">
                      <a:avLst/>
                    </a:prstGeom>
                    <a:noFill/>
                    <a:ln>
                      <a:noFill/>
                    </a:ln>
                  </pic:spPr>
                </pic:pic>
              </a:graphicData>
            </a:graphic>
          </wp:inline>
        </w:drawing>
      </w:r>
    </w:p>
    <w:p w:rsidR="00C9115A" w:rsidRPr="008235D7" w:rsidRDefault="00862D3E">
      <w:pPr>
        <w:rPr>
          <w:sz w:val="18"/>
          <w:szCs w:val="18"/>
        </w:rPr>
      </w:pPr>
      <w:r>
        <w:rPr>
          <w:noProof/>
          <w:sz w:val="18"/>
          <w:szCs w:val="18"/>
          <w:lang w:val="en-GB" w:eastAsia="en-GB"/>
        </w:rPr>
        <w:lastRenderedPageBreak/>
        <w:drawing>
          <wp:inline distT="0" distB="0" distL="0" distR="0">
            <wp:extent cx="5734050" cy="6257925"/>
            <wp:effectExtent l="0" t="0" r="0" b="952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257925"/>
                    </a:xfrm>
                    <a:prstGeom prst="rect">
                      <a:avLst/>
                    </a:prstGeom>
                    <a:noFill/>
                    <a:ln>
                      <a:noFill/>
                    </a:ln>
                  </pic:spPr>
                </pic:pic>
              </a:graphicData>
            </a:graphic>
          </wp:inline>
        </w:drawing>
      </w:r>
      <w:r>
        <w:rPr>
          <w:noProof/>
          <w:sz w:val="18"/>
          <w:szCs w:val="18"/>
          <w:lang w:val="en-GB" w:eastAsia="en-GB"/>
        </w:rPr>
        <w:lastRenderedPageBreak/>
        <w:drawing>
          <wp:inline distT="0" distB="0" distL="0" distR="0">
            <wp:extent cx="5734050" cy="6162675"/>
            <wp:effectExtent l="0" t="0" r="0" b="9525"/>
            <wp:docPr id="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6162675"/>
                    </a:xfrm>
                    <a:prstGeom prst="rect">
                      <a:avLst/>
                    </a:prstGeom>
                    <a:noFill/>
                    <a:ln>
                      <a:noFill/>
                    </a:ln>
                  </pic:spPr>
                </pic:pic>
              </a:graphicData>
            </a:graphic>
          </wp:inline>
        </w:drawing>
      </w:r>
      <w:r>
        <w:rPr>
          <w:noProof/>
          <w:sz w:val="18"/>
          <w:szCs w:val="18"/>
          <w:lang w:val="en-GB" w:eastAsia="en-GB"/>
        </w:rPr>
        <w:lastRenderedPageBreak/>
        <w:drawing>
          <wp:inline distT="0" distB="0" distL="0" distR="0">
            <wp:extent cx="5734050" cy="6200775"/>
            <wp:effectExtent l="0" t="0" r="0" b="9525"/>
            <wp:docPr id="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6200775"/>
                    </a:xfrm>
                    <a:prstGeom prst="rect">
                      <a:avLst/>
                    </a:prstGeom>
                    <a:noFill/>
                    <a:ln>
                      <a:noFill/>
                    </a:ln>
                  </pic:spPr>
                </pic:pic>
              </a:graphicData>
            </a:graphic>
          </wp:inline>
        </w:drawing>
      </w:r>
      <w:r>
        <w:rPr>
          <w:noProof/>
          <w:sz w:val="18"/>
          <w:szCs w:val="18"/>
          <w:lang w:val="en-GB" w:eastAsia="en-GB"/>
        </w:rPr>
        <w:lastRenderedPageBreak/>
        <w:drawing>
          <wp:inline distT="0" distB="0" distL="0" distR="0">
            <wp:extent cx="5734050" cy="6124575"/>
            <wp:effectExtent l="0" t="0" r="0" b="9525"/>
            <wp:docPr id="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6124575"/>
                    </a:xfrm>
                    <a:prstGeom prst="rect">
                      <a:avLst/>
                    </a:prstGeom>
                    <a:noFill/>
                    <a:ln>
                      <a:noFill/>
                    </a:ln>
                  </pic:spPr>
                </pic:pic>
              </a:graphicData>
            </a:graphic>
          </wp:inline>
        </w:drawing>
      </w:r>
      <w:r>
        <w:rPr>
          <w:noProof/>
          <w:sz w:val="18"/>
          <w:szCs w:val="18"/>
          <w:lang w:val="en-GB" w:eastAsia="en-GB"/>
        </w:rPr>
        <w:lastRenderedPageBreak/>
        <w:drawing>
          <wp:inline distT="0" distB="0" distL="0" distR="0">
            <wp:extent cx="5734050" cy="6257925"/>
            <wp:effectExtent l="0" t="0" r="0" b="9525"/>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6257925"/>
                    </a:xfrm>
                    <a:prstGeom prst="rect">
                      <a:avLst/>
                    </a:prstGeom>
                    <a:noFill/>
                    <a:ln>
                      <a:noFill/>
                    </a:ln>
                  </pic:spPr>
                </pic:pic>
              </a:graphicData>
            </a:graphic>
          </wp:inline>
        </w:drawing>
      </w:r>
      <w:r>
        <w:rPr>
          <w:noProof/>
          <w:sz w:val="18"/>
          <w:szCs w:val="18"/>
          <w:lang w:val="en-GB" w:eastAsia="en-GB"/>
        </w:rPr>
        <w:lastRenderedPageBreak/>
        <w:drawing>
          <wp:inline distT="0" distB="0" distL="0" distR="0">
            <wp:extent cx="5734050" cy="6191250"/>
            <wp:effectExtent l="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6191250"/>
                    </a:xfrm>
                    <a:prstGeom prst="rect">
                      <a:avLst/>
                    </a:prstGeom>
                    <a:noFill/>
                    <a:ln>
                      <a:noFill/>
                    </a:ln>
                  </pic:spPr>
                </pic:pic>
              </a:graphicData>
            </a:graphic>
          </wp:inline>
        </w:drawing>
      </w:r>
      <w:r>
        <w:rPr>
          <w:noProof/>
          <w:sz w:val="18"/>
          <w:szCs w:val="18"/>
          <w:lang w:val="en-GB" w:eastAsia="en-GB"/>
        </w:rPr>
        <w:lastRenderedPageBreak/>
        <w:drawing>
          <wp:inline distT="0" distB="0" distL="0" distR="0">
            <wp:extent cx="5734050" cy="6124575"/>
            <wp:effectExtent l="0" t="0" r="0" b="9525"/>
            <wp:docPr id="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6124575"/>
                    </a:xfrm>
                    <a:prstGeom prst="rect">
                      <a:avLst/>
                    </a:prstGeom>
                    <a:noFill/>
                    <a:ln>
                      <a:noFill/>
                    </a:ln>
                  </pic:spPr>
                </pic:pic>
              </a:graphicData>
            </a:graphic>
          </wp:inline>
        </w:drawing>
      </w:r>
      <w:r>
        <w:rPr>
          <w:noProof/>
          <w:sz w:val="18"/>
          <w:szCs w:val="18"/>
          <w:lang w:val="en-GB" w:eastAsia="en-GB"/>
        </w:rPr>
        <w:lastRenderedPageBreak/>
        <w:drawing>
          <wp:inline distT="0" distB="0" distL="0" distR="0">
            <wp:extent cx="5734050" cy="6048375"/>
            <wp:effectExtent l="0" t="0" r="0" b="9525"/>
            <wp:docPr id="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6048375"/>
                    </a:xfrm>
                    <a:prstGeom prst="rect">
                      <a:avLst/>
                    </a:prstGeom>
                    <a:noFill/>
                    <a:ln>
                      <a:noFill/>
                    </a:ln>
                  </pic:spPr>
                </pic:pic>
              </a:graphicData>
            </a:graphic>
          </wp:inline>
        </w:drawing>
      </w:r>
      <w:r>
        <w:rPr>
          <w:noProof/>
          <w:sz w:val="18"/>
          <w:szCs w:val="18"/>
          <w:lang w:val="en-GB" w:eastAsia="en-GB"/>
        </w:rPr>
        <w:lastRenderedPageBreak/>
        <w:drawing>
          <wp:inline distT="0" distB="0" distL="0" distR="0">
            <wp:extent cx="5734050" cy="6162675"/>
            <wp:effectExtent l="0" t="0" r="0" b="9525"/>
            <wp:docPr id="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6162675"/>
                    </a:xfrm>
                    <a:prstGeom prst="rect">
                      <a:avLst/>
                    </a:prstGeom>
                    <a:noFill/>
                    <a:ln>
                      <a:noFill/>
                    </a:ln>
                  </pic:spPr>
                </pic:pic>
              </a:graphicData>
            </a:graphic>
          </wp:inline>
        </w:drawing>
      </w:r>
      <w:r>
        <w:rPr>
          <w:noProof/>
          <w:sz w:val="18"/>
          <w:szCs w:val="18"/>
          <w:lang w:val="en-GB" w:eastAsia="en-GB"/>
        </w:rPr>
        <w:drawing>
          <wp:inline distT="0" distB="0" distL="0" distR="0">
            <wp:extent cx="3781425" cy="942975"/>
            <wp:effectExtent l="0" t="0" r="9525" b="9525"/>
            <wp:docPr id="2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425" cy="942975"/>
                    </a:xfrm>
                    <a:prstGeom prst="rect">
                      <a:avLst/>
                    </a:prstGeom>
                    <a:noFill/>
                    <a:ln>
                      <a:noFill/>
                    </a:ln>
                  </pic:spPr>
                </pic:pic>
              </a:graphicData>
            </a:graphic>
          </wp:inline>
        </w:drawing>
      </w:r>
    </w:p>
    <w:p w:rsidR="00306426" w:rsidRPr="008235D7" w:rsidRDefault="00306426" w:rsidP="00306426">
      <w:pPr>
        <w:rPr>
          <w:sz w:val="22"/>
        </w:rPr>
      </w:pPr>
      <w:r w:rsidRPr="008235D7">
        <w:rPr>
          <w:sz w:val="22"/>
        </w:rPr>
        <w:t xml:space="preserve"> </w:t>
      </w:r>
    </w:p>
    <w:sectPr w:rsidR="00306426" w:rsidRPr="008235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default"/>
    <w:sig w:usb0="00000003" w:usb1="08070000" w:usb2="00000010" w:usb3="00000000" w:csb0="00020001" w:csb1="00000000"/>
  </w:font>
  <w:font w:name="Droid Sans Fallback">
    <w:altName w:val="Lucida Console"/>
    <w:charset w:val="00"/>
    <w:family w:val="modern"/>
    <w:pitch w:val="fixed"/>
    <w:sig w:usb0="00000003" w:usb1="08070000" w:usb2="00000010" w:usb3="00000000" w:csb0="00020001" w:csb1="00000000"/>
  </w:font>
  <w:font w:name="FreeSans">
    <w:altName w:val="Arial Unicode MS"/>
    <w:charset w:val="80"/>
    <w:family w:val="auto"/>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5557C98"/>
    <w:multiLevelType w:val="hybridMultilevel"/>
    <w:tmpl w:val="A9106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A155760"/>
    <w:multiLevelType w:val="hybridMultilevel"/>
    <w:tmpl w:val="68980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A18"/>
    <w:rsid w:val="00085431"/>
    <w:rsid w:val="000C30D4"/>
    <w:rsid w:val="001043C8"/>
    <w:rsid w:val="00156EC1"/>
    <w:rsid w:val="001C6C02"/>
    <w:rsid w:val="001C7ECB"/>
    <w:rsid w:val="001E7703"/>
    <w:rsid w:val="0021233A"/>
    <w:rsid w:val="00265EF9"/>
    <w:rsid w:val="00287A63"/>
    <w:rsid w:val="002971AB"/>
    <w:rsid w:val="002A6B98"/>
    <w:rsid w:val="002D764C"/>
    <w:rsid w:val="002E5304"/>
    <w:rsid w:val="00306426"/>
    <w:rsid w:val="00312510"/>
    <w:rsid w:val="00323832"/>
    <w:rsid w:val="003634EA"/>
    <w:rsid w:val="00370F08"/>
    <w:rsid w:val="00397D1E"/>
    <w:rsid w:val="00471275"/>
    <w:rsid w:val="004A3DB7"/>
    <w:rsid w:val="004C3FFB"/>
    <w:rsid w:val="004D5BFD"/>
    <w:rsid w:val="004D6FB6"/>
    <w:rsid w:val="0050216C"/>
    <w:rsid w:val="005046C3"/>
    <w:rsid w:val="005722CD"/>
    <w:rsid w:val="005C73B7"/>
    <w:rsid w:val="005E178B"/>
    <w:rsid w:val="005F4A18"/>
    <w:rsid w:val="00610A8F"/>
    <w:rsid w:val="00614222"/>
    <w:rsid w:val="00623014"/>
    <w:rsid w:val="00641561"/>
    <w:rsid w:val="00687B97"/>
    <w:rsid w:val="006A1CC1"/>
    <w:rsid w:val="006F4850"/>
    <w:rsid w:val="007171E8"/>
    <w:rsid w:val="0072022B"/>
    <w:rsid w:val="00763973"/>
    <w:rsid w:val="007869DD"/>
    <w:rsid w:val="00787D20"/>
    <w:rsid w:val="007E03A3"/>
    <w:rsid w:val="007E5E40"/>
    <w:rsid w:val="008235D7"/>
    <w:rsid w:val="00846AB4"/>
    <w:rsid w:val="0085466F"/>
    <w:rsid w:val="00862D3E"/>
    <w:rsid w:val="00864EB9"/>
    <w:rsid w:val="008750E9"/>
    <w:rsid w:val="00877691"/>
    <w:rsid w:val="008865F7"/>
    <w:rsid w:val="008A06BF"/>
    <w:rsid w:val="008B4473"/>
    <w:rsid w:val="008C0ADB"/>
    <w:rsid w:val="00927664"/>
    <w:rsid w:val="0093176B"/>
    <w:rsid w:val="0096384B"/>
    <w:rsid w:val="009E3550"/>
    <w:rsid w:val="009E39B7"/>
    <w:rsid w:val="009E600C"/>
    <w:rsid w:val="00A0404B"/>
    <w:rsid w:val="00A116C0"/>
    <w:rsid w:val="00A532CC"/>
    <w:rsid w:val="00A6106C"/>
    <w:rsid w:val="00A72836"/>
    <w:rsid w:val="00A95FF0"/>
    <w:rsid w:val="00AC5B17"/>
    <w:rsid w:val="00AE7403"/>
    <w:rsid w:val="00B17F3B"/>
    <w:rsid w:val="00B23CA3"/>
    <w:rsid w:val="00B353B1"/>
    <w:rsid w:val="00B618CA"/>
    <w:rsid w:val="00B65BB9"/>
    <w:rsid w:val="00BA5DE0"/>
    <w:rsid w:val="00BC1A0E"/>
    <w:rsid w:val="00BC564E"/>
    <w:rsid w:val="00BE3F6E"/>
    <w:rsid w:val="00C13317"/>
    <w:rsid w:val="00C15A44"/>
    <w:rsid w:val="00C3258B"/>
    <w:rsid w:val="00C334ED"/>
    <w:rsid w:val="00C462C8"/>
    <w:rsid w:val="00C879D9"/>
    <w:rsid w:val="00C9115A"/>
    <w:rsid w:val="00CA7F7C"/>
    <w:rsid w:val="00CC3653"/>
    <w:rsid w:val="00D46BBF"/>
    <w:rsid w:val="00D67110"/>
    <w:rsid w:val="00D80818"/>
    <w:rsid w:val="00D9205A"/>
    <w:rsid w:val="00DB6612"/>
    <w:rsid w:val="00DC42F8"/>
    <w:rsid w:val="00DD65CE"/>
    <w:rsid w:val="00DF5977"/>
    <w:rsid w:val="00E00170"/>
    <w:rsid w:val="00E420C3"/>
    <w:rsid w:val="00E7271A"/>
    <w:rsid w:val="00EA4749"/>
    <w:rsid w:val="00EE564C"/>
    <w:rsid w:val="00F201DB"/>
    <w:rsid w:val="00F71E08"/>
    <w:rsid w:val="00F72A22"/>
    <w:rsid w:val="00F9351E"/>
    <w:rsid w:val="00F977E7"/>
    <w:rsid w:val="00FC48A5"/>
    <w:rsid w:val="00FE4CD6"/>
    <w:rsid w:val="00FF75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764C"/>
    <w:pPr>
      <w:spacing w:after="200" w:line="276" w:lineRule="auto"/>
    </w:pPr>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2D764C"/>
    <w:pPr>
      <w:spacing w:before="480" w:after="0"/>
      <w:contextualSpacing/>
      <w:outlineLvl w:val="0"/>
    </w:pPr>
    <w:rPr>
      <w:rFonts w:ascii="Cambria" w:eastAsia="Times New Roman" w:hAnsi="Cambria"/>
      <w:b/>
      <w:bCs/>
      <w:sz w:val="28"/>
      <w:szCs w:val="28"/>
    </w:rPr>
  </w:style>
  <w:style w:type="paragraph" w:styleId="Heading2">
    <w:name w:val="heading 2"/>
    <w:basedOn w:val="Normal"/>
    <w:next w:val="Normal"/>
    <w:link w:val="Heading2Char"/>
    <w:unhideWhenUsed/>
    <w:qFormat/>
    <w:rsid w:val="002D764C"/>
    <w:pPr>
      <w:spacing w:before="200" w:after="0"/>
      <w:outlineLvl w:val="1"/>
    </w:pPr>
    <w:rPr>
      <w:rFonts w:ascii="Cambria" w:eastAsia="Times New Roman" w:hAnsi="Cambria"/>
      <w:b/>
      <w:bCs/>
      <w:sz w:val="26"/>
      <w:szCs w:val="26"/>
    </w:rPr>
  </w:style>
  <w:style w:type="paragraph" w:styleId="Heading3">
    <w:name w:val="heading 3"/>
    <w:basedOn w:val="Normal"/>
    <w:next w:val="Normal"/>
    <w:link w:val="Heading3Char"/>
    <w:uiPriority w:val="9"/>
    <w:semiHidden/>
    <w:unhideWhenUsed/>
    <w:qFormat/>
    <w:rsid w:val="002D764C"/>
    <w:pPr>
      <w:spacing w:before="200" w:after="0" w:line="271" w:lineRule="auto"/>
      <w:outlineLvl w:val="2"/>
    </w:pPr>
    <w:rPr>
      <w:rFonts w:ascii="Cambria" w:eastAsia="Times New Roman" w:hAnsi="Cambria"/>
      <w:b/>
      <w:bCs/>
    </w:rPr>
  </w:style>
  <w:style w:type="paragraph" w:styleId="Heading4">
    <w:name w:val="heading 4"/>
    <w:basedOn w:val="Normal"/>
    <w:next w:val="Normal"/>
    <w:link w:val="Heading4Char"/>
    <w:uiPriority w:val="9"/>
    <w:semiHidden/>
    <w:unhideWhenUsed/>
    <w:qFormat/>
    <w:rsid w:val="002D764C"/>
    <w:pPr>
      <w:spacing w:before="200" w:after="0"/>
      <w:outlineLvl w:val="3"/>
    </w:pPr>
    <w:rPr>
      <w:rFonts w:ascii="Cambria" w:eastAsia="Times New Roman" w:hAnsi="Cambria"/>
      <w:b/>
      <w:bCs/>
      <w:i/>
      <w:iCs/>
    </w:rPr>
  </w:style>
  <w:style w:type="paragraph" w:styleId="Heading5">
    <w:name w:val="heading 5"/>
    <w:basedOn w:val="Normal"/>
    <w:next w:val="Normal"/>
    <w:link w:val="Heading5Char"/>
    <w:uiPriority w:val="9"/>
    <w:semiHidden/>
    <w:unhideWhenUsed/>
    <w:qFormat/>
    <w:rsid w:val="002D764C"/>
    <w:pPr>
      <w:spacing w:before="200" w:after="0"/>
      <w:outlineLvl w:val="4"/>
    </w:pPr>
    <w:rPr>
      <w:rFonts w:ascii="Cambria" w:eastAsia="Times New Roman" w:hAnsi="Cambria"/>
      <w:b/>
      <w:bCs/>
      <w:color w:val="7F7F7F"/>
    </w:rPr>
  </w:style>
  <w:style w:type="paragraph" w:styleId="Heading6">
    <w:name w:val="heading 6"/>
    <w:basedOn w:val="Normal"/>
    <w:next w:val="Normal"/>
    <w:link w:val="Heading6Char"/>
    <w:uiPriority w:val="9"/>
    <w:semiHidden/>
    <w:unhideWhenUsed/>
    <w:qFormat/>
    <w:rsid w:val="002D764C"/>
    <w:pPr>
      <w:spacing w:after="0" w:line="271" w:lineRule="auto"/>
      <w:outlineLvl w:val="5"/>
    </w:pPr>
    <w:rPr>
      <w:rFonts w:ascii="Cambria" w:eastAsia="Times New Roman" w:hAnsi="Cambria"/>
      <w:b/>
      <w:bCs/>
      <w:i/>
      <w:iCs/>
      <w:color w:val="7F7F7F"/>
    </w:rPr>
  </w:style>
  <w:style w:type="paragraph" w:styleId="Heading7">
    <w:name w:val="heading 7"/>
    <w:basedOn w:val="Normal"/>
    <w:next w:val="Normal"/>
    <w:link w:val="Heading7Char"/>
    <w:uiPriority w:val="9"/>
    <w:semiHidden/>
    <w:unhideWhenUsed/>
    <w:qFormat/>
    <w:rsid w:val="002D764C"/>
    <w:pPr>
      <w:spacing w:after="0"/>
      <w:outlineLvl w:val="6"/>
    </w:pPr>
    <w:rPr>
      <w:rFonts w:ascii="Cambria" w:eastAsia="Times New Roman" w:hAnsi="Cambria"/>
      <w:i/>
      <w:iCs/>
    </w:rPr>
  </w:style>
  <w:style w:type="paragraph" w:styleId="Heading8">
    <w:name w:val="heading 8"/>
    <w:basedOn w:val="Normal"/>
    <w:next w:val="Normal"/>
    <w:link w:val="Heading8Char"/>
    <w:uiPriority w:val="9"/>
    <w:semiHidden/>
    <w:unhideWhenUsed/>
    <w:qFormat/>
    <w:rsid w:val="002D764C"/>
    <w:pPr>
      <w:spacing w:after="0"/>
      <w:outlineLvl w:val="7"/>
    </w:pPr>
    <w:rPr>
      <w:rFonts w:ascii="Cambria" w:eastAsia="Times New Roman" w:hAnsi="Cambria"/>
      <w:sz w:val="20"/>
      <w:szCs w:val="20"/>
    </w:rPr>
  </w:style>
  <w:style w:type="paragraph" w:styleId="Heading9">
    <w:name w:val="heading 9"/>
    <w:basedOn w:val="Normal"/>
    <w:next w:val="Normal"/>
    <w:link w:val="Heading9Char"/>
    <w:uiPriority w:val="9"/>
    <w:semiHidden/>
    <w:unhideWhenUsed/>
    <w:qFormat/>
    <w:rsid w:val="002D764C"/>
    <w:pPr>
      <w:spacing w:after="0"/>
      <w:outlineLvl w:val="8"/>
    </w:pPr>
    <w:rPr>
      <w:rFonts w:ascii="Cambria" w:eastAsia="Times New Roman"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D764C"/>
    <w:rPr>
      <w:rFonts w:ascii="Cambria" w:eastAsia="Times New Roman" w:hAnsi="Cambria" w:cs="Times New Roman"/>
      <w:b/>
      <w:bCs/>
      <w:sz w:val="28"/>
      <w:szCs w:val="28"/>
    </w:rPr>
  </w:style>
  <w:style w:type="character" w:customStyle="1" w:styleId="Heading2Char">
    <w:name w:val="Heading 2 Char"/>
    <w:link w:val="Heading2"/>
    <w:rsid w:val="002D764C"/>
    <w:rPr>
      <w:rFonts w:ascii="Cambria" w:eastAsia="Times New Roman" w:hAnsi="Cambria" w:cs="Times New Roman"/>
      <w:b/>
      <w:bCs/>
      <w:sz w:val="26"/>
      <w:szCs w:val="26"/>
    </w:rPr>
  </w:style>
  <w:style w:type="character" w:customStyle="1" w:styleId="Heading3Char">
    <w:name w:val="Heading 3 Char"/>
    <w:link w:val="Heading3"/>
    <w:uiPriority w:val="9"/>
    <w:semiHidden/>
    <w:rsid w:val="002D764C"/>
    <w:rPr>
      <w:rFonts w:ascii="Cambria" w:eastAsia="Times New Roman" w:hAnsi="Cambria" w:cs="Times New Roman"/>
      <w:b/>
      <w:bCs/>
    </w:rPr>
  </w:style>
  <w:style w:type="character" w:customStyle="1" w:styleId="Heading4Char">
    <w:name w:val="Heading 4 Char"/>
    <w:link w:val="Heading4"/>
    <w:uiPriority w:val="9"/>
    <w:semiHidden/>
    <w:rsid w:val="002D764C"/>
    <w:rPr>
      <w:rFonts w:ascii="Cambria" w:eastAsia="Times New Roman" w:hAnsi="Cambria" w:cs="Times New Roman"/>
      <w:b/>
      <w:bCs/>
      <w:i/>
      <w:iCs/>
    </w:rPr>
  </w:style>
  <w:style w:type="character" w:customStyle="1" w:styleId="Heading5Char">
    <w:name w:val="Heading 5 Char"/>
    <w:link w:val="Heading5"/>
    <w:uiPriority w:val="9"/>
    <w:semiHidden/>
    <w:rsid w:val="002D764C"/>
    <w:rPr>
      <w:rFonts w:ascii="Cambria" w:eastAsia="Times New Roman" w:hAnsi="Cambria" w:cs="Times New Roman"/>
      <w:b/>
      <w:bCs/>
      <w:color w:val="7F7F7F"/>
    </w:rPr>
  </w:style>
  <w:style w:type="character" w:customStyle="1" w:styleId="Heading6Char">
    <w:name w:val="Heading 6 Char"/>
    <w:link w:val="Heading6"/>
    <w:uiPriority w:val="9"/>
    <w:semiHidden/>
    <w:rsid w:val="002D764C"/>
    <w:rPr>
      <w:rFonts w:ascii="Cambria" w:eastAsia="Times New Roman" w:hAnsi="Cambria" w:cs="Times New Roman"/>
      <w:b/>
      <w:bCs/>
      <w:i/>
      <w:iCs/>
      <w:color w:val="7F7F7F"/>
    </w:rPr>
  </w:style>
  <w:style w:type="character" w:customStyle="1" w:styleId="Heading7Char">
    <w:name w:val="Heading 7 Char"/>
    <w:link w:val="Heading7"/>
    <w:uiPriority w:val="9"/>
    <w:semiHidden/>
    <w:rsid w:val="002D764C"/>
    <w:rPr>
      <w:rFonts w:ascii="Cambria" w:eastAsia="Times New Roman" w:hAnsi="Cambria" w:cs="Times New Roman"/>
      <w:i/>
      <w:iCs/>
    </w:rPr>
  </w:style>
  <w:style w:type="character" w:customStyle="1" w:styleId="Heading8Char">
    <w:name w:val="Heading 8 Char"/>
    <w:link w:val="Heading8"/>
    <w:uiPriority w:val="9"/>
    <w:semiHidden/>
    <w:rsid w:val="002D764C"/>
    <w:rPr>
      <w:rFonts w:ascii="Cambria" w:eastAsia="Times New Roman" w:hAnsi="Cambria" w:cs="Times New Roman"/>
      <w:sz w:val="20"/>
      <w:szCs w:val="20"/>
    </w:rPr>
  </w:style>
  <w:style w:type="character" w:customStyle="1" w:styleId="Heading9Char">
    <w:name w:val="Heading 9 Char"/>
    <w:link w:val="Heading9"/>
    <w:uiPriority w:val="9"/>
    <w:semiHidden/>
    <w:rsid w:val="002D764C"/>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2D764C"/>
    <w:pPr>
      <w:pBdr>
        <w:bottom w:val="single" w:sz="4" w:space="1" w:color="auto"/>
      </w:pBdr>
      <w:spacing w:line="240" w:lineRule="auto"/>
      <w:contextualSpacing/>
    </w:pPr>
    <w:rPr>
      <w:rFonts w:ascii="Cambria" w:eastAsia="Times New Roman" w:hAnsi="Cambria"/>
      <w:spacing w:val="5"/>
      <w:sz w:val="52"/>
      <w:szCs w:val="52"/>
    </w:rPr>
  </w:style>
  <w:style w:type="character" w:customStyle="1" w:styleId="TitleChar">
    <w:name w:val="Title Char"/>
    <w:link w:val="Title"/>
    <w:uiPriority w:val="10"/>
    <w:rsid w:val="002D764C"/>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2D764C"/>
    <w:pPr>
      <w:spacing w:after="600"/>
    </w:pPr>
    <w:rPr>
      <w:rFonts w:ascii="Cambria" w:eastAsia="Times New Roman" w:hAnsi="Cambria"/>
      <w:i/>
      <w:iCs/>
      <w:spacing w:val="13"/>
      <w:szCs w:val="24"/>
    </w:rPr>
  </w:style>
  <w:style w:type="character" w:customStyle="1" w:styleId="SubtitleChar">
    <w:name w:val="Subtitle Char"/>
    <w:link w:val="Subtitle"/>
    <w:uiPriority w:val="11"/>
    <w:rsid w:val="002D764C"/>
    <w:rPr>
      <w:rFonts w:ascii="Cambria" w:eastAsia="Times New Roman" w:hAnsi="Cambria" w:cs="Times New Roman"/>
      <w:i/>
      <w:iCs/>
      <w:spacing w:val="13"/>
      <w:sz w:val="24"/>
      <w:szCs w:val="24"/>
    </w:rPr>
  </w:style>
  <w:style w:type="character" w:styleId="Strong">
    <w:name w:val="Strong"/>
    <w:uiPriority w:val="22"/>
    <w:qFormat/>
    <w:rsid w:val="002D764C"/>
    <w:rPr>
      <w:b/>
      <w:bCs/>
    </w:rPr>
  </w:style>
  <w:style w:type="character" w:styleId="Emphasis">
    <w:name w:val="Emphasis"/>
    <w:uiPriority w:val="20"/>
    <w:qFormat/>
    <w:rsid w:val="002D764C"/>
    <w:rPr>
      <w:b/>
      <w:bCs/>
      <w:i/>
      <w:iCs/>
      <w:spacing w:val="10"/>
      <w:bdr w:val="none" w:sz="0" w:space="0" w:color="auto"/>
      <w:shd w:val="clear" w:color="auto" w:fill="auto"/>
    </w:rPr>
  </w:style>
  <w:style w:type="paragraph" w:styleId="NoSpacing">
    <w:name w:val="No Spacing"/>
    <w:basedOn w:val="Normal"/>
    <w:uiPriority w:val="1"/>
    <w:qFormat/>
    <w:rsid w:val="002D764C"/>
    <w:pPr>
      <w:spacing w:after="0" w:line="240" w:lineRule="auto"/>
    </w:pPr>
  </w:style>
  <w:style w:type="paragraph" w:styleId="ListParagraph">
    <w:name w:val="List Paragraph"/>
    <w:basedOn w:val="Normal"/>
    <w:uiPriority w:val="34"/>
    <w:qFormat/>
    <w:rsid w:val="002D764C"/>
    <w:pPr>
      <w:ind w:left="720"/>
      <w:contextualSpacing/>
    </w:pPr>
  </w:style>
  <w:style w:type="paragraph" w:styleId="Quote">
    <w:name w:val="Quote"/>
    <w:basedOn w:val="Normal"/>
    <w:next w:val="Normal"/>
    <w:link w:val="QuoteChar"/>
    <w:uiPriority w:val="29"/>
    <w:qFormat/>
    <w:rsid w:val="002D764C"/>
    <w:pPr>
      <w:spacing w:before="200" w:after="0"/>
      <w:ind w:left="360" w:right="360"/>
    </w:pPr>
    <w:rPr>
      <w:i/>
      <w:iCs/>
    </w:rPr>
  </w:style>
  <w:style w:type="character" w:customStyle="1" w:styleId="QuoteChar">
    <w:name w:val="Quote Char"/>
    <w:link w:val="Quote"/>
    <w:uiPriority w:val="29"/>
    <w:rsid w:val="002D764C"/>
    <w:rPr>
      <w:i/>
      <w:iCs/>
    </w:rPr>
  </w:style>
  <w:style w:type="paragraph" w:styleId="IntenseQuote">
    <w:name w:val="Intense Quote"/>
    <w:basedOn w:val="Normal"/>
    <w:next w:val="Normal"/>
    <w:link w:val="IntenseQuoteChar"/>
    <w:uiPriority w:val="30"/>
    <w:qFormat/>
    <w:rsid w:val="002D764C"/>
    <w:pPr>
      <w:pBdr>
        <w:bottom w:val="single" w:sz="4" w:space="1" w:color="auto"/>
      </w:pBdr>
      <w:spacing w:before="200" w:after="280"/>
      <w:ind w:left="1008" w:right="1152"/>
      <w:jc w:val="both"/>
    </w:pPr>
    <w:rPr>
      <w:b/>
      <w:bCs/>
      <w:i/>
      <w:iCs/>
    </w:rPr>
  </w:style>
  <w:style w:type="character" w:customStyle="1" w:styleId="IntenseQuoteChar">
    <w:name w:val="Intense Quote Char"/>
    <w:link w:val="IntenseQuote"/>
    <w:uiPriority w:val="30"/>
    <w:rsid w:val="002D764C"/>
    <w:rPr>
      <w:b/>
      <w:bCs/>
      <w:i/>
      <w:iCs/>
    </w:rPr>
  </w:style>
  <w:style w:type="character" w:styleId="SubtleEmphasis">
    <w:name w:val="Subtle Emphasis"/>
    <w:uiPriority w:val="19"/>
    <w:qFormat/>
    <w:rsid w:val="002D764C"/>
    <w:rPr>
      <w:i/>
      <w:iCs/>
    </w:rPr>
  </w:style>
  <w:style w:type="character" w:styleId="IntenseEmphasis">
    <w:name w:val="Intense Emphasis"/>
    <w:uiPriority w:val="21"/>
    <w:qFormat/>
    <w:rsid w:val="002D764C"/>
    <w:rPr>
      <w:b/>
      <w:bCs/>
    </w:rPr>
  </w:style>
  <w:style w:type="character" w:styleId="SubtleReference">
    <w:name w:val="Subtle Reference"/>
    <w:uiPriority w:val="31"/>
    <w:qFormat/>
    <w:rsid w:val="002D764C"/>
    <w:rPr>
      <w:smallCaps/>
    </w:rPr>
  </w:style>
  <w:style w:type="character" w:styleId="IntenseReference">
    <w:name w:val="Intense Reference"/>
    <w:uiPriority w:val="32"/>
    <w:qFormat/>
    <w:rsid w:val="002D764C"/>
    <w:rPr>
      <w:smallCaps/>
      <w:spacing w:val="5"/>
      <w:u w:val="single"/>
    </w:rPr>
  </w:style>
  <w:style w:type="character" w:styleId="BookTitle">
    <w:name w:val="Book Title"/>
    <w:uiPriority w:val="33"/>
    <w:qFormat/>
    <w:rsid w:val="002D764C"/>
    <w:rPr>
      <w:i/>
      <w:iCs/>
      <w:smallCaps/>
      <w:spacing w:val="5"/>
    </w:rPr>
  </w:style>
  <w:style w:type="paragraph" w:styleId="TOCHeading">
    <w:name w:val="TOC Heading"/>
    <w:basedOn w:val="Heading1"/>
    <w:next w:val="Normal"/>
    <w:uiPriority w:val="39"/>
    <w:semiHidden/>
    <w:unhideWhenUsed/>
    <w:qFormat/>
    <w:rsid w:val="002D764C"/>
    <w:pPr>
      <w:outlineLvl w:val="9"/>
    </w:pPr>
    <w:rPr>
      <w:lang w:bidi="en-US"/>
    </w:rPr>
  </w:style>
  <w:style w:type="paragraph" w:styleId="BalloonText">
    <w:name w:val="Balloon Text"/>
    <w:basedOn w:val="Normal"/>
    <w:link w:val="BalloonTextChar"/>
    <w:uiPriority w:val="99"/>
    <w:semiHidden/>
    <w:unhideWhenUsed/>
    <w:rsid w:val="005F4A18"/>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F4A18"/>
    <w:rPr>
      <w:rFonts w:ascii="Tahoma" w:hAnsi="Tahoma" w:cs="Tahoma"/>
      <w:sz w:val="16"/>
      <w:szCs w:val="16"/>
    </w:rPr>
  </w:style>
  <w:style w:type="paragraph" w:customStyle="1" w:styleId="Standard">
    <w:name w:val="Standard"/>
    <w:rsid w:val="002A6B98"/>
    <w:pPr>
      <w:widowControl w:val="0"/>
      <w:suppressAutoHyphens/>
      <w:autoSpaceDN w:val="0"/>
      <w:spacing w:line="480" w:lineRule="auto"/>
      <w:textAlignment w:val="baseline"/>
    </w:pPr>
    <w:rPr>
      <w:rFonts w:ascii="Liberation Serif" w:eastAsia="Droid Sans Fallback" w:hAnsi="Liberation Serif" w:cs="FreeSans"/>
      <w:kern w:val="3"/>
      <w:sz w:val="24"/>
      <w:szCs w:val="24"/>
      <w:lang w:eastAsia="zh-CN" w:bidi="hi-IN"/>
    </w:rPr>
  </w:style>
  <w:style w:type="paragraph" w:customStyle="1" w:styleId="Textbody">
    <w:name w:val="Text body"/>
    <w:basedOn w:val="Normal"/>
    <w:rsid w:val="00DD65CE"/>
    <w:pPr>
      <w:widowControl w:val="0"/>
      <w:suppressAutoHyphens/>
      <w:autoSpaceDN w:val="0"/>
      <w:spacing w:after="120" w:line="480" w:lineRule="auto"/>
      <w:textAlignment w:val="baseline"/>
    </w:pPr>
    <w:rPr>
      <w:rFonts w:ascii="Liberation Serif" w:eastAsia="Droid Sans Fallback" w:hAnsi="Liberation Serif" w:cs="FreeSans"/>
      <w:kern w:val="3"/>
      <w:szCs w:val="24"/>
      <w:lang w:val="en-GB" w:eastAsia="zh-CN" w:bidi="hi-IN"/>
    </w:rPr>
  </w:style>
  <w:style w:type="paragraph" w:customStyle="1" w:styleId="Paragraph">
    <w:name w:val="Paragraph"/>
    <w:basedOn w:val="Normal"/>
    <w:rsid w:val="00DD65CE"/>
    <w:pPr>
      <w:suppressAutoHyphens/>
      <w:autoSpaceDE w:val="0"/>
      <w:autoSpaceDN w:val="0"/>
      <w:spacing w:after="0" w:line="360" w:lineRule="auto"/>
      <w:ind w:firstLine="720"/>
      <w:jc w:val="both"/>
      <w:textAlignment w:val="baseline"/>
    </w:pPr>
    <w:rPr>
      <w:rFonts w:ascii="Liberation Serif" w:eastAsia="Droid Sans Fallback" w:hAnsi="Liberation Serif" w:cs="FreeSans"/>
      <w:kern w:val="3"/>
      <w:szCs w:val="24"/>
      <w:lang w:val="en-GB" w:eastAsia="zh-CN" w:bidi="hi-IN"/>
    </w:rPr>
  </w:style>
  <w:style w:type="character" w:styleId="CommentReference">
    <w:name w:val="annotation reference"/>
    <w:uiPriority w:val="99"/>
    <w:semiHidden/>
    <w:unhideWhenUsed/>
    <w:rsid w:val="00846AB4"/>
    <w:rPr>
      <w:sz w:val="16"/>
      <w:szCs w:val="16"/>
    </w:rPr>
  </w:style>
  <w:style w:type="paragraph" w:styleId="CommentText">
    <w:name w:val="annotation text"/>
    <w:basedOn w:val="Normal"/>
    <w:link w:val="CommentTextChar"/>
    <w:uiPriority w:val="99"/>
    <w:semiHidden/>
    <w:unhideWhenUsed/>
    <w:rsid w:val="00846AB4"/>
    <w:pPr>
      <w:spacing w:line="240" w:lineRule="auto"/>
    </w:pPr>
    <w:rPr>
      <w:sz w:val="20"/>
      <w:szCs w:val="20"/>
    </w:rPr>
  </w:style>
  <w:style w:type="character" w:customStyle="1" w:styleId="CommentTextChar">
    <w:name w:val="Comment Text Char"/>
    <w:link w:val="CommentText"/>
    <w:uiPriority w:val="99"/>
    <w:semiHidden/>
    <w:rsid w:val="00846AB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46AB4"/>
    <w:rPr>
      <w:b/>
      <w:bCs/>
    </w:rPr>
  </w:style>
  <w:style w:type="character" w:customStyle="1" w:styleId="CommentSubjectChar">
    <w:name w:val="Comment Subject Char"/>
    <w:link w:val="CommentSubject"/>
    <w:uiPriority w:val="99"/>
    <w:semiHidden/>
    <w:rsid w:val="00846AB4"/>
    <w:rPr>
      <w:rFonts w:ascii="Times New Roman" w:hAnsi="Times New Roman"/>
      <w:b/>
      <w:bCs/>
      <w:sz w:val="20"/>
      <w:szCs w:val="20"/>
    </w:rPr>
  </w:style>
  <w:style w:type="character" w:customStyle="1" w:styleId="FigureheadingChar">
    <w:name w:val="Figure heading Char"/>
    <w:rsid w:val="00471275"/>
    <w:rPr>
      <w:rFonts w:ascii="Times New Roman" w:eastAsia="Times New Roman" w:hAnsi="Times New Roman"/>
      <w:b/>
      <w:sz w:val="22"/>
      <w:szCs w:val="24"/>
      <w:lang w:eastAsia="en-US"/>
    </w:rPr>
  </w:style>
  <w:style w:type="paragraph" w:styleId="Bibliography">
    <w:name w:val="Bibliography"/>
    <w:basedOn w:val="Normal"/>
    <w:next w:val="Normal"/>
    <w:uiPriority w:val="37"/>
    <w:unhideWhenUsed/>
    <w:rsid w:val="00F977E7"/>
    <w:pPr>
      <w:tabs>
        <w:tab w:val="left" w:pos="504"/>
      </w:tabs>
      <w:spacing w:after="240" w:line="240" w:lineRule="auto"/>
      <w:ind w:left="504" w:hanging="50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764C"/>
    <w:pPr>
      <w:spacing w:after="200" w:line="276" w:lineRule="auto"/>
    </w:pPr>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2D764C"/>
    <w:pPr>
      <w:spacing w:before="480" w:after="0"/>
      <w:contextualSpacing/>
      <w:outlineLvl w:val="0"/>
    </w:pPr>
    <w:rPr>
      <w:rFonts w:ascii="Cambria" w:eastAsia="Times New Roman" w:hAnsi="Cambria"/>
      <w:b/>
      <w:bCs/>
      <w:sz w:val="28"/>
      <w:szCs w:val="28"/>
    </w:rPr>
  </w:style>
  <w:style w:type="paragraph" w:styleId="Heading2">
    <w:name w:val="heading 2"/>
    <w:basedOn w:val="Normal"/>
    <w:next w:val="Normal"/>
    <w:link w:val="Heading2Char"/>
    <w:unhideWhenUsed/>
    <w:qFormat/>
    <w:rsid w:val="002D764C"/>
    <w:pPr>
      <w:spacing w:before="200" w:after="0"/>
      <w:outlineLvl w:val="1"/>
    </w:pPr>
    <w:rPr>
      <w:rFonts w:ascii="Cambria" w:eastAsia="Times New Roman" w:hAnsi="Cambria"/>
      <w:b/>
      <w:bCs/>
      <w:sz w:val="26"/>
      <w:szCs w:val="26"/>
    </w:rPr>
  </w:style>
  <w:style w:type="paragraph" w:styleId="Heading3">
    <w:name w:val="heading 3"/>
    <w:basedOn w:val="Normal"/>
    <w:next w:val="Normal"/>
    <w:link w:val="Heading3Char"/>
    <w:uiPriority w:val="9"/>
    <w:semiHidden/>
    <w:unhideWhenUsed/>
    <w:qFormat/>
    <w:rsid w:val="002D764C"/>
    <w:pPr>
      <w:spacing w:before="200" w:after="0" w:line="271" w:lineRule="auto"/>
      <w:outlineLvl w:val="2"/>
    </w:pPr>
    <w:rPr>
      <w:rFonts w:ascii="Cambria" w:eastAsia="Times New Roman" w:hAnsi="Cambria"/>
      <w:b/>
      <w:bCs/>
    </w:rPr>
  </w:style>
  <w:style w:type="paragraph" w:styleId="Heading4">
    <w:name w:val="heading 4"/>
    <w:basedOn w:val="Normal"/>
    <w:next w:val="Normal"/>
    <w:link w:val="Heading4Char"/>
    <w:uiPriority w:val="9"/>
    <w:semiHidden/>
    <w:unhideWhenUsed/>
    <w:qFormat/>
    <w:rsid w:val="002D764C"/>
    <w:pPr>
      <w:spacing w:before="200" w:after="0"/>
      <w:outlineLvl w:val="3"/>
    </w:pPr>
    <w:rPr>
      <w:rFonts w:ascii="Cambria" w:eastAsia="Times New Roman" w:hAnsi="Cambria"/>
      <w:b/>
      <w:bCs/>
      <w:i/>
      <w:iCs/>
    </w:rPr>
  </w:style>
  <w:style w:type="paragraph" w:styleId="Heading5">
    <w:name w:val="heading 5"/>
    <w:basedOn w:val="Normal"/>
    <w:next w:val="Normal"/>
    <w:link w:val="Heading5Char"/>
    <w:uiPriority w:val="9"/>
    <w:semiHidden/>
    <w:unhideWhenUsed/>
    <w:qFormat/>
    <w:rsid w:val="002D764C"/>
    <w:pPr>
      <w:spacing w:before="200" w:after="0"/>
      <w:outlineLvl w:val="4"/>
    </w:pPr>
    <w:rPr>
      <w:rFonts w:ascii="Cambria" w:eastAsia="Times New Roman" w:hAnsi="Cambria"/>
      <w:b/>
      <w:bCs/>
      <w:color w:val="7F7F7F"/>
    </w:rPr>
  </w:style>
  <w:style w:type="paragraph" w:styleId="Heading6">
    <w:name w:val="heading 6"/>
    <w:basedOn w:val="Normal"/>
    <w:next w:val="Normal"/>
    <w:link w:val="Heading6Char"/>
    <w:uiPriority w:val="9"/>
    <w:semiHidden/>
    <w:unhideWhenUsed/>
    <w:qFormat/>
    <w:rsid w:val="002D764C"/>
    <w:pPr>
      <w:spacing w:after="0" w:line="271" w:lineRule="auto"/>
      <w:outlineLvl w:val="5"/>
    </w:pPr>
    <w:rPr>
      <w:rFonts w:ascii="Cambria" w:eastAsia="Times New Roman" w:hAnsi="Cambria"/>
      <w:b/>
      <w:bCs/>
      <w:i/>
      <w:iCs/>
      <w:color w:val="7F7F7F"/>
    </w:rPr>
  </w:style>
  <w:style w:type="paragraph" w:styleId="Heading7">
    <w:name w:val="heading 7"/>
    <w:basedOn w:val="Normal"/>
    <w:next w:val="Normal"/>
    <w:link w:val="Heading7Char"/>
    <w:uiPriority w:val="9"/>
    <w:semiHidden/>
    <w:unhideWhenUsed/>
    <w:qFormat/>
    <w:rsid w:val="002D764C"/>
    <w:pPr>
      <w:spacing w:after="0"/>
      <w:outlineLvl w:val="6"/>
    </w:pPr>
    <w:rPr>
      <w:rFonts w:ascii="Cambria" w:eastAsia="Times New Roman" w:hAnsi="Cambria"/>
      <w:i/>
      <w:iCs/>
    </w:rPr>
  </w:style>
  <w:style w:type="paragraph" w:styleId="Heading8">
    <w:name w:val="heading 8"/>
    <w:basedOn w:val="Normal"/>
    <w:next w:val="Normal"/>
    <w:link w:val="Heading8Char"/>
    <w:uiPriority w:val="9"/>
    <w:semiHidden/>
    <w:unhideWhenUsed/>
    <w:qFormat/>
    <w:rsid w:val="002D764C"/>
    <w:pPr>
      <w:spacing w:after="0"/>
      <w:outlineLvl w:val="7"/>
    </w:pPr>
    <w:rPr>
      <w:rFonts w:ascii="Cambria" w:eastAsia="Times New Roman" w:hAnsi="Cambria"/>
      <w:sz w:val="20"/>
      <w:szCs w:val="20"/>
    </w:rPr>
  </w:style>
  <w:style w:type="paragraph" w:styleId="Heading9">
    <w:name w:val="heading 9"/>
    <w:basedOn w:val="Normal"/>
    <w:next w:val="Normal"/>
    <w:link w:val="Heading9Char"/>
    <w:uiPriority w:val="9"/>
    <w:semiHidden/>
    <w:unhideWhenUsed/>
    <w:qFormat/>
    <w:rsid w:val="002D764C"/>
    <w:pPr>
      <w:spacing w:after="0"/>
      <w:outlineLvl w:val="8"/>
    </w:pPr>
    <w:rPr>
      <w:rFonts w:ascii="Cambria" w:eastAsia="Times New Roman"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D764C"/>
    <w:rPr>
      <w:rFonts w:ascii="Cambria" w:eastAsia="Times New Roman" w:hAnsi="Cambria" w:cs="Times New Roman"/>
      <w:b/>
      <w:bCs/>
      <w:sz w:val="28"/>
      <w:szCs w:val="28"/>
    </w:rPr>
  </w:style>
  <w:style w:type="character" w:customStyle="1" w:styleId="Heading2Char">
    <w:name w:val="Heading 2 Char"/>
    <w:link w:val="Heading2"/>
    <w:rsid w:val="002D764C"/>
    <w:rPr>
      <w:rFonts w:ascii="Cambria" w:eastAsia="Times New Roman" w:hAnsi="Cambria" w:cs="Times New Roman"/>
      <w:b/>
      <w:bCs/>
      <w:sz w:val="26"/>
      <w:szCs w:val="26"/>
    </w:rPr>
  </w:style>
  <w:style w:type="character" w:customStyle="1" w:styleId="Heading3Char">
    <w:name w:val="Heading 3 Char"/>
    <w:link w:val="Heading3"/>
    <w:uiPriority w:val="9"/>
    <w:semiHidden/>
    <w:rsid w:val="002D764C"/>
    <w:rPr>
      <w:rFonts w:ascii="Cambria" w:eastAsia="Times New Roman" w:hAnsi="Cambria" w:cs="Times New Roman"/>
      <w:b/>
      <w:bCs/>
    </w:rPr>
  </w:style>
  <w:style w:type="character" w:customStyle="1" w:styleId="Heading4Char">
    <w:name w:val="Heading 4 Char"/>
    <w:link w:val="Heading4"/>
    <w:uiPriority w:val="9"/>
    <w:semiHidden/>
    <w:rsid w:val="002D764C"/>
    <w:rPr>
      <w:rFonts w:ascii="Cambria" w:eastAsia="Times New Roman" w:hAnsi="Cambria" w:cs="Times New Roman"/>
      <w:b/>
      <w:bCs/>
      <w:i/>
      <w:iCs/>
    </w:rPr>
  </w:style>
  <w:style w:type="character" w:customStyle="1" w:styleId="Heading5Char">
    <w:name w:val="Heading 5 Char"/>
    <w:link w:val="Heading5"/>
    <w:uiPriority w:val="9"/>
    <w:semiHidden/>
    <w:rsid w:val="002D764C"/>
    <w:rPr>
      <w:rFonts w:ascii="Cambria" w:eastAsia="Times New Roman" w:hAnsi="Cambria" w:cs="Times New Roman"/>
      <w:b/>
      <w:bCs/>
      <w:color w:val="7F7F7F"/>
    </w:rPr>
  </w:style>
  <w:style w:type="character" w:customStyle="1" w:styleId="Heading6Char">
    <w:name w:val="Heading 6 Char"/>
    <w:link w:val="Heading6"/>
    <w:uiPriority w:val="9"/>
    <w:semiHidden/>
    <w:rsid w:val="002D764C"/>
    <w:rPr>
      <w:rFonts w:ascii="Cambria" w:eastAsia="Times New Roman" w:hAnsi="Cambria" w:cs="Times New Roman"/>
      <w:b/>
      <w:bCs/>
      <w:i/>
      <w:iCs/>
      <w:color w:val="7F7F7F"/>
    </w:rPr>
  </w:style>
  <w:style w:type="character" w:customStyle="1" w:styleId="Heading7Char">
    <w:name w:val="Heading 7 Char"/>
    <w:link w:val="Heading7"/>
    <w:uiPriority w:val="9"/>
    <w:semiHidden/>
    <w:rsid w:val="002D764C"/>
    <w:rPr>
      <w:rFonts w:ascii="Cambria" w:eastAsia="Times New Roman" w:hAnsi="Cambria" w:cs="Times New Roman"/>
      <w:i/>
      <w:iCs/>
    </w:rPr>
  </w:style>
  <w:style w:type="character" w:customStyle="1" w:styleId="Heading8Char">
    <w:name w:val="Heading 8 Char"/>
    <w:link w:val="Heading8"/>
    <w:uiPriority w:val="9"/>
    <w:semiHidden/>
    <w:rsid w:val="002D764C"/>
    <w:rPr>
      <w:rFonts w:ascii="Cambria" w:eastAsia="Times New Roman" w:hAnsi="Cambria" w:cs="Times New Roman"/>
      <w:sz w:val="20"/>
      <w:szCs w:val="20"/>
    </w:rPr>
  </w:style>
  <w:style w:type="character" w:customStyle="1" w:styleId="Heading9Char">
    <w:name w:val="Heading 9 Char"/>
    <w:link w:val="Heading9"/>
    <w:uiPriority w:val="9"/>
    <w:semiHidden/>
    <w:rsid w:val="002D764C"/>
    <w:rPr>
      <w:rFonts w:ascii="Cambria" w:eastAsia="Times New Roman" w:hAnsi="Cambria" w:cs="Times New Roman"/>
      <w:i/>
      <w:iCs/>
      <w:spacing w:val="5"/>
      <w:sz w:val="20"/>
      <w:szCs w:val="20"/>
    </w:rPr>
  </w:style>
  <w:style w:type="paragraph" w:styleId="Title">
    <w:name w:val="Title"/>
    <w:basedOn w:val="Normal"/>
    <w:next w:val="Normal"/>
    <w:link w:val="TitleChar"/>
    <w:uiPriority w:val="10"/>
    <w:qFormat/>
    <w:rsid w:val="002D764C"/>
    <w:pPr>
      <w:pBdr>
        <w:bottom w:val="single" w:sz="4" w:space="1" w:color="auto"/>
      </w:pBdr>
      <w:spacing w:line="240" w:lineRule="auto"/>
      <w:contextualSpacing/>
    </w:pPr>
    <w:rPr>
      <w:rFonts w:ascii="Cambria" w:eastAsia="Times New Roman" w:hAnsi="Cambria"/>
      <w:spacing w:val="5"/>
      <w:sz w:val="52"/>
      <w:szCs w:val="52"/>
    </w:rPr>
  </w:style>
  <w:style w:type="character" w:customStyle="1" w:styleId="TitleChar">
    <w:name w:val="Title Char"/>
    <w:link w:val="Title"/>
    <w:uiPriority w:val="10"/>
    <w:rsid w:val="002D764C"/>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2D764C"/>
    <w:pPr>
      <w:spacing w:after="600"/>
    </w:pPr>
    <w:rPr>
      <w:rFonts w:ascii="Cambria" w:eastAsia="Times New Roman" w:hAnsi="Cambria"/>
      <w:i/>
      <w:iCs/>
      <w:spacing w:val="13"/>
      <w:szCs w:val="24"/>
    </w:rPr>
  </w:style>
  <w:style w:type="character" w:customStyle="1" w:styleId="SubtitleChar">
    <w:name w:val="Subtitle Char"/>
    <w:link w:val="Subtitle"/>
    <w:uiPriority w:val="11"/>
    <w:rsid w:val="002D764C"/>
    <w:rPr>
      <w:rFonts w:ascii="Cambria" w:eastAsia="Times New Roman" w:hAnsi="Cambria" w:cs="Times New Roman"/>
      <w:i/>
      <w:iCs/>
      <w:spacing w:val="13"/>
      <w:sz w:val="24"/>
      <w:szCs w:val="24"/>
    </w:rPr>
  </w:style>
  <w:style w:type="character" w:styleId="Strong">
    <w:name w:val="Strong"/>
    <w:uiPriority w:val="22"/>
    <w:qFormat/>
    <w:rsid w:val="002D764C"/>
    <w:rPr>
      <w:b/>
      <w:bCs/>
    </w:rPr>
  </w:style>
  <w:style w:type="character" w:styleId="Emphasis">
    <w:name w:val="Emphasis"/>
    <w:uiPriority w:val="20"/>
    <w:qFormat/>
    <w:rsid w:val="002D764C"/>
    <w:rPr>
      <w:b/>
      <w:bCs/>
      <w:i/>
      <w:iCs/>
      <w:spacing w:val="10"/>
      <w:bdr w:val="none" w:sz="0" w:space="0" w:color="auto"/>
      <w:shd w:val="clear" w:color="auto" w:fill="auto"/>
    </w:rPr>
  </w:style>
  <w:style w:type="paragraph" w:styleId="NoSpacing">
    <w:name w:val="No Spacing"/>
    <w:basedOn w:val="Normal"/>
    <w:uiPriority w:val="1"/>
    <w:qFormat/>
    <w:rsid w:val="002D764C"/>
    <w:pPr>
      <w:spacing w:after="0" w:line="240" w:lineRule="auto"/>
    </w:pPr>
  </w:style>
  <w:style w:type="paragraph" w:styleId="ListParagraph">
    <w:name w:val="List Paragraph"/>
    <w:basedOn w:val="Normal"/>
    <w:uiPriority w:val="34"/>
    <w:qFormat/>
    <w:rsid w:val="002D764C"/>
    <w:pPr>
      <w:ind w:left="720"/>
      <w:contextualSpacing/>
    </w:pPr>
  </w:style>
  <w:style w:type="paragraph" w:styleId="Quote">
    <w:name w:val="Quote"/>
    <w:basedOn w:val="Normal"/>
    <w:next w:val="Normal"/>
    <w:link w:val="QuoteChar"/>
    <w:uiPriority w:val="29"/>
    <w:qFormat/>
    <w:rsid w:val="002D764C"/>
    <w:pPr>
      <w:spacing w:before="200" w:after="0"/>
      <w:ind w:left="360" w:right="360"/>
    </w:pPr>
    <w:rPr>
      <w:i/>
      <w:iCs/>
    </w:rPr>
  </w:style>
  <w:style w:type="character" w:customStyle="1" w:styleId="QuoteChar">
    <w:name w:val="Quote Char"/>
    <w:link w:val="Quote"/>
    <w:uiPriority w:val="29"/>
    <w:rsid w:val="002D764C"/>
    <w:rPr>
      <w:i/>
      <w:iCs/>
    </w:rPr>
  </w:style>
  <w:style w:type="paragraph" w:styleId="IntenseQuote">
    <w:name w:val="Intense Quote"/>
    <w:basedOn w:val="Normal"/>
    <w:next w:val="Normal"/>
    <w:link w:val="IntenseQuoteChar"/>
    <w:uiPriority w:val="30"/>
    <w:qFormat/>
    <w:rsid w:val="002D764C"/>
    <w:pPr>
      <w:pBdr>
        <w:bottom w:val="single" w:sz="4" w:space="1" w:color="auto"/>
      </w:pBdr>
      <w:spacing w:before="200" w:after="280"/>
      <w:ind w:left="1008" w:right="1152"/>
      <w:jc w:val="both"/>
    </w:pPr>
    <w:rPr>
      <w:b/>
      <w:bCs/>
      <w:i/>
      <w:iCs/>
    </w:rPr>
  </w:style>
  <w:style w:type="character" w:customStyle="1" w:styleId="IntenseQuoteChar">
    <w:name w:val="Intense Quote Char"/>
    <w:link w:val="IntenseQuote"/>
    <w:uiPriority w:val="30"/>
    <w:rsid w:val="002D764C"/>
    <w:rPr>
      <w:b/>
      <w:bCs/>
      <w:i/>
      <w:iCs/>
    </w:rPr>
  </w:style>
  <w:style w:type="character" w:styleId="SubtleEmphasis">
    <w:name w:val="Subtle Emphasis"/>
    <w:uiPriority w:val="19"/>
    <w:qFormat/>
    <w:rsid w:val="002D764C"/>
    <w:rPr>
      <w:i/>
      <w:iCs/>
    </w:rPr>
  </w:style>
  <w:style w:type="character" w:styleId="IntenseEmphasis">
    <w:name w:val="Intense Emphasis"/>
    <w:uiPriority w:val="21"/>
    <w:qFormat/>
    <w:rsid w:val="002D764C"/>
    <w:rPr>
      <w:b/>
      <w:bCs/>
    </w:rPr>
  </w:style>
  <w:style w:type="character" w:styleId="SubtleReference">
    <w:name w:val="Subtle Reference"/>
    <w:uiPriority w:val="31"/>
    <w:qFormat/>
    <w:rsid w:val="002D764C"/>
    <w:rPr>
      <w:smallCaps/>
    </w:rPr>
  </w:style>
  <w:style w:type="character" w:styleId="IntenseReference">
    <w:name w:val="Intense Reference"/>
    <w:uiPriority w:val="32"/>
    <w:qFormat/>
    <w:rsid w:val="002D764C"/>
    <w:rPr>
      <w:smallCaps/>
      <w:spacing w:val="5"/>
      <w:u w:val="single"/>
    </w:rPr>
  </w:style>
  <w:style w:type="character" w:styleId="BookTitle">
    <w:name w:val="Book Title"/>
    <w:uiPriority w:val="33"/>
    <w:qFormat/>
    <w:rsid w:val="002D764C"/>
    <w:rPr>
      <w:i/>
      <w:iCs/>
      <w:smallCaps/>
      <w:spacing w:val="5"/>
    </w:rPr>
  </w:style>
  <w:style w:type="paragraph" w:styleId="TOCHeading">
    <w:name w:val="TOC Heading"/>
    <w:basedOn w:val="Heading1"/>
    <w:next w:val="Normal"/>
    <w:uiPriority w:val="39"/>
    <w:semiHidden/>
    <w:unhideWhenUsed/>
    <w:qFormat/>
    <w:rsid w:val="002D764C"/>
    <w:pPr>
      <w:outlineLvl w:val="9"/>
    </w:pPr>
    <w:rPr>
      <w:lang w:bidi="en-US"/>
    </w:rPr>
  </w:style>
  <w:style w:type="paragraph" w:styleId="BalloonText">
    <w:name w:val="Balloon Text"/>
    <w:basedOn w:val="Normal"/>
    <w:link w:val="BalloonTextChar"/>
    <w:uiPriority w:val="99"/>
    <w:semiHidden/>
    <w:unhideWhenUsed/>
    <w:rsid w:val="005F4A18"/>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F4A18"/>
    <w:rPr>
      <w:rFonts w:ascii="Tahoma" w:hAnsi="Tahoma" w:cs="Tahoma"/>
      <w:sz w:val="16"/>
      <w:szCs w:val="16"/>
    </w:rPr>
  </w:style>
  <w:style w:type="paragraph" w:customStyle="1" w:styleId="Standard">
    <w:name w:val="Standard"/>
    <w:rsid w:val="002A6B98"/>
    <w:pPr>
      <w:widowControl w:val="0"/>
      <w:suppressAutoHyphens/>
      <w:autoSpaceDN w:val="0"/>
      <w:spacing w:line="480" w:lineRule="auto"/>
      <w:textAlignment w:val="baseline"/>
    </w:pPr>
    <w:rPr>
      <w:rFonts w:ascii="Liberation Serif" w:eastAsia="Droid Sans Fallback" w:hAnsi="Liberation Serif" w:cs="FreeSans"/>
      <w:kern w:val="3"/>
      <w:sz w:val="24"/>
      <w:szCs w:val="24"/>
      <w:lang w:eastAsia="zh-CN" w:bidi="hi-IN"/>
    </w:rPr>
  </w:style>
  <w:style w:type="paragraph" w:customStyle="1" w:styleId="Textbody">
    <w:name w:val="Text body"/>
    <w:basedOn w:val="Normal"/>
    <w:rsid w:val="00DD65CE"/>
    <w:pPr>
      <w:widowControl w:val="0"/>
      <w:suppressAutoHyphens/>
      <w:autoSpaceDN w:val="0"/>
      <w:spacing w:after="120" w:line="480" w:lineRule="auto"/>
      <w:textAlignment w:val="baseline"/>
    </w:pPr>
    <w:rPr>
      <w:rFonts w:ascii="Liberation Serif" w:eastAsia="Droid Sans Fallback" w:hAnsi="Liberation Serif" w:cs="FreeSans"/>
      <w:kern w:val="3"/>
      <w:szCs w:val="24"/>
      <w:lang w:val="en-GB" w:eastAsia="zh-CN" w:bidi="hi-IN"/>
    </w:rPr>
  </w:style>
  <w:style w:type="paragraph" w:customStyle="1" w:styleId="Paragraph">
    <w:name w:val="Paragraph"/>
    <w:basedOn w:val="Normal"/>
    <w:rsid w:val="00DD65CE"/>
    <w:pPr>
      <w:suppressAutoHyphens/>
      <w:autoSpaceDE w:val="0"/>
      <w:autoSpaceDN w:val="0"/>
      <w:spacing w:after="0" w:line="360" w:lineRule="auto"/>
      <w:ind w:firstLine="720"/>
      <w:jc w:val="both"/>
      <w:textAlignment w:val="baseline"/>
    </w:pPr>
    <w:rPr>
      <w:rFonts w:ascii="Liberation Serif" w:eastAsia="Droid Sans Fallback" w:hAnsi="Liberation Serif" w:cs="FreeSans"/>
      <w:kern w:val="3"/>
      <w:szCs w:val="24"/>
      <w:lang w:val="en-GB" w:eastAsia="zh-CN" w:bidi="hi-IN"/>
    </w:rPr>
  </w:style>
  <w:style w:type="character" w:styleId="CommentReference">
    <w:name w:val="annotation reference"/>
    <w:uiPriority w:val="99"/>
    <w:semiHidden/>
    <w:unhideWhenUsed/>
    <w:rsid w:val="00846AB4"/>
    <w:rPr>
      <w:sz w:val="16"/>
      <w:szCs w:val="16"/>
    </w:rPr>
  </w:style>
  <w:style w:type="paragraph" w:styleId="CommentText">
    <w:name w:val="annotation text"/>
    <w:basedOn w:val="Normal"/>
    <w:link w:val="CommentTextChar"/>
    <w:uiPriority w:val="99"/>
    <w:semiHidden/>
    <w:unhideWhenUsed/>
    <w:rsid w:val="00846AB4"/>
    <w:pPr>
      <w:spacing w:line="240" w:lineRule="auto"/>
    </w:pPr>
    <w:rPr>
      <w:sz w:val="20"/>
      <w:szCs w:val="20"/>
    </w:rPr>
  </w:style>
  <w:style w:type="character" w:customStyle="1" w:styleId="CommentTextChar">
    <w:name w:val="Comment Text Char"/>
    <w:link w:val="CommentText"/>
    <w:uiPriority w:val="99"/>
    <w:semiHidden/>
    <w:rsid w:val="00846AB4"/>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46AB4"/>
    <w:rPr>
      <w:b/>
      <w:bCs/>
    </w:rPr>
  </w:style>
  <w:style w:type="character" w:customStyle="1" w:styleId="CommentSubjectChar">
    <w:name w:val="Comment Subject Char"/>
    <w:link w:val="CommentSubject"/>
    <w:uiPriority w:val="99"/>
    <w:semiHidden/>
    <w:rsid w:val="00846AB4"/>
    <w:rPr>
      <w:rFonts w:ascii="Times New Roman" w:hAnsi="Times New Roman"/>
      <w:b/>
      <w:bCs/>
      <w:sz w:val="20"/>
      <w:szCs w:val="20"/>
    </w:rPr>
  </w:style>
  <w:style w:type="character" w:customStyle="1" w:styleId="FigureheadingChar">
    <w:name w:val="Figure heading Char"/>
    <w:rsid w:val="00471275"/>
    <w:rPr>
      <w:rFonts w:ascii="Times New Roman" w:eastAsia="Times New Roman" w:hAnsi="Times New Roman"/>
      <w:b/>
      <w:sz w:val="22"/>
      <w:szCs w:val="24"/>
      <w:lang w:eastAsia="en-US"/>
    </w:rPr>
  </w:style>
  <w:style w:type="paragraph" w:styleId="Bibliography">
    <w:name w:val="Bibliography"/>
    <w:basedOn w:val="Normal"/>
    <w:next w:val="Normal"/>
    <w:uiPriority w:val="37"/>
    <w:unhideWhenUsed/>
    <w:rsid w:val="00F977E7"/>
    <w:pPr>
      <w:tabs>
        <w:tab w:val="left" w:pos="504"/>
      </w:tabs>
      <w:spacing w:after="24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30C40-E3A3-4295-9A39-2B84D1B6B0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13</Pages>
  <Words>4332</Words>
  <Characters>24696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Chalmers</Company>
  <LinksUpToDate>false</LinksUpToDate>
  <CharactersWithSpaces>28971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 Kerkhoven</dc:creator>
  <cp:lastModifiedBy>Eduard Kerkhoven</cp:lastModifiedBy>
  <cp:revision>4</cp:revision>
  <cp:lastPrinted>2013-03-13T10:14:00Z</cp:lastPrinted>
  <dcterms:created xsi:type="dcterms:W3CDTF">2013-08-23T08:35:00Z</dcterms:created>
  <dcterms:modified xsi:type="dcterms:W3CDTF">2013-10-25T12:12:00Z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zotero-version="4.0.11"&gt;&lt;session id="1AE0WO6s"/&gt;&lt;style id="http://www.zotero.org/styles/plos-computational-biology" hasBibliography="1" bibliographyStyleHasBeenSet="1"/&gt;&lt;prefs&gt;&lt;pref name="fieldType" value="Field"/&gt;&lt;pref name="storeR</vt:lpwstr>
  </property>
  <property fmtid="{D5CDD505-2E9C-101B-9397-08002B2CF9AE}" pid="3" name="ZOTERO_PREF_2">
    <vt:lpwstr>eferences" value="true"/&gt;&lt;pref name="automaticJournalAbbreviations" value="false"/&gt;&lt;pref name="noteType" value="0"/&gt;&lt;/prefs&gt;&lt;/data&gt;</vt:lpwstr>
  </property>
</Properties>
</file>