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F8C" w:rsidRPr="00061B50" w:rsidRDefault="00061B50">
      <w:pPr>
        <w:rPr>
          <w:rFonts w:ascii="Times New Roman" w:hAnsi="Times New Roman" w:cs="Times New Roman"/>
          <w:b/>
          <w:sz w:val="24"/>
          <w:szCs w:val="24"/>
          <w:lang w:val="en-US"/>
        </w:rPr>
      </w:pPr>
      <w:r w:rsidRPr="00061B50">
        <w:rPr>
          <w:rFonts w:ascii="Times New Roman" w:hAnsi="Times New Roman" w:cs="Times New Roman"/>
          <w:b/>
          <w:sz w:val="24"/>
          <w:szCs w:val="24"/>
          <w:lang w:val="en-US"/>
        </w:rPr>
        <w:t xml:space="preserve">Parameter estimation </w:t>
      </w:r>
    </w:p>
    <w:p w:rsidR="00061B50" w:rsidRPr="00061B50" w:rsidRDefault="00061B50" w:rsidP="00A92698">
      <w:pPr>
        <w:jc w:val="both"/>
        <w:rPr>
          <w:rFonts w:ascii="Times New Roman" w:hAnsi="Times New Roman" w:cs="Times New Roman"/>
          <w:sz w:val="24"/>
          <w:szCs w:val="24"/>
          <w:lang w:val="en-US"/>
        </w:rPr>
      </w:pPr>
      <w:r w:rsidRPr="00061B50">
        <w:rPr>
          <w:rFonts w:ascii="Times New Roman" w:hAnsi="Times New Roman" w:cs="Times New Roman"/>
          <w:sz w:val="24"/>
          <w:szCs w:val="24"/>
          <w:lang w:val="en-US"/>
        </w:rPr>
        <w:t>We have used experimental data</w:t>
      </w:r>
      <w:r w:rsidR="006E607A">
        <w:rPr>
          <w:rFonts w:ascii="Times New Roman" w:hAnsi="Times New Roman" w:cs="Times New Roman"/>
          <w:sz w:val="24"/>
          <w:szCs w:val="24"/>
          <w:lang w:val="en-US"/>
        </w:rPr>
        <w:t xml:space="preserve">, the 20 </w:t>
      </w:r>
      <w:proofErr w:type="spellStart"/>
      <w:r w:rsidR="006E607A">
        <w:rPr>
          <w:rFonts w:ascii="Times New Roman" w:hAnsi="Times New Roman" w:cs="Times New Roman"/>
          <w:sz w:val="24"/>
          <w:szCs w:val="24"/>
          <w:lang w:val="en-US"/>
        </w:rPr>
        <w:t>mM</w:t>
      </w:r>
      <w:proofErr w:type="spellEnd"/>
      <w:r w:rsidR="006E607A">
        <w:rPr>
          <w:rFonts w:ascii="Times New Roman" w:hAnsi="Times New Roman" w:cs="Times New Roman"/>
          <w:sz w:val="24"/>
          <w:szCs w:val="24"/>
          <w:lang w:val="en-US"/>
        </w:rPr>
        <w:t>-caffeine induced [Ca</w:t>
      </w:r>
      <w:r w:rsidR="006E607A" w:rsidRPr="00F77B46">
        <w:rPr>
          <w:rFonts w:ascii="Times New Roman" w:hAnsi="Times New Roman" w:cs="Times New Roman"/>
          <w:sz w:val="24"/>
          <w:szCs w:val="24"/>
          <w:vertAlign w:val="superscript"/>
          <w:lang w:val="en-US"/>
        </w:rPr>
        <w:t>2+</w:t>
      </w:r>
      <w:proofErr w:type="gramStart"/>
      <w:r w:rsidR="006E607A">
        <w:rPr>
          <w:rFonts w:ascii="Times New Roman" w:hAnsi="Times New Roman" w:cs="Times New Roman"/>
          <w:sz w:val="24"/>
          <w:szCs w:val="24"/>
          <w:lang w:val="en-US"/>
        </w:rPr>
        <w:t>]</w:t>
      </w:r>
      <w:proofErr w:type="spellStart"/>
      <w:r w:rsidR="006E607A" w:rsidRPr="00F77B46">
        <w:rPr>
          <w:rFonts w:ascii="Times New Roman" w:hAnsi="Times New Roman" w:cs="Times New Roman"/>
          <w:sz w:val="24"/>
          <w:szCs w:val="24"/>
          <w:vertAlign w:val="subscript"/>
          <w:lang w:val="en-US"/>
        </w:rPr>
        <w:t>i</w:t>
      </w:r>
      <w:proofErr w:type="spellEnd"/>
      <w:proofErr w:type="gramEnd"/>
      <w:r w:rsidR="006E607A">
        <w:rPr>
          <w:rFonts w:ascii="Times New Roman" w:hAnsi="Times New Roman" w:cs="Times New Roman"/>
          <w:sz w:val="24"/>
          <w:szCs w:val="24"/>
          <w:lang w:val="en-US"/>
        </w:rPr>
        <w:t xml:space="preserve"> responses, which </w:t>
      </w:r>
      <w:r w:rsidR="00F77B46">
        <w:rPr>
          <w:rFonts w:ascii="Times New Roman" w:hAnsi="Times New Roman" w:cs="Times New Roman"/>
          <w:sz w:val="24"/>
          <w:szCs w:val="24"/>
          <w:lang w:val="en-US"/>
        </w:rPr>
        <w:t>are</w:t>
      </w:r>
      <w:r w:rsidR="006E607A">
        <w:rPr>
          <w:rFonts w:ascii="Times New Roman" w:hAnsi="Times New Roman" w:cs="Times New Roman"/>
          <w:sz w:val="24"/>
          <w:szCs w:val="24"/>
          <w:lang w:val="en-US"/>
        </w:rPr>
        <w:t xml:space="preserve"> reported in </w:t>
      </w:r>
      <w:r w:rsidR="002501A4">
        <w:rPr>
          <w:rFonts w:ascii="Times New Roman" w:hAnsi="Times New Roman" w:cs="Times New Roman"/>
          <w:sz w:val="24"/>
          <w:szCs w:val="24"/>
          <w:lang w:val="en-US"/>
        </w:rPr>
        <w:t>Fig 2</w:t>
      </w:r>
      <w:r w:rsidR="00F86D13">
        <w:rPr>
          <w:rFonts w:ascii="Times New Roman" w:hAnsi="Times New Roman" w:cs="Times New Roman"/>
          <w:sz w:val="24"/>
          <w:szCs w:val="24"/>
          <w:lang w:val="en-US"/>
        </w:rPr>
        <w:t xml:space="preserve"> </w:t>
      </w:r>
      <w:r w:rsidR="006E607A">
        <w:rPr>
          <w:rFonts w:ascii="Times New Roman" w:hAnsi="Times New Roman" w:cs="Times New Roman"/>
          <w:sz w:val="24"/>
          <w:szCs w:val="24"/>
          <w:lang w:val="en-US"/>
        </w:rPr>
        <w:t>of this manuscript,</w:t>
      </w:r>
      <w:r w:rsidRPr="00061B50">
        <w:rPr>
          <w:rFonts w:ascii="Times New Roman" w:hAnsi="Times New Roman" w:cs="Times New Roman"/>
          <w:sz w:val="24"/>
          <w:szCs w:val="24"/>
          <w:lang w:val="en-US"/>
        </w:rPr>
        <w:t xml:space="preserve"> to estimate some of the </w:t>
      </w:r>
      <w:r>
        <w:rPr>
          <w:rFonts w:ascii="Times New Roman" w:hAnsi="Times New Roman" w:cs="Times New Roman"/>
          <w:sz w:val="24"/>
          <w:szCs w:val="24"/>
          <w:lang w:val="en-US"/>
        </w:rPr>
        <w:t xml:space="preserve">parameters </w:t>
      </w:r>
      <w:r w:rsidR="006E607A">
        <w:rPr>
          <w:rFonts w:ascii="Times New Roman" w:hAnsi="Times New Roman" w:cs="Times New Roman"/>
          <w:sz w:val="24"/>
          <w:szCs w:val="24"/>
          <w:lang w:val="en-US"/>
        </w:rPr>
        <w:t xml:space="preserve">that have been used to solve </w:t>
      </w:r>
      <w:r>
        <w:rPr>
          <w:rFonts w:ascii="Times New Roman" w:hAnsi="Times New Roman" w:cs="Times New Roman"/>
          <w:sz w:val="24"/>
          <w:szCs w:val="24"/>
          <w:lang w:val="en-US"/>
        </w:rPr>
        <w:t xml:space="preserve">the present </w:t>
      </w:r>
      <w:r w:rsidR="006E607A">
        <w:rPr>
          <w:rFonts w:ascii="Times New Roman" w:hAnsi="Times New Roman" w:cs="Times New Roman"/>
          <w:sz w:val="24"/>
          <w:szCs w:val="24"/>
          <w:lang w:val="en-US"/>
        </w:rPr>
        <w:t xml:space="preserve">mathematical </w:t>
      </w:r>
      <w:r>
        <w:rPr>
          <w:rFonts w:ascii="Times New Roman" w:hAnsi="Times New Roman" w:cs="Times New Roman"/>
          <w:sz w:val="24"/>
          <w:szCs w:val="24"/>
          <w:lang w:val="en-US"/>
        </w:rPr>
        <w:t xml:space="preserve">model. </w:t>
      </w:r>
      <w:r w:rsidRPr="00061B50">
        <w:rPr>
          <w:rFonts w:ascii="Times New Roman" w:hAnsi="Times New Roman" w:cs="Times New Roman"/>
          <w:sz w:val="24"/>
          <w:szCs w:val="24"/>
          <w:lang w:val="en-US"/>
        </w:rPr>
        <w:t xml:space="preserve">While the rest </w:t>
      </w:r>
      <w:r w:rsidR="006E607A">
        <w:rPr>
          <w:rFonts w:ascii="Times New Roman" w:hAnsi="Times New Roman" w:cs="Times New Roman"/>
          <w:sz w:val="24"/>
          <w:szCs w:val="24"/>
          <w:lang w:val="en-US"/>
        </w:rPr>
        <w:t xml:space="preserve">of the parameters </w:t>
      </w:r>
      <w:r w:rsidRPr="00061B50">
        <w:rPr>
          <w:rFonts w:ascii="Times New Roman" w:hAnsi="Times New Roman" w:cs="Times New Roman"/>
          <w:sz w:val="24"/>
          <w:szCs w:val="24"/>
          <w:lang w:val="en-US"/>
        </w:rPr>
        <w:t xml:space="preserve">were empirically </w:t>
      </w:r>
      <w:r w:rsidR="006E607A">
        <w:rPr>
          <w:rFonts w:ascii="Times New Roman" w:hAnsi="Times New Roman" w:cs="Times New Roman"/>
          <w:sz w:val="24"/>
          <w:szCs w:val="24"/>
          <w:lang w:val="en-US"/>
        </w:rPr>
        <w:t xml:space="preserve">estimated by </w:t>
      </w:r>
      <w:r w:rsidRPr="00061B50">
        <w:rPr>
          <w:rFonts w:ascii="Times New Roman" w:hAnsi="Times New Roman" w:cs="Times New Roman"/>
          <w:sz w:val="24"/>
          <w:szCs w:val="24"/>
          <w:lang w:val="en-US"/>
        </w:rPr>
        <w:t xml:space="preserve">searching for </w:t>
      </w:r>
      <w:r w:rsidR="006E607A">
        <w:rPr>
          <w:rFonts w:ascii="Times New Roman" w:hAnsi="Times New Roman" w:cs="Times New Roman"/>
          <w:sz w:val="24"/>
          <w:szCs w:val="24"/>
          <w:lang w:val="en-US"/>
        </w:rPr>
        <w:t xml:space="preserve">those </w:t>
      </w:r>
      <w:r w:rsidRPr="00061B50">
        <w:rPr>
          <w:rFonts w:ascii="Times New Roman" w:hAnsi="Times New Roman" w:cs="Times New Roman"/>
          <w:sz w:val="24"/>
          <w:szCs w:val="24"/>
          <w:lang w:val="en-US"/>
        </w:rPr>
        <w:t xml:space="preserve">values that allow the model to best reproduce </w:t>
      </w:r>
      <w:r w:rsidR="006E607A">
        <w:rPr>
          <w:rFonts w:ascii="Times New Roman" w:hAnsi="Times New Roman" w:cs="Times New Roman"/>
          <w:sz w:val="24"/>
          <w:szCs w:val="24"/>
          <w:lang w:val="en-US"/>
        </w:rPr>
        <w:t xml:space="preserve">the same </w:t>
      </w:r>
      <w:r w:rsidRPr="00061B50">
        <w:rPr>
          <w:rFonts w:ascii="Times New Roman" w:hAnsi="Times New Roman" w:cs="Times New Roman"/>
          <w:sz w:val="24"/>
          <w:szCs w:val="24"/>
          <w:lang w:val="en-US"/>
        </w:rPr>
        <w:t>experimental data</w:t>
      </w:r>
      <w:r w:rsidR="006E607A">
        <w:rPr>
          <w:rFonts w:ascii="Times New Roman" w:hAnsi="Times New Roman" w:cs="Times New Roman"/>
          <w:sz w:val="24"/>
          <w:szCs w:val="24"/>
          <w:lang w:val="en-US"/>
        </w:rPr>
        <w:t xml:space="preserve"> (</w:t>
      </w:r>
      <w:r w:rsidR="002501A4">
        <w:rPr>
          <w:rFonts w:ascii="Times New Roman" w:hAnsi="Times New Roman" w:cs="Times New Roman"/>
          <w:sz w:val="24"/>
          <w:szCs w:val="24"/>
          <w:lang w:val="en-US"/>
        </w:rPr>
        <w:t>Fig 2</w:t>
      </w:r>
      <w:r w:rsidR="006E607A">
        <w:rPr>
          <w:rFonts w:ascii="Times New Roman" w:hAnsi="Times New Roman" w:cs="Times New Roman"/>
          <w:sz w:val="24"/>
          <w:szCs w:val="24"/>
          <w:lang w:val="en-US"/>
        </w:rPr>
        <w:t>)</w:t>
      </w:r>
      <w:r w:rsidRPr="00061B50">
        <w:rPr>
          <w:rFonts w:ascii="Times New Roman" w:hAnsi="Times New Roman" w:cs="Times New Roman"/>
          <w:sz w:val="24"/>
          <w:szCs w:val="24"/>
          <w:lang w:val="en-US"/>
        </w:rPr>
        <w:t xml:space="preserve">. Below, you can find a detailed description on how </w:t>
      </w:r>
      <w:r w:rsidR="006E607A">
        <w:rPr>
          <w:rFonts w:ascii="Times New Roman" w:hAnsi="Times New Roman" w:cs="Times New Roman"/>
          <w:sz w:val="24"/>
          <w:szCs w:val="24"/>
          <w:lang w:val="en-US"/>
        </w:rPr>
        <w:t xml:space="preserve">these </w:t>
      </w:r>
      <w:r w:rsidRPr="00061B50">
        <w:rPr>
          <w:rFonts w:ascii="Times New Roman" w:hAnsi="Times New Roman" w:cs="Times New Roman"/>
          <w:sz w:val="24"/>
          <w:szCs w:val="24"/>
          <w:lang w:val="en-US"/>
        </w:rPr>
        <w:t>parameter</w:t>
      </w:r>
      <w:r w:rsidR="006E607A">
        <w:rPr>
          <w:rFonts w:ascii="Times New Roman" w:hAnsi="Times New Roman" w:cs="Times New Roman"/>
          <w:sz w:val="24"/>
          <w:szCs w:val="24"/>
          <w:lang w:val="en-US"/>
        </w:rPr>
        <w:t xml:space="preserve"> values were estimated</w:t>
      </w:r>
      <w:r w:rsidRPr="00061B50">
        <w:rPr>
          <w:rFonts w:ascii="Times New Roman" w:hAnsi="Times New Roman" w:cs="Times New Roman"/>
          <w:sz w:val="24"/>
          <w:szCs w:val="24"/>
          <w:lang w:val="en-US"/>
        </w:rPr>
        <w:t>.</w:t>
      </w:r>
    </w:p>
    <w:p w:rsidR="00061B50" w:rsidRPr="00061B50" w:rsidRDefault="00061B50" w:rsidP="00061B50">
      <w:pPr>
        <w:rPr>
          <w:rFonts w:ascii="Times New Roman" w:hAnsi="Times New Roman" w:cs="Times New Roman"/>
          <w:sz w:val="24"/>
          <w:szCs w:val="24"/>
          <w:lang w:val="en-US"/>
        </w:rPr>
      </w:pPr>
    </w:p>
    <w:p w:rsidR="00061B50" w:rsidRDefault="00F86D13" w:rsidP="00A92698">
      <w:pPr>
        <w:numPr>
          <w:ilvl w:val="0"/>
          <w:numId w:val="1"/>
        </w:numPr>
        <w:jc w:val="both"/>
        <w:rPr>
          <w:rFonts w:ascii="Times New Roman" w:hAnsi="Times New Roman" w:cs="Times New Roman"/>
          <w:sz w:val="24"/>
          <w:szCs w:val="24"/>
          <w:lang w:val="en-US"/>
        </w:rPr>
      </w:pPr>
      <w:r w:rsidRPr="00F86D13">
        <w:rPr>
          <w:rFonts w:ascii="Times New Roman" w:eastAsiaTheme="minorEastAsia" w:hAnsi="Times New Roman" w:cs="Times New Roman"/>
          <w:position w:val="-6"/>
          <w:sz w:val="24"/>
          <w:szCs w:val="24"/>
          <w:lang w:val="en-US"/>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1.2pt" o:ole="">
            <v:imagedata r:id="rId7" o:title=""/>
          </v:shape>
          <o:OLEObject Type="Embed" ProgID="Equation.DSMT4" ShapeID="_x0000_i1025" DrawAspect="Content" ObjectID="_1502802784" r:id="rId8"/>
        </w:object>
      </w:r>
      <w:r>
        <w:rPr>
          <w:rFonts w:ascii="Times New Roman" w:eastAsiaTheme="minorEastAsia" w:hAnsi="Times New Roman" w:cs="Times New Roman"/>
          <w:sz w:val="24"/>
          <w:szCs w:val="24"/>
          <w:lang w:val="en-US"/>
        </w:rPr>
        <w:t xml:space="preserve"> </w:t>
      </w:r>
      <w:r w:rsidR="00061B50" w:rsidRPr="00061B50">
        <w:rPr>
          <w:rFonts w:ascii="Times New Roman" w:hAnsi="Times New Roman" w:cs="Times New Roman"/>
          <w:sz w:val="24"/>
          <w:szCs w:val="24"/>
          <w:lang w:val="en-US"/>
        </w:rPr>
        <w:t xml:space="preserve">Being directly related to </w:t>
      </w:r>
      <w:r w:rsidR="00F77B46">
        <w:rPr>
          <w:rFonts w:ascii="Times New Roman" w:hAnsi="Times New Roman" w:cs="Times New Roman"/>
          <w:sz w:val="24"/>
          <w:szCs w:val="24"/>
          <w:lang w:val="en-US"/>
        </w:rPr>
        <w:t xml:space="preserve">those pumps present at the plasma membrane </w:t>
      </w:r>
      <w:r w:rsidR="00061B50" w:rsidRPr="00061B50">
        <w:rPr>
          <w:rFonts w:ascii="Times New Roman" w:hAnsi="Times New Roman" w:cs="Times New Roman"/>
          <w:sz w:val="24"/>
          <w:szCs w:val="24"/>
          <w:lang w:val="en-US"/>
        </w:rPr>
        <w:t>that remove the excess of Ca</w:t>
      </w:r>
      <w:r w:rsidR="00061B50" w:rsidRPr="00061B50">
        <w:rPr>
          <w:rFonts w:ascii="Times New Roman" w:hAnsi="Times New Roman" w:cs="Times New Roman"/>
          <w:sz w:val="24"/>
          <w:szCs w:val="24"/>
          <w:vertAlign w:val="superscript"/>
          <w:lang w:val="en-US"/>
        </w:rPr>
        <w:t>2+</w:t>
      </w:r>
      <w:r w:rsidR="00061B50" w:rsidRPr="00061B50">
        <w:rPr>
          <w:rFonts w:ascii="Times New Roman" w:hAnsi="Times New Roman" w:cs="Times New Roman"/>
          <w:sz w:val="24"/>
          <w:szCs w:val="24"/>
          <w:lang w:val="en-US"/>
        </w:rPr>
        <w:t xml:space="preserve"> from the cytoplasm, this parameter largely determines the speed of the decay phase in the caffeine-induced Ca</w:t>
      </w:r>
      <w:r w:rsidR="00061B50" w:rsidRPr="00061B50">
        <w:rPr>
          <w:rFonts w:ascii="Times New Roman" w:hAnsi="Times New Roman" w:cs="Times New Roman"/>
          <w:sz w:val="24"/>
          <w:szCs w:val="24"/>
          <w:vertAlign w:val="superscript"/>
          <w:lang w:val="en-US"/>
        </w:rPr>
        <w:t>2+</w:t>
      </w:r>
      <w:r w:rsidR="00061B50" w:rsidRPr="00061B50">
        <w:rPr>
          <w:rFonts w:ascii="Times New Roman" w:hAnsi="Times New Roman" w:cs="Times New Roman"/>
          <w:sz w:val="24"/>
          <w:szCs w:val="24"/>
          <w:lang w:val="en-US"/>
        </w:rPr>
        <w:t xml:space="preserve"> response. The value that best agrees with our experimental results is </w:t>
      </w:r>
    </w:p>
    <w:p w:rsidR="00061B50" w:rsidRPr="00C241E2" w:rsidRDefault="00F86D13" w:rsidP="00C241E2">
      <w:pPr>
        <w:pStyle w:val="MTDisplayEquation"/>
        <w:jc w:val="left"/>
      </w:pPr>
      <w:r>
        <w:tab/>
      </w:r>
      <w:r w:rsidR="00BA4437" w:rsidRPr="00C241E2">
        <w:rPr>
          <w:position w:val="-10"/>
        </w:rPr>
        <w:object w:dxaOrig="1040" w:dyaOrig="360">
          <v:shape id="_x0000_i1026" type="#_x0000_t75" style="width:51.9pt;height:18.25pt" o:ole="">
            <v:imagedata r:id="rId9" o:title=""/>
          </v:shape>
          <o:OLEObject Type="Embed" ProgID="Equation.DSMT4" ShapeID="_x0000_i1026" DrawAspect="Content" ObjectID="_1502802785" r:id="rId10"/>
        </w:object>
      </w:r>
      <w:r>
        <w:t xml:space="preserve"> </w:t>
      </w:r>
    </w:p>
    <w:p w:rsidR="00061B50" w:rsidRDefault="00F86D13" w:rsidP="00A92698">
      <w:pPr>
        <w:numPr>
          <w:ilvl w:val="0"/>
          <w:numId w:val="1"/>
        </w:numPr>
        <w:jc w:val="both"/>
        <w:rPr>
          <w:rFonts w:ascii="Times New Roman" w:hAnsi="Times New Roman" w:cs="Times New Roman"/>
          <w:sz w:val="24"/>
          <w:szCs w:val="24"/>
          <w:lang w:val="en-US"/>
        </w:rPr>
      </w:pPr>
      <w:r w:rsidRPr="00C241E2">
        <w:rPr>
          <w:rFonts w:ascii="Times New Roman" w:eastAsiaTheme="minorEastAsia" w:hAnsi="Times New Roman" w:cs="Times New Roman"/>
          <w:position w:val="-6"/>
          <w:sz w:val="24"/>
          <w:szCs w:val="24"/>
          <w:lang w:val="en-US"/>
        </w:rPr>
        <w:object w:dxaOrig="220" w:dyaOrig="279">
          <v:shape id="_x0000_i1027" type="#_x0000_t75" style="width:11.2pt;height:14.05pt" o:ole="">
            <v:imagedata r:id="rId11" o:title=""/>
          </v:shape>
          <o:OLEObject Type="Embed" ProgID="Equation.DSMT4" ShapeID="_x0000_i1027" DrawAspect="Content" ObjectID="_1502802786" r:id="rId12"/>
        </w:object>
      </w:r>
      <w:r>
        <w:rPr>
          <w:rFonts w:ascii="Times New Roman" w:eastAsiaTheme="minorEastAsia" w:hAnsi="Times New Roman" w:cs="Times New Roman"/>
          <w:sz w:val="24"/>
          <w:szCs w:val="24"/>
          <w:lang w:val="en-US"/>
        </w:rPr>
        <w:t xml:space="preserve"> </w:t>
      </w:r>
      <w:r w:rsidR="00061B50" w:rsidRPr="00061B50">
        <w:rPr>
          <w:rFonts w:ascii="Times New Roman" w:hAnsi="Times New Roman" w:cs="Times New Roman"/>
          <w:sz w:val="24"/>
          <w:szCs w:val="24"/>
          <w:lang w:val="en-US"/>
        </w:rPr>
        <w:t>This parameter is very sensitive to the time at which caffeine-induced Ca</w:t>
      </w:r>
      <w:r w:rsidR="00061B50" w:rsidRPr="00061B50">
        <w:rPr>
          <w:rFonts w:ascii="Times New Roman" w:hAnsi="Times New Roman" w:cs="Times New Roman"/>
          <w:sz w:val="24"/>
          <w:szCs w:val="24"/>
          <w:vertAlign w:val="superscript"/>
          <w:lang w:val="en-US"/>
        </w:rPr>
        <w:t>2+</w:t>
      </w:r>
      <w:r w:rsidR="00061B50" w:rsidRPr="00061B50">
        <w:rPr>
          <w:rFonts w:ascii="Times New Roman" w:hAnsi="Times New Roman" w:cs="Times New Roman"/>
          <w:sz w:val="24"/>
          <w:szCs w:val="24"/>
          <w:lang w:val="en-US"/>
        </w:rPr>
        <w:t xml:space="preserve"> response has reached maximum value. The number </w:t>
      </w:r>
      <w:r w:rsidR="00F77B46">
        <w:rPr>
          <w:rFonts w:ascii="Times New Roman" w:hAnsi="Times New Roman" w:cs="Times New Roman"/>
          <w:sz w:val="24"/>
          <w:szCs w:val="24"/>
          <w:lang w:val="en-US"/>
        </w:rPr>
        <w:t xml:space="preserve">selected was the one </w:t>
      </w:r>
      <w:r w:rsidR="00061B50" w:rsidRPr="00061B50">
        <w:rPr>
          <w:rFonts w:ascii="Times New Roman" w:hAnsi="Times New Roman" w:cs="Times New Roman"/>
          <w:sz w:val="24"/>
          <w:szCs w:val="24"/>
          <w:lang w:val="en-US"/>
        </w:rPr>
        <w:t xml:space="preserve">that best allowed to reproduce the </w:t>
      </w:r>
      <w:r w:rsidR="00F77B46">
        <w:rPr>
          <w:rFonts w:ascii="Times New Roman" w:hAnsi="Times New Roman" w:cs="Times New Roman"/>
          <w:sz w:val="24"/>
          <w:szCs w:val="24"/>
          <w:lang w:val="en-US"/>
        </w:rPr>
        <w:t xml:space="preserve">rate of rise </w:t>
      </w:r>
      <w:r w:rsidR="00F77B46" w:rsidRPr="00061B50">
        <w:rPr>
          <w:rFonts w:ascii="Times New Roman" w:hAnsi="Times New Roman" w:cs="Times New Roman"/>
          <w:sz w:val="24"/>
          <w:szCs w:val="24"/>
          <w:lang w:val="en-US"/>
        </w:rPr>
        <w:t xml:space="preserve">vs. </w:t>
      </w:r>
      <w:r w:rsidR="00F77B46">
        <w:rPr>
          <w:rFonts w:ascii="Times New Roman" w:hAnsi="Times New Roman" w:cs="Times New Roman"/>
          <w:sz w:val="24"/>
          <w:szCs w:val="24"/>
          <w:lang w:val="en-US"/>
        </w:rPr>
        <w:t xml:space="preserve">rise time </w:t>
      </w:r>
      <w:r w:rsidR="00F77B46" w:rsidRPr="00061B50">
        <w:rPr>
          <w:rFonts w:ascii="Times New Roman" w:hAnsi="Times New Roman" w:cs="Times New Roman"/>
          <w:sz w:val="24"/>
          <w:szCs w:val="24"/>
          <w:lang w:val="en-US"/>
        </w:rPr>
        <w:t>graph</w:t>
      </w:r>
      <w:r w:rsidR="00F77B46">
        <w:rPr>
          <w:rFonts w:ascii="Times New Roman" w:hAnsi="Times New Roman" w:cs="Times New Roman"/>
          <w:sz w:val="24"/>
          <w:szCs w:val="24"/>
          <w:lang w:val="en-US"/>
        </w:rPr>
        <w:t xml:space="preserve"> shown in </w:t>
      </w:r>
      <w:r w:rsidR="006A30BE">
        <w:rPr>
          <w:rFonts w:ascii="Times New Roman" w:hAnsi="Times New Roman" w:cs="Times New Roman"/>
          <w:sz w:val="24"/>
          <w:szCs w:val="24"/>
          <w:lang w:val="en-US"/>
        </w:rPr>
        <w:t xml:space="preserve">Fig 2B </w:t>
      </w:r>
      <w:r w:rsidR="00061B50" w:rsidRPr="00061B50">
        <w:rPr>
          <w:rFonts w:ascii="Times New Roman" w:hAnsi="Times New Roman" w:cs="Times New Roman"/>
          <w:sz w:val="24"/>
          <w:szCs w:val="24"/>
          <w:lang w:val="en-US"/>
        </w:rPr>
        <w:t>is:</w:t>
      </w:r>
    </w:p>
    <w:p w:rsidR="00061B50" w:rsidRPr="00061B50" w:rsidRDefault="00F86D13" w:rsidP="00C241E2">
      <w:pPr>
        <w:pStyle w:val="MTDisplayEquation"/>
        <w:jc w:val="left"/>
        <w:rPr>
          <w:rFonts w:ascii="Times New Roman" w:hAnsi="Times New Roman" w:cs="Times New Roman"/>
          <w:sz w:val="24"/>
          <w:szCs w:val="24"/>
          <w:lang w:val="en-US"/>
        </w:rPr>
      </w:pPr>
      <w:r w:rsidRPr="00C241E2">
        <w:rPr>
          <w:lang w:val="en-US"/>
        </w:rPr>
        <w:tab/>
      </w:r>
      <w:r w:rsidR="00BA4437" w:rsidRPr="00C241E2">
        <w:rPr>
          <w:position w:val="-10"/>
        </w:rPr>
        <w:object w:dxaOrig="1020" w:dyaOrig="360">
          <v:shape id="_x0000_i1028" type="#_x0000_t75" style="width:50.95pt;height:18.25pt" o:ole="">
            <v:imagedata r:id="rId13" o:title=""/>
          </v:shape>
          <o:OLEObject Type="Embed" ProgID="Equation.DSMT4" ShapeID="_x0000_i1028" DrawAspect="Content" ObjectID="_1502802787" r:id="rId14"/>
        </w:object>
      </w:r>
      <w:r>
        <w:t xml:space="preserve"> </w:t>
      </w:r>
    </w:p>
    <w:p w:rsidR="00061B50" w:rsidRDefault="00B72266" w:rsidP="00A92698">
      <w:pPr>
        <w:numPr>
          <w:ilvl w:val="0"/>
          <w:numId w:val="1"/>
        </w:numPr>
        <w:jc w:val="both"/>
        <w:rPr>
          <w:rFonts w:ascii="Times New Roman" w:hAnsi="Times New Roman" w:cs="Times New Roman"/>
          <w:sz w:val="24"/>
          <w:szCs w:val="24"/>
          <w:lang w:val="en-US"/>
        </w:rPr>
      </w:pPr>
      <w:r w:rsidRPr="00C241E2">
        <w:rPr>
          <w:rFonts w:ascii="Times New Roman" w:eastAsiaTheme="minorEastAsia" w:hAnsi="Times New Roman" w:cs="Times New Roman"/>
          <w:position w:val="-6"/>
          <w:sz w:val="24"/>
          <w:szCs w:val="24"/>
          <w:lang w:val="en-US"/>
        </w:rPr>
        <w:object w:dxaOrig="220" w:dyaOrig="220">
          <v:shape id="_x0000_i1029" type="#_x0000_t75" style="width:11.2pt;height:11.2pt" o:ole="">
            <v:imagedata r:id="rId15" o:title=""/>
          </v:shape>
          <o:OLEObject Type="Embed" ProgID="Equation.DSMT4" ShapeID="_x0000_i1029" DrawAspect="Content" ObjectID="_1502802788" r:id="rId16"/>
        </w:object>
      </w:r>
      <w:r>
        <w:rPr>
          <w:rFonts w:ascii="Times New Roman" w:eastAsiaTheme="minorEastAsia" w:hAnsi="Times New Roman" w:cs="Times New Roman"/>
          <w:sz w:val="24"/>
          <w:szCs w:val="24"/>
          <w:lang w:val="en-US"/>
        </w:rPr>
        <w:t xml:space="preserve"> </w:t>
      </w:r>
      <w:r w:rsidR="00061B50" w:rsidRPr="00061B50">
        <w:rPr>
          <w:rFonts w:ascii="Times New Roman" w:hAnsi="Times New Roman" w:cs="Times New Roman"/>
          <w:sz w:val="24"/>
          <w:szCs w:val="24"/>
          <w:lang w:val="en-US"/>
        </w:rPr>
        <w:t>This parameter determines the rate of SR refilling with</w:t>
      </w:r>
      <w:r>
        <w:rPr>
          <w:rFonts w:ascii="Times New Roman" w:hAnsi="Times New Roman" w:cs="Times New Roman"/>
          <w:sz w:val="24"/>
          <w:szCs w:val="24"/>
          <w:lang w:val="en-US"/>
        </w:rPr>
        <w:t xml:space="preserve"> Ca</w:t>
      </w:r>
      <w:r>
        <w:rPr>
          <w:rFonts w:ascii="Times New Roman" w:hAnsi="Times New Roman" w:cs="Times New Roman"/>
          <w:sz w:val="24"/>
          <w:szCs w:val="24"/>
          <w:vertAlign w:val="superscript"/>
          <w:lang w:val="en-US"/>
        </w:rPr>
        <w:t>2</w:t>
      </w:r>
      <w:proofErr w:type="gramStart"/>
      <w:r>
        <w:rPr>
          <w:rFonts w:ascii="Times New Roman" w:hAnsi="Times New Roman" w:cs="Times New Roman"/>
          <w:sz w:val="24"/>
          <w:szCs w:val="24"/>
          <w:vertAlign w:val="superscript"/>
          <w:lang w:val="en-US"/>
        </w:rPr>
        <w:t>+</w:t>
      </w:r>
      <w:r w:rsidR="00061B50" w:rsidRPr="00061B50">
        <w:rPr>
          <w:rFonts w:ascii="Times New Roman" w:hAnsi="Times New Roman" w:cs="Times New Roman"/>
          <w:sz w:val="24"/>
          <w:szCs w:val="24"/>
          <w:lang w:val="en-US"/>
        </w:rPr>
        <w:t xml:space="preserve">  after</w:t>
      </w:r>
      <w:proofErr w:type="gramEnd"/>
      <w:r w:rsidR="00061B50" w:rsidRPr="00061B50">
        <w:rPr>
          <w:rFonts w:ascii="Times New Roman" w:hAnsi="Times New Roman" w:cs="Times New Roman"/>
          <w:sz w:val="24"/>
          <w:szCs w:val="24"/>
          <w:lang w:val="en-US"/>
        </w:rPr>
        <w:t xml:space="preserve"> caffeine-induced Ca</w:t>
      </w:r>
      <w:r w:rsidR="00061B50" w:rsidRPr="00061B50">
        <w:rPr>
          <w:rFonts w:ascii="Times New Roman" w:hAnsi="Times New Roman" w:cs="Times New Roman"/>
          <w:sz w:val="24"/>
          <w:szCs w:val="24"/>
          <w:vertAlign w:val="superscript"/>
          <w:lang w:val="en-US"/>
        </w:rPr>
        <w:t>2+</w:t>
      </w:r>
      <w:r w:rsidR="00061B50" w:rsidRPr="00061B50">
        <w:rPr>
          <w:rFonts w:ascii="Times New Roman" w:hAnsi="Times New Roman" w:cs="Times New Roman"/>
          <w:sz w:val="24"/>
          <w:szCs w:val="24"/>
          <w:lang w:val="en-US"/>
        </w:rPr>
        <w:t xml:space="preserve"> release</w:t>
      </w:r>
      <w:r w:rsidR="002D2911">
        <w:rPr>
          <w:rFonts w:ascii="Times New Roman" w:hAnsi="Times New Roman" w:cs="Times New Roman"/>
          <w:sz w:val="24"/>
          <w:szCs w:val="24"/>
          <w:lang w:val="en-US"/>
        </w:rPr>
        <w:t xml:space="preserve"> based on data shown in</w:t>
      </w:r>
      <w:r w:rsidR="00F86D13">
        <w:rPr>
          <w:rFonts w:ascii="Times New Roman" w:hAnsi="Times New Roman" w:cs="Times New Roman"/>
          <w:sz w:val="24"/>
          <w:szCs w:val="24"/>
          <w:lang w:val="en-US"/>
        </w:rPr>
        <w:t xml:space="preserve"> </w:t>
      </w:r>
      <w:r w:rsidR="00823B65">
        <w:rPr>
          <w:rFonts w:ascii="Times New Roman" w:hAnsi="Times New Roman" w:cs="Times New Roman"/>
          <w:sz w:val="24"/>
          <w:szCs w:val="24"/>
          <w:lang w:val="en-US"/>
        </w:rPr>
        <w:t>Fig 2C</w:t>
      </w:r>
      <w:r w:rsidR="00061B50" w:rsidRPr="00061B50">
        <w:rPr>
          <w:rFonts w:ascii="Times New Roman" w:hAnsi="Times New Roman" w:cs="Times New Roman"/>
          <w:sz w:val="24"/>
          <w:szCs w:val="24"/>
          <w:lang w:val="en-US"/>
        </w:rPr>
        <w:t xml:space="preserve">. The </w:t>
      </w:r>
      <w:r w:rsidR="002D2911">
        <w:rPr>
          <w:rFonts w:ascii="Times New Roman" w:hAnsi="Times New Roman" w:cs="Times New Roman"/>
          <w:sz w:val="24"/>
          <w:szCs w:val="24"/>
          <w:lang w:val="en-US"/>
        </w:rPr>
        <w:t>final value was obtained by fitting data shown</w:t>
      </w:r>
      <w:r w:rsidR="00823B65">
        <w:rPr>
          <w:rFonts w:ascii="Times New Roman" w:hAnsi="Times New Roman" w:cs="Times New Roman"/>
          <w:sz w:val="24"/>
          <w:szCs w:val="24"/>
          <w:lang w:val="en-US"/>
        </w:rPr>
        <w:t xml:space="preserve"> Fig 2</w:t>
      </w:r>
      <w:r w:rsidR="002D2911">
        <w:rPr>
          <w:rFonts w:ascii="Times New Roman" w:hAnsi="Times New Roman" w:cs="Times New Roman"/>
          <w:sz w:val="24"/>
          <w:szCs w:val="24"/>
          <w:lang w:val="en-US"/>
        </w:rPr>
        <w:t>:</w:t>
      </w:r>
    </w:p>
    <w:p w:rsidR="00061B50" w:rsidRPr="00061B50" w:rsidRDefault="00CE7792" w:rsidP="00C241E2">
      <w:pPr>
        <w:pStyle w:val="MTDisplayEquation"/>
        <w:jc w:val="left"/>
        <w:rPr>
          <w:rFonts w:ascii="Times New Roman" w:hAnsi="Times New Roman" w:cs="Times New Roman"/>
          <w:sz w:val="24"/>
          <w:szCs w:val="24"/>
          <w:lang w:val="en-US"/>
        </w:rPr>
      </w:pPr>
      <w:r w:rsidRPr="00C241E2">
        <w:rPr>
          <w:lang w:val="en-US"/>
        </w:rPr>
        <w:tab/>
      </w:r>
      <w:r w:rsidR="00FB261E" w:rsidRPr="00FB261E">
        <w:rPr>
          <w:position w:val="-10"/>
        </w:rPr>
        <w:object w:dxaOrig="1800" w:dyaOrig="340">
          <v:shape id="_x0000_i1030" type="#_x0000_t75" style="width:90.25pt;height:16.85pt" o:ole="">
            <v:imagedata r:id="rId17" o:title=""/>
          </v:shape>
          <o:OLEObject Type="Embed" ProgID="Equation.DSMT4" ShapeID="_x0000_i1030" DrawAspect="Content" ObjectID="_1502802789" r:id="rId18"/>
        </w:object>
      </w:r>
      <w:r>
        <w:t xml:space="preserve"> </w:t>
      </w:r>
    </w:p>
    <w:p w:rsidR="007067E2" w:rsidRDefault="00FB261E" w:rsidP="00C241E2">
      <w:pPr>
        <w:numPr>
          <w:ilvl w:val="0"/>
          <w:numId w:val="1"/>
        </w:numPr>
        <w:jc w:val="both"/>
      </w:pPr>
      <w:r w:rsidRPr="00FB261E">
        <w:rPr>
          <w:position w:val="-18"/>
        </w:rPr>
        <w:object w:dxaOrig="859" w:dyaOrig="499">
          <v:shape id="_x0000_i1031" type="#_x0000_t75" style="width:43pt;height:24.8pt" o:ole="">
            <v:imagedata r:id="rId19" o:title=""/>
          </v:shape>
          <o:OLEObject Type="Embed" ProgID="Equation.DSMT4" ShapeID="_x0000_i1031" DrawAspect="Content" ObjectID="_1502802790" r:id="rId20"/>
        </w:object>
      </w:r>
      <w:r w:rsidRPr="00C241E2">
        <w:rPr>
          <w:lang w:val="en-US"/>
        </w:rPr>
        <w:t xml:space="preserve"> </w:t>
      </w:r>
      <w:r w:rsidR="00061B50" w:rsidRPr="00061B50">
        <w:rPr>
          <w:rFonts w:ascii="Times New Roman" w:hAnsi="Times New Roman" w:cs="Times New Roman"/>
          <w:sz w:val="24"/>
          <w:szCs w:val="24"/>
          <w:lang w:val="en-US"/>
        </w:rPr>
        <w:t xml:space="preserve">This is the basal concentration of free cytoplasmic </w:t>
      </w:r>
      <w:r w:rsidR="00406424">
        <w:rPr>
          <w:rFonts w:ascii="Times New Roman" w:hAnsi="Times New Roman" w:cs="Times New Roman"/>
          <w:sz w:val="24"/>
          <w:szCs w:val="24"/>
          <w:lang w:val="en-US"/>
        </w:rPr>
        <w:t>Ca</w:t>
      </w:r>
      <w:r w:rsidR="00406424">
        <w:rPr>
          <w:rFonts w:ascii="Times New Roman" w:hAnsi="Times New Roman" w:cs="Times New Roman"/>
          <w:sz w:val="24"/>
          <w:szCs w:val="24"/>
          <w:vertAlign w:val="superscript"/>
          <w:lang w:val="en-US"/>
        </w:rPr>
        <w:t>2+</w:t>
      </w:r>
      <w:r w:rsidR="00406424">
        <w:rPr>
          <w:rFonts w:ascii="Times New Roman" w:hAnsi="Times New Roman" w:cs="Times New Roman"/>
          <w:sz w:val="24"/>
          <w:szCs w:val="24"/>
          <w:lang w:val="en-US"/>
        </w:rPr>
        <w:t xml:space="preserve"> </w:t>
      </w:r>
      <w:r w:rsidR="00061B50" w:rsidRPr="00061B50">
        <w:rPr>
          <w:rFonts w:ascii="Times New Roman" w:hAnsi="Times New Roman" w:cs="Times New Roman"/>
          <w:sz w:val="24"/>
          <w:szCs w:val="24"/>
          <w:lang w:val="en-US"/>
        </w:rPr>
        <w:t>which has been experimentally measured in the range</w:t>
      </w:r>
      <w:r>
        <w:rPr>
          <w:rFonts w:ascii="Times New Roman" w:hAnsi="Times New Roman" w:cs="Times New Roman"/>
          <w:sz w:val="24"/>
          <w:szCs w:val="24"/>
          <w:lang w:val="en-US"/>
        </w:rPr>
        <w:t xml:space="preserve"> </w:t>
      </w:r>
      <w:r w:rsidRPr="00C241E2">
        <w:rPr>
          <w:rFonts w:ascii="Times New Roman" w:hAnsi="Times New Roman" w:cs="Times New Roman"/>
          <w:position w:val="-10"/>
          <w:sz w:val="24"/>
          <w:szCs w:val="24"/>
          <w:lang w:val="en-US"/>
        </w:rPr>
        <w:object w:dxaOrig="1260" w:dyaOrig="320">
          <v:shape id="_x0000_i1032" type="#_x0000_t75" style="width:63.1pt;height:15.9pt" o:ole="">
            <v:imagedata r:id="rId21" o:title=""/>
          </v:shape>
          <o:OLEObject Type="Embed" ProgID="Equation.DSMT4" ShapeID="_x0000_i1032" DrawAspect="Content" ObjectID="_1502802791" r:id="rId22"/>
        </w:object>
      </w:r>
      <w:r>
        <w:rPr>
          <w:rFonts w:ascii="Times New Roman" w:hAnsi="Times New Roman" w:cs="Times New Roman"/>
          <w:sz w:val="24"/>
          <w:szCs w:val="24"/>
          <w:lang w:val="en-US"/>
        </w:rPr>
        <w:t xml:space="preserve"> </w:t>
      </w:r>
      <w:r w:rsidR="00061B50" w:rsidRPr="00061B50">
        <w:rPr>
          <w:rFonts w:ascii="Times New Roman" w:hAnsi="Times New Roman" w:cs="Times New Roman"/>
          <w:sz w:val="24"/>
          <w:szCs w:val="24"/>
          <w:lang w:val="en-US"/>
        </w:rPr>
        <w:t xml:space="preserve"> </w:t>
      </w:r>
      <w:r w:rsidR="00C27EB5">
        <w:rPr>
          <w:rFonts w:ascii="Times New Roman" w:hAnsi="Times New Roman" w:cs="Times New Roman"/>
          <w:sz w:val="24"/>
          <w:szCs w:val="24"/>
          <w:lang w:val="en-US"/>
        </w:rPr>
        <w:t xml:space="preserve"> </w:t>
      </w:r>
      <w:r w:rsidR="00C27EB5">
        <w:rPr>
          <w:rFonts w:ascii="Times New Roman" w:hAnsi="Times New Roman" w:cs="Times New Roman"/>
          <w:sz w:val="24"/>
          <w:szCs w:val="24"/>
          <w:lang w:val="en-US"/>
        </w:rPr>
        <w:fldChar w:fldCharType="begin" w:fldLock="1"/>
      </w:r>
      <w:r w:rsidR="004C76BE">
        <w:rPr>
          <w:rFonts w:ascii="Times New Roman" w:hAnsi="Times New Roman" w:cs="Times New Roman"/>
          <w:sz w:val="24"/>
          <w:szCs w:val="24"/>
          <w:lang w:val="en-US"/>
        </w:rPr>
        <w:instrText>ADDIN CSL_CITATION { "citationItems" : [ { "id" : "ITEM-1", "itemData" : { "DOI" : "10.1016/j.ceca.2007.05.001", "ISBN" : "0143-4160", "ISSN" : "01434160", "PMID" : "17574670", "abstract" : "Specific Ca2+ homeostatic system appeared very early in the history of the cell, as a survival system preventing Ca2+-mediated cell damage. This homeostatic system produced a steep (\u223c20,000 times) concentration gradient between extracellular and intracellular compartments, which has both survival importance (even relatively short increases in cytosolic Ca2+ concentrations higher then 100 nM are incompatible with life) and signalling function. Evolution utilised this gradient together with an ability of Ca2+ to interact with many biological molecules to create the most widespread and versatile signalling system, controlling the majority of cellular processes and executing complex routines of intercellular communications. \u00a9 2007 Elsevier Ltd. All rights reserved.", "author" : [ { "dropping-particle" : "", "family" : "Case", "given" : "R. Maynard", "non-dropping-particle" : "", "parse-names" : false, "suffix" : "" }, { "dropping-particle" : "", "family" : "Eisner", "given" : "David", "non-dropping-particle" : "", "parse-names" : false, "suffix" : "" }, { "dropping-particle" : "", "family" : "Gurney", "given" : "Alison", "non-dropping-particle" : "", "parse-names" : false, "suffix" : "" }, { "dropping-particle" : "", "family" : "Jones", "given" : "Owen", "non-dropping-particle" : "", "parse-names" : false, "suffix" : "" }, { "dropping-particle" : "", "family" : "Muallem", "given" : "Shmuel", "non-dropping-particle" : "", "parse-names" : false, "suffix" : "" }, { "dropping-particle" : "", "family" : "Verkhratsky", "given" : "Alexei", "non-dropping-particle" : "", "parse-names" : false, "suffix" : "" } ], "container-title" : "Cell Calcium", "id" : "ITEM-1", "issue" : "4-5", "issued" : { "date-parts" : [ [ "2007" ] ] }, "page" : "345-350", "title" : "Evolution of calcium homeostasis: From birth of the first cell to an omnipresent signalling system", "type" : "article-journal", "volume" : "42" }, "uris" : [ "http://www.mendeley.com/documents/?uuid=a5c7fe0f-75c3-44b8-86d7-d523a031cc63" ] } ], "mendeley" : { "formattedCitation" : "[1]", "plainTextFormattedCitation" : "[1]", "previouslyFormattedCitation" : "[1]" }, "properties" : { "noteIndex" : 0 }, "schema" : "https://github.com/citation-style-language/schema/raw/master/csl-citation.json" }</w:instrText>
      </w:r>
      <w:r w:rsidR="00C27EB5">
        <w:rPr>
          <w:rFonts w:ascii="Times New Roman" w:hAnsi="Times New Roman" w:cs="Times New Roman"/>
          <w:sz w:val="24"/>
          <w:szCs w:val="24"/>
          <w:lang w:val="en-US"/>
        </w:rPr>
        <w:fldChar w:fldCharType="separate"/>
      </w:r>
      <w:r w:rsidR="00C27EB5" w:rsidRPr="00C27EB5">
        <w:rPr>
          <w:rFonts w:ascii="Times New Roman" w:hAnsi="Times New Roman" w:cs="Times New Roman"/>
          <w:noProof/>
          <w:sz w:val="24"/>
          <w:szCs w:val="24"/>
          <w:lang w:val="en-US"/>
        </w:rPr>
        <w:t>[1]</w:t>
      </w:r>
      <w:r w:rsidR="00C27EB5">
        <w:rPr>
          <w:rFonts w:ascii="Times New Roman" w:hAnsi="Times New Roman" w:cs="Times New Roman"/>
          <w:sz w:val="24"/>
          <w:szCs w:val="24"/>
          <w:lang w:val="en-US"/>
        </w:rPr>
        <w:fldChar w:fldCharType="end"/>
      </w:r>
      <w:r w:rsidR="00061B50" w:rsidRPr="00061B50">
        <w:rPr>
          <w:rFonts w:ascii="Times New Roman" w:hAnsi="Times New Roman" w:cs="Times New Roman"/>
          <w:sz w:val="24"/>
          <w:szCs w:val="24"/>
          <w:lang w:val="en-US"/>
        </w:rPr>
        <w:t>. Here we have taken</w:t>
      </w:r>
    </w:p>
    <w:p w:rsidR="00061B50" w:rsidRPr="00061B50" w:rsidRDefault="007067E2" w:rsidP="00C241E2">
      <w:pPr>
        <w:jc w:val="center"/>
        <w:rPr>
          <w:rFonts w:ascii="Times New Roman" w:hAnsi="Times New Roman" w:cs="Times New Roman"/>
          <w:sz w:val="24"/>
          <w:szCs w:val="24"/>
          <w:lang w:val="en-US"/>
        </w:rPr>
      </w:pPr>
      <w:r w:rsidRPr="00C241E2">
        <w:rPr>
          <w:position w:val="-18"/>
        </w:rPr>
        <w:object w:dxaOrig="1760" w:dyaOrig="460">
          <v:shape id="_x0000_i1033" type="#_x0000_t75" style="width:87.9pt;height:22.9pt" o:ole="">
            <v:imagedata r:id="rId23" o:title=""/>
          </v:shape>
          <o:OLEObject Type="Embed" ProgID="Equation.DSMT4" ShapeID="_x0000_i1033" DrawAspect="Content" ObjectID="_1502802792" r:id="rId24"/>
        </w:object>
      </w:r>
      <w:r>
        <w:t xml:space="preserve"> </w:t>
      </w:r>
    </w:p>
    <w:p w:rsidR="00061B50" w:rsidRDefault="00947343" w:rsidP="00A92698">
      <w:pPr>
        <w:numPr>
          <w:ilvl w:val="0"/>
          <w:numId w:val="1"/>
        </w:numPr>
        <w:jc w:val="both"/>
        <w:rPr>
          <w:rFonts w:ascii="Times New Roman" w:hAnsi="Times New Roman" w:cs="Times New Roman"/>
          <w:sz w:val="24"/>
          <w:szCs w:val="24"/>
          <w:lang w:val="en-US"/>
        </w:rPr>
      </w:pPr>
      <w:r w:rsidRPr="00C241E2">
        <w:rPr>
          <w:position w:val="-10"/>
        </w:rPr>
        <w:object w:dxaOrig="240" w:dyaOrig="260">
          <v:shape id="_x0000_i1034" type="#_x0000_t75" style="width:12.15pt;height:13.1pt" o:ole="">
            <v:imagedata r:id="rId25" o:title=""/>
          </v:shape>
          <o:OLEObject Type="Embed" ProgID="Equation.DSMT4" ShapeID="_x0000_i1034" DrawAspect="Content" ObjectID="_1502802793" r:id="rId26"/>
        </w:object>
      </w:r>
      <w:r w:rsidRPr="00C241E2">
        <w:rPr>
          <w:lang w:val="en-US"/>
        </w:rPr>
        <w:t xml:space="preserve"> </w:t>
      </w:r>
      <w:r w:rsidR="00061B50" w:rsidRPr="00061B50">
        <w:rPr>
          <w:rFonts w:ascii="Times New Roman" w:hAnsi="Times New Roman" w:cs="Times New Roman"/>
          <w:sz w:val="24"/>
          <w:szCs w:val="24"/>
          <w:lang w:val="en-US"/>
        </w:rPr>
        <w:t>The ratio of volume between SR and cytoplasm has been found to take values in the following approximated range</w:t>
      </w:r>
      <w:r w:rsidR="004C76BE">
        <w:rPr>
          <w:rFonts w:ascii="Times New Roman" w:hAnsi="Times New Roman" w:cs="Times New Roman"/>
          <w:sz w:val="24"/>
          <w:szCs w:val="24"/>
          <w:lang w:val="en-US"/>
        </w:rPr>
        <w:t xml:space="preserve">  </w:t>
      </w:r>
      <w:r w:rsidR="004C76BE">
        <w:rPr>
          <w:rFonts w:ascii="Times New Roman" w:hAnsi="Times New Roman" w:cs="Times New Roman"/>
          <w:sz w:val="24"/>
          <w:szCs w:val="24"/>
          <w:lang w:val="en-US"/>
        </w:rPr>
        <w:fldChar w:fldCharType="begin" w:fldLock="1"/>
      </w:r>
      <w:r w:rsidR="00716BFD">
        <w:rPr>
          <w:rFonts w:ascii="Times New Roman" w:hAnsi="Times New Roman" w:cs="Times New Roman"/>
          <w:sz w:val="24"/>
          <w:szCs w:val="24"/>
          <w:lang w:val="en-US"/>
        </w:rPr>
        <w:instrText>ADDIN CSL_CITATION { "citationItems" : [ { "id" : "ITEM-1", "itemData" : { "DOI" : "10.1152/ajpcell.00222.2009", "ISSN" : "1522-1563", "PMID" : "20107042", "abstract" : "We have previously shown that rapid inhibition of sarcoplasmic reticulum (SR) ATPase (SERCA pumps) decreases the amplitude and rate of rise (synchronization) of caffeine induced-Ca(2+) release without producing a reduction of free luminal SR Ca(2+) level in smooth muscle cells (G\u00f3mez-Viquez L, Guerrero-Serna G, Garc\u00eda U, Guerrero-Hern\u00e1ndez A. Biophys J 85: 370-380, 2003). Our aim was to investigate the role of luminal SR Ca(2+) content in the communication between ryanodine receptors (RyRs) and SERCA pumps. To this end, we studied the effect of SERCA pump inhibition on RyR-mediated Ca(2+) release in smooth muscle cells with overloaded SR Ca(2+) stores. Under this condition, the amplitude of RyR-mediated Ca(2+) release was not affected but the rate of rise was still decreased. In addition, the caffeine-induced Ca(2+)-dependent K(+) outward currents revealed individual events, suggesting that SERCA pump inhibition reduces the coordinated activation of RyRs. Collectively, our results indicate that SERCA pumps facilitate the activation of RyRs by a mechanism that does not involve the regulation of SR Ca(2+) content. Importantly, SERCA pumps and RyRs colocalize in smooth muscle cells, suggesting a possible local communication between these two proteins.", "author" : [ { "dropping-particle" : "", "family" : "G\u00f3mez-Viquez", "given" : "Norma Leticia", "non-dropping-particle" : "", "parse-names" : false, "suffix" : "" }, { "dropping-particle" : "", "family" : "Guerrero-Serna", "given" : "Guadalupe", "non-dropping-particle" : "", "parse-names" : false, "suffix" : "" }, { "dropping-particle" : "", "family" : "Arvizu", "given" : "Fernando", "non-dropping-particle" : "", "parse-names" : false, "suffix" : "" }, { "dropping-particle" : "", "family" : "Garc\u00eda", "given" : "Ubaldo", "non-dropping-particle" : "", "parse-names" : false, "suffix" : "" }, { "dropping-particle" : "", "family" : "Guerrero-Hern\u00e1ndez", "given" : "Agust\u00edn", "non-dropping-particle" : "", "parse-names" : false, "suffix" : "" } ], "container-title" : "American journal of physiology. Cell physiology", "id" : "ITEM-1", "issue" : "5", "issued" : { "date-parts" : [ [ "2010", "5", "1" ] ] }, "page" : "C1038-46", "title" : "Inhibition of SERCA pumps induces desynchronized RyR activation in overloaded internal Ca2+ stores in smooth muscle cells.", "type" : "article-journal", "volume" : "298" }, "uris" : [ "http://www.mendeley.com/documents/?uuid=d2ac7e14-fb9c-49cd-8054-7337984391af" ] } ], "mendeley" : { "formattedCitation" : "[2]", "plainTextFormattedCitation" : "[2]", "previouslyFormattedCitation" : "[2]" }, "properties" : { "noteIndex" : 0 }, "schema" : "https://github.com/citation-style-language/schema/raw/master/csl-citation.json" }</w:instrText>
      </w:r>
      <w:r w:rsidR="004C76BE">
        <w:rPr>
          <w:rFonts w:ascii="Times New Roman" w:hAnsi="Times New Roman" w:cs="Times New Roman"/>
          <w:sz w:val="24"/>
          <w:szCs w:val="24"/>
          <w:lang w:val="en-US"/>
        </w:rPr>
        <w:fldChar w:fldCharType="separate"/>
      </w:r>
      <w:r w:rsidR="004C76BE" w:rsidRPr="004C76BE">
        <w:rPr>
          <w:rFonts w:ascii="Times New Roman" w:hAnsi="Times New Roman" w:cs="Times New Roman"/>
          <w:noProof/>
          <w:sz w:val="24"/>
          <w:szCs w:val="24"/>
          <w:lang w:val="en-US"/>
        </w:rPr>
        <w:t>[2]</w:t>
      </w:r>
      <w:r w:rsidR="004C76BE">
        <w:rPr>
          <w:rFonts w:ascii="Times New Roman" w:hAnsi="Times New Roman" w:cs="Times New Roman"/>
          <w:sz w:val="24"/>
          <w:szCs w:val="24"/>
          <w:lang w:val="en-US"/>
        </w:rPr>
        <w:fldChar w:fldCharType="end"/>
      </w:r>
      <w:r w:rsidR="00061B50" w:rsidRPr="00061B50">
        <w:rPr>
          <w:rFonts w:ascii="Times New Roman" w:hAnsi="Times New Roman" w:cs="Times New Roman"/>
          <w:sz w:val="24"/>
          <w:szCs w:val="24"/>
          <w:lang w:val="en-US"/>
        </w:rPr>
        <w:t>:</w:t>
      </w:r>
    </w:p>
    <w:p w:rsidR="00061B50" w:rsidRPr="00061B50" w:rsidRDefault="00947343" w:rsidP="00C241E2">
      <w:pPr>
        <w:jc w:val="center"/>
        <w:rPr>
          <w:rFonts w:ascii="Times New Roman" w:hAnsi="Times New Roman" w:cs="Times New Roman"/>
          <w:sz w:val="24"/>
          <w:szCs w:val="24"/>
          <w:lang w:val="en-US"/>
        </w:rPr>
      </w:pPr>
      <w:r w:rsidRPr="00C241E2">
        <w:rPr>
          <w:position w:val="-14"/>
        </w:rPr>
        <w:object w:dxaOrig="1420" w:dyaOrig="400">
          <v:shape id="_x0000_i1035" type="#_x0000_t75" style="width:71.05pt;height:20.1pt" o:ole="">
            <v:imagedata r:id="rId27" o:title=""/>
          </v:shape>
          <o:OLEObject Type="Embed" ProgID="Equation.DSMT4" ShapeID="_x0000_i1035" DrawAspect="Content" ObjectID="_1502802794" r:id="rId28"/>
        </w:object>
      </w:r>
      <w:r w:rsidRPr="00C241E2">
        <w:rPr>
          <w:lang w:val="en-US"/>
        </w:rPr>
        <w:t xml:space="preserve"> </w:t>
      </w:r>
    </w:p>
    <w:p w:rsidR="00061B50" w:rsidRDefault="002C233E" w:rsidP="00A92698">
      <w:pPr>
        <w:numPr>
          <w:ilvl w:val="0"/>
          <w:numId w:val="1"/>
        </w:numPr>
        <w:jc w:val="both"/>
        <w:rPr>
          <w:rFonts w:ascii="Times New Roman" w:hAnsi="Times New Roman" w:cs="Times New Roman"/>
          <w:sz w:val="24"/>
          <w:szCs w:val="24"/>
          <w:lang w:val="en-US"/>
        </w:rPr>
      </w:pPr>
      <w:r w:rsidRPr="002C233E">
        <w:rPr>
          <w:position w:val="-12"/>
        </w:rPr>
        <w:object w:dxaOrig="320" w:dyaOrig="360">
          <v:shape id="_x0000_i1036" type="#_x0000_t75" style="width:15.9pt;height:18.25pt" o:ole="">
            <v:imagedata r:id="rId29" o:title=""/>
          </v:shape>
          <o:OLEObject Type="Embed" ProgID="Equation.DSMT4" ShapeID="_x0000_i1036" DrawAspect="Content" ObjectID="_1502802795" r:id="rId30"/>
        </w:object>
      </w:r>
      <w:r w:rsidRPr="00C241E2">
        <w:rPr>
          <w:lang w:val="en-US"/>
        </w:rPr>
        <w:t xml:space="preserve"> </w:t>
      </w:r>
      <w:r w:rsidR="00061B50" w:rsidRPr="00061B50">
        <w:rPr>
          <w:rFonts w:ascii="Times New Roman" w:hAnsi="Times New Roman" w:cs="Times New Roman"/>
          <w:sz w:val="24"/>
          <w:szCs w:val="24"/>
          <w:lang w:val="en-US"/>
        </w:rPr>
        <w:t xml:space="preserve">The scaling coefficient that allows the model to best reproduce the cell-variability experiments (in particular the </w:t>
      </w:r>
      <w:r w:rsidR="006E607A">
        <w:rPr>
          <w:rFonts w:ascii="Times New Roman" w:hAnsi="Times New Roman" w:cs="Times New Roman"/>
          <w:sz w:val="24"/>
          <w:szCs w:val="24"/>
          <w:lang w:val="en-US"/>
        </w:rPr>
        <w:t xml:space="preserve">rate of rise </w:t>
      </w:r>
      <w:r w:rsidR="00061B50" w:rsidRPr="00061B50">
        <w:rPr>
          <w:rFonts w:ascii="Times New Roman" w:hAnsi="Times New Roman" w:cs="Times New Roman"/>
          <w:sz w:val="24"/>
          <w:szCs w:val="24"/>
          <w:lang w:val="en-US"/>
        </w:rPr>
        <w:t xml:space="preserve">vs. </w:t>
      </w:r>
      <w:r w:rsidR="006E607A">
        <w:rPr>
          <w:rFonts w:ascii="Times New Roman" w:hAnsi="Times New Roman" w:cs="Times New Roman"/>
          <w:sz w:val="24"/>
          <w:szCs w:val="24"/>
          <w:lang w:val="en-US"/>
        </w:rPr>
        <w:t xml:space="preserve">rise time </w:t>
      </w:r>
      <w:r w:rsidR="00061B50" w:rsidRPr="00061B50">
        <w:rPr>
          <w:rFonts w:ascii="Times New Roman" w:hAnsi="Times New Roman" w:cs="Times New Roman"/>
          <w:sz w:val="24"/>
          <w:szCs w:val="24"/>
          <w:lang w:val="en-US"/>
        </w:rPr>
        <w:t>graph</w:t>
      </w:r>
      <w:r w:rsidR="006E607A">
        <w:rPr>
          <w:rFonts w:ascii="Times New Roman" w:hAnsi="Times New Roman" w:cs="Times New Roman"/>
          <w:sz w:val="24"/>
          <w:szCs w:val="24"/>
          <w:lang w:val="en-US"/>
        </w:rPr>
        <w:t xml:space="preserve"> shown in</w:t>
      </w:r>
      <w:r w:rsidR="00823B65">
        <w:rPr>
          <w:rFonts w:ascii="Times New Roman" w:hAnsi="Times New Roman" w:cs="Times New Roman"/>
          <w:sz w:val="24"/>
          <w:szCs w:val="24"/>
          <w:lang w:val="en-US"/>
        </w:rPr>
        <w:t xml:space="preserve"> Fig 2B</w:t>
      </w:r>
      <w:r w:rsidR="00061B50" w:rsidRPr="00061B50">
        <w:rPr>
          <w:rFonts w:ascii="Times New Roman" w:hAnsi="Times New Roman" w:cs="Times New Roman"/>
          <w:sz w:val="24"/>
          <w:szCs w:val="24"/>
          <w:lang w:val="en-US"/>
        </w:rPr>
        <w:t>) is:</w:t>
      </w:r>
    </w:p>
    <w:p w:rsidR="00061B50" w:rsidRPr="00C241E2" w:rsidRDefault="002C233E" w:rsidP="00C241E2">
      <w:pPr>
        <w:pStyle w:val="MTDisplayEquation"/>
        <w:jc w:val="left"/>
        <w:rPr>
          <w:lang w:val="en-US"/>
        </w:rPr>
      </w:pPr>
      <w:r w:rsidRPr="00C241E2">
        <w:rPr>
          <w:lang w:val="en-US"/>
        </w:rPr>
        <w:tab/>
      </w:r>
      <w:r w:rsidRPr="00C241E2">
        <w:rPr>
          <w:position w:val="-12"/>
        </w:rPr>
        <w:object w:dxaOrig="840" w:dyaOrig="360">
          <v:shape id="_x0000_i1037" type="#_x0000_t75" style="width:42.1pt;height:18.25pt" o:ole="">
            <v:imagedata r:id="rId31" o:title=""/>
          </v:shape>
          <o:OLEObject Type="Embed" ProgID="Equation.DSMT4" ShapeID="_x0000_i1037" DrawAspect="Content" ObjectID="_1502802796" r:id="rId32"/>
        </w:object>
      </w:r>
    </w:p>
    <w:p w:rsidR="00061B50" w:rsidRDefault="00CA6C31" w:rsidP="00A92698">
      <w:pPr>
        <w:numPr>
          <w:ilvl w:val="0"/>
          <w:numId w:val="1"/>
        </w:numPr>
        <w:jc w:val="both"/>
        <w:rPr>
          <w:rFonts w:ascii="Times New Roman" w:hAnsi="Times New Roman" w:cs="Times New Roman"/>
          <w:sz w:val="24"/>
          <w:szCs w:val="24"/>
          <w:lang w:val="en-US"/>
        </w:rPr>
      </w:pPr>
      <w:r w:rsidRPr="00C241E2">
        <w:rPr>
          <w:position w:val="-12"/>
        </w:rPr>
        <w:object w:dxaOrig="720" w:dyaOrig="360">
          <v:shape id="_x0000_i1038" type="#_x0000_t75" style="width:36pt;height:18.25pt" o:ole="">
            <v:imagedata r:id="rId33" o:title=""/>
          </v:shape>
          <o:OLEObject Type="Embed" ProgID="Equation.DSMT4" ShapeID="_x0000_i1038" DrawAspect="Content" ObjectID="_1502802797" r:id="rId34"/>
        </w:object>
      </w:r>
      <w:r w:rsidRPr="00C241E2">
        <w:rPr>
          <w:lang w:val="en-US"/>
        </w:rPr>
        <w:t xml:space="preserve"> </w:t>
      </w:r>
      <w:r w:rsidR="00061B50" w:rsidRPr="00061B50">
        <w:rPr>
          <w:rFonts w:ascii="Times New Roman" w:hAnsi="Times New Roman" w:cs="Times New Roman"/>
          <w:sz w:val="24"/>
          <w:szCs w:val="24"/>
          <w:lang w:val="en-US"/>
        </w:rPr>
        <w:t xml:space="preserve">The values </w:t>
      </w:r>
      <w:r w:rsidR="006E607A">
        <w:rPr>
          <w:rFonts w:ascii="Times New Roman" w:hAnsi="Times New Roman" w:cs="Times New Roman"/>
          <w:sz w:val="24"/>
          <w:szCs w:val="24"/>
          <w:lang w:val="en-US"/>
        </w:rPr>
        <w:t xml:space="preserve">for </w:t>
      </w:r>
      <w:r w:rsidR="00061B50" w:rsidRPr="00061B50">
        <w:rPr>
          <w:rFonts w:ascii="Times New Roman" w:hAnsi="Times New Roman" w:cs="Times New Roman"/>
          <w:sz w:val="24"/>
          <w:szCs w:val="24"/>
          <w:lang w:val="en-US"/>
        </w:rPr>
        <w:t xml:space="preserve">half saturation </w:t>
      </w:r>
      <w:r w:rsidR="006E607A">
        <w:rPr>
          <w:rFonts w:ascii="Times New Roman" w:hAnsi="Times New Roman" w:cs="Times New Roman"/>
          <w:sz w:val="24"/>
          <w:szCs w:val="24"/>
          <w:lang w:val="en-US"/>
        </w:rPr>
        <w:t>with Ca</w:t>
      </w:r>
      <w:r w:rsidR="006E607A" w:rsidRPr="00B46BDC">
        <w:rPr>
          <w:rFonts w:ascii="Times New Roman" w:hAnsi="Times New Roman" w:cs="Times New Roman"/>
          <w:sz w:val="24"/>
          <w:szCs w:val="24"/>
          <w:vertAlign w:val="superscript"/>
          <w:lang w:val="en-US"/>
        </w:rPr>
        <w:t>2+</w:t>
      </w:r>
      <w:r w:rsidR="006E607A">
        <w:rPr>
          <w:rFonts w:ascii="Times New Roman" w:hAnsi="Times New Roman" w:cs="Times New Roman"/>
          <w:sz w:val="24"/>
          <w:szCs w:val="24"/>
          <w:lang w:val="en-US"/>
        </w:rPr>
        <w:t xml:space="preserve"> </w:t>
      </w:r>
      <w:r w:rsidR="00061B50" w:rsidRPr="00061B50">
        <w:rPr>
          <w:rFonts w:ascii="Times New Roman" w:hAnsi="Times New Roman" w:cs="Times New Roman"/>
          <w:sz w:val="24"/>
          <w:szCs w:val="24"/>
          <w:lang w:val="en-US"/>
        </w:rPr>
        <w:t xml:space="preserve">and the Hill coefficient </w:t>
      </w:r>
      <w:r w:rsidR="00B46BDC">
        <w:rPr>
          <w:rFonts w:ascii="Times New Roman" w:hAnsi="Times New Roman" w:cs="Times New Roman"/>
          <w:sz w:val="24"/>
          <w:szCs w:val="24"/>
          <w:lang w:val="en-US"/>
        </w:rPr>
        <w:t xml:space="preserve">for </w:t>
      </w:r>
      <w:r w:rsidR="00061B50" w:rsidRPr="00061B50">
        <w:rPr>
          <w:rFonts w:ascii="Times New Roman" w:hAnsi="Times New Roman" w:cs="Times New Roman"/>
          <w:sz w:val="24"/>
          <w:szCs w:val="24"/>
          <w:lang w:val="en-US"/>
        </w:rPr>
        <w:t xml:space="preserve">SERCA pumps were taken from </w:t>
      </w:r>
      <w:r w:rsidR="00061B50" w:rsidRPr="00061B50">
        <w:rPr>
          <w:rFonts w:ascii="Times New Roman" w:hAnsi="Times New Roman" w:cs="Times New Roman"/>
          <w:sz w:val="24"/>
          <w:szCs w:val="24"/>
          <w:lang w:val="en-US"/>
        </w:rPr>
        <w:fldChar w:fldCharType="begin" w:fldLock="1"/>
      </w:r>
      <w:r w:rsidR="004C76BE">
        <w:rPr>
          <w:rFonts w:ascii="Times New Roman" w:hAnsi="Times New Roman" w:cs="Times New Roman"/>
          <w:sz w:val="24"/>
          <w:szCs w:val="24"/>
          <w:lang w:val="en-US"/>
        </w:rPr>
        <w:instrText>ADDIN CSL_CITATION { "citationItems" : [ { "id" : "ITEM-1", "itemData" : { "ISBN" : "0021-9258 (Print)\\n0021-9258 (Linking)", "ISSN" : "00219258", "PMID" : "1385815", "abstract" : "ATP-dependent calcium pumps that reside in intracellular organelles are encoded by a family of structurally related enzymes, termed the sarcoplasmic or endoplasmic reticulum Ca(2+)-ATPases (SERCA), which each have a distinct pattern of tissue-specific and developmentally regulated expression. A COS-1 cell expression system was used to examine the biochemical properties of the isoforms: SERCA1 (fast-twitch skeletal muscle). SERCA2a (cardiac/slow-twitch skeletal muscle), SERCA2b (ubiquitous smooth- and non-muscle), and SERCA3 (non-muscle). Each isoform was expressed efficiently and appeared to be targeted to the endoplasmic reticulum. All isoforms displayed qualitatively similar enzymatic properties and were activated by calcium in a cooperative manner with a Hill coefficient of 2. The quantitative properties of SERCA1 and SERCA2a (the muscle isoforms) were identical in all respects. SERCA2b, however, appeared to have a lower turnover rate for both calcium transport and ATP hydrolysis. SERCA3 displayed a reduced apparent affinity for calcium, an increased apparent affinity for vanadate, and an altered pH dependence when compared with the other isoforms. These properties are consistent with an enzyme in which the equilibrium between the E1 and E2 conformations is shifted toward the E2 state.", "author" : [ { "dropping-particle" : "", "family" : "Lytton", "given" : "J.", "non-dropping-particle" : "", "parse-names" : false, "suffix" : "" }, { "dropping-particle" : "", "family" : "Westlin", "given" : "M.", "non-dropping-particle" : "", "parse-names" : false, "suffix" : "" }, { "dropping-particle" : "", "family" : "Burk", "given" : "S. E.", "non-dropping-particle" : "", "parse-names" : false, "suffix" : "" }, { "dropping-particle" : "", "family" : "Shull", "given" : "G. E.", "non-dropping-particle" : "", "parse-names" : false, "suffix" : "" }, { "dropping-particle" : "", "family" : "MacLennan", "given" : "D. H.", "non-dropping-particle" : "", "parse-names" : false, "suffix" : "" } ], "container-title" : "Journal of Biological Chemistry", "id" : "ITEM-1", "issue" : "20", "issued" : { "date-parts" : [ [ "1992" ] ] }, "page" : "14483-14489", "title" : "Functional comparisons between isoforms of the sarcoplasmic or endoplasmic reticulum family of calcium pumps", "type" : "article-journal", "volume" : "267" }, "uris" : [ "http://www.mendeley.com/documents/?uuid=9c4ba328-3dc5-4ae2-b755-154247112d9a" ] } ], "mendeley" : { "formattedCitation" : "[3]", "plainTextFormattedCitation" : "[3]", "previouslyFormattedCitation" : "[3]" }, "properties" : { "noteIndex" : 0 }, "schema" : "https://github.com/citation-style-language/schema/raw/master/csl-citation.json" }</w:instrText>
      </w:r>
      <w:r w:rsidR="00061B50" w:rsidRPr="00061B50">
        <w:rPr>
          <w:rFonts w:ascii="Times New Roman" w:hAnsi="Times New Roman" w:cs="Times New Roman"/>
          <w:sz w:val="24"/>
          <w:szCs w:val="24"/>
          <w:lang w:val="en-US"/>
        </w:rPr>
        <w:fldChar w:fldCharType="separate"/>
      </w:r>
      <w:r w:rsidR="004C76BE" w:rsidRPr="004C76BE">
        <w:rPr>
          <w:rFonts w:ascii="Times New Roman" w:hAnsi="Times New Roman" w:cs="Times New Roman"/>
          <w:noProof/>
          <w:sz w:val="24"/>
          <w:szCs w:val="24"/>
          <w:lang w:val="en-US"/>
        </w:rPr>
        <w:t>[3]</w:t>
      </w:r>
      <w:r w:rsidR="00061B50" w:rsidRPr="00061B50">
        <w:rPr>
          <w:rFonts w:ascii="Times New Roman" w:hAnsi="Times New Roman" w:cs="Times New Roman"/>
          <w:sz w:val="24"/>
          <w:szCs w:val="24"/>
          <w:lang w:val="en-US"/>
        </w:rPr>
        <w:fldChar w:fldCharType="end"/>
      </w:r>
      <w:r w:rsidR="00061B50" w:rsidRPr="00061B50">
        <w:rPr>
          <w:rFonts w:ascii="Times New Roman" w:hAnsi="Times New Roman" w:cs="Times New Roman"/>
          <w:sz w:val="24"/>
          <w:szCs w:val="24"/>
          <w:lang w:val="en-US"/>
        </w:rPr>
        <w:t>:</w:t>
      </w:r>
    </w:p>
    <w:p w:rsidR="00624F07" w:rsidRPr="00E92603" w:rsidRDefault="00CA6C31" w:rsidP="00E92603">
      <w:pPr>
        <w:ind w:left="1440"/>
        <w:jc w:val="center"/>
        <w:rPr>
          <w:lang w:val="en-US"/>
        </w:rPr>
      </w:pPr>
      <w:r w:rsidRPr="00C241E2">
        <w:rPr>
          <w:position w:val="-12"/>
        </w:rPr>
        <w:object w:dxaOrig="2260" w:dyaOrig="360">
          <v:shape id="_x0000_i1039" type="#_x0000_t75" style="width:113.15pt;height:18.25pt" o:ole="">
            <v:imagedata r:id="rId35" o:title=""/>
          </v:shape>
          <o:OLEObject Type="Embed" ProgID="Equation.DSMT4" ShapeID="_x0000_i1039" DrawAspect="Content" ObjectID="_1502802798" r:id="rId36"/>
        </w:object>
      </w:r>
      <w:r w:rsidRPr="00C241E2">
        <w:rPr>
          <w:lang w:val="en-US"/>
        </w:rPr>
        <w:t xml:space="preserve"> </w:t>
      </w:r>
    </w:p>
    <w:p w:rsidR="00061B50" w:rsidRDefault="00AE6A6E" w:rsidP="00A92698">
      <w:pPr>
        <w:numPr>
          <w:ilvl w:val="0"/>
          <w:numId w:val="1"/>
        </w:numPr>
        <w:jc w:val="both"/>
        <w:rPr>
          <w:rFonts w:ascii="Times New Roman" w:hAnsi="Times New Roman" w:cs="Times New Roman"/>
          <w:sz w:val="24"/>
          <w:szCs w:val="24"/>
          <w:lang w:val="en-US"/>
        </w:rPr>
      </w:pPr>
      <w:r w:rsidRPr="00C241E2">
        <w:rPr>
          <w:position w:val="-10"/>
        </w:rPr>
        <w:object w:dxaOrig="279" w:dyaOrig="320">
          <v:shape id="_x0000_i1040" type="#_x0000_t75" style="width:14.05pt;height:15.9pt" o:ole="">
            <v:imagedata r:id="rId37" o:title=""/>
          </v:shape>
          <o:OLEObject Type="Embed" ProgID="Equation.DSMT4" ShapeID="_x0000_i1040" DrawAspect="Content" ObjectID="_1502802799" r:id="rId38"/>
        </w:object>
      </w:r>
      <w:r w:rsidRPr="00C241E2">
        <w:rPr>
          <w:lang w:val="en-US"/>
        </w:rPr>
        <w:t xml:space="preserve"> </w:t>
      </w:r>
      <w:r w:rsidR="00061B50" w:rsidRPr="00061B50">
        <w:rPr>
          <w:rFonts w:ascii="Times New Roman" w:hAnsi="Times New Roman" w:cs="Times New Roman"/>
          <w:sz w:val="24"/>
          <w:szCs w:val="24"/>
          <w:lang w:val="en-US"/>
        </w:rPr>
        <w:t>This parameter represents the</w:t>
      </w:r>
      <w:r>
        <w:rPr>
          <w:rFonts w:ascii="Times New Roman" w:hAnsi="Times New Roman" w:cs="Times New Roman"/>
          <w:sz w:val="24"/>
          <w:szCs w:val="24"/>
          <w:lang w:val="en-US"/>
        </w:rPr>
        <w:t xml:space="preserve"> Ca</w:t>
      </w:r>
      <w:r>
        <w:rPr>
          <w:rFonts w:ascii="Times New Roman" w:hAnsi="Times New Roman" w:cs="Times New Roman"/>
          <w:sz w:val="24"/>
          <w:szCs w:val="24"/>
          <w:vertAlign w:val="superscript"/>
          <w:lang w:val="en-US"/>
        </w:rPr>
        <w:t>2+</w:t>
      </w:r>
      <w:r w:rsidR="00061B50" w:rsidRPr="00061B50">
        <w:rPr>
          <w:rFonts w:ascii="Times New Roman" w:hAnsi="Times New Roman" w:cs="Times New Roman"/>
          <w:sz w:val="24"/>
          <w:szCs w:val="24"/>
          <w:lang w:val="en-US"/>
        </w:rPr>
        <w:t>buffering capacity of the cytoplasm and</w:t>
      </w:r>
      <w:r w:rsidR="00B46BDC">
        <w:rPr>
          <w:rFonts w:ascii="Times New Roman" w:hAnsi="Times New Roman" w:cs="Times New Roman"/>
          <w:sz w:val="24"/>
          <w:szCs w:val="24"/>
          <w:lang w:val="en-US"/>
        </w:rPr>
        <w:t xml:space="preserve"> it has been shown that </w:t>
      </w:r>
      <w:r w:rsidR="00622F91">
        <w:rPr>
          <w:rFonts w:ascii="Times New Roman" w:hAnsi="Times New Roman" w:cs="Times New Roman"/>
          <w:i/>
          <w:sz w:val="24"/>
          <w:szCs w:val="24"/>
          <w:lang w:val="en-US"/>
        </w:rPr>
        <w:t xml:space="preserve"> β</w:t>
      </w:r>
      <w:r w:rsidR="00B46BDC">
        <w:rPr>
          <w:rFonts w:ascii="Times New Roman" w:hAnsi="Times New Roman" w:cs="Times New Roman"/>
          <w:sz w:val="24"/>
          <w:szCs w:val="24"/>
          <w:lang w:val="en-US"/>
        </w:rPr>
        <w:t xml:space="preserve"> has a constant value in the physiological range of [Ca</w:t>
      </w:r>
      <w:r w:rsidR="00B46BDC" w:rsidRPr="00B46BDC">
        <w:rPr>
          <w:rFonts w:ascii="Times New Roman" w:hAnsi="Times New Roman" w:cs="Times New Roman"/>
          <w:sz w:val="24"/>
          <w:szCs w:val="24"/>
          <w:vertAlign w:val="superscript"/>
          <w:lang w:val="en-US"/>
        </w:rPr>
        <w:t>2+</w:t>
      </w:r>
      <w:r w:rsidR="00B46BDC">
        <w:rPr>
          <w:rFonts w:ascii="Times New Roman" w:hAnsi="Times New Roman" w:cs="Times New Roman"/>
          <w:sz w:val="24"/>
          <w:szCs w:val="24"/>
          <w:lang w:val="en-US"/>
        </w:rPr>
        <w:t>]</w:t>
      </w:r>
      <w:proofErr w:type="spellStart"/>
      <w:r w:rsidR="00B46BDC" w:rsidRPr="00B46BDC">
        <w:rPr>
          <w:rFonts w:ascii="Times New Roman" w:hAnsi="Times New Roman" w:cs="Times New Roman"/>
          <w:sz w:val="24"/>
          <w:szCs w:val="24"/>
          <w:vertAlign w:val="subscript"/>
          <w:lang w:val="en-US"/>
        </w:rPr>
        <w:t>i</w:t>
      </w:r>
      <w:proofErr w:type="spellEnd"/>
      <w:r w:rsidR="00B46BDC">
        <w:rPr>
          <w:rFonts w:ascii="Times New Roman" w:hAnsi="Times New Roman" w:cs="Times New Roman"/>
          <w:sz w:val="24"/>
          <w:szCs w:val="24"/>
          <w:lang w:val="en-US"/>
        </w:rPr>
        <w:t xml:space="preserve"> responses in smooth muscle as reported in </w:t>
      </w:r>
      <w:r w:rsidR="00061B50" w:rsidRPr="00061B50">
        <w:rPr>
          <w:rFonts w:ascii="Times New Roman" w:hAnsi="Times New Roman" w:cs="Times New Roman"/>
          <w:sz w:val="24"/>
          <w:szCs w:val="24"/>
          <w:lang w:val="en-US"/>
        </w:rPr>
        <w:fldChar w:fldCharType="begin" w:fldLock="1"/>
      </w:r>
      <w:r w:rsidR="004C76BE">
        <w:rPr>
          <w:rFonts w:ascii="Times New Roman" w:hAnsi="Times New Roman" w:cs="Times New Roman"/>
          <w:sz w:val="24"/>
          <w:szCs w:val="24"/>
          <w:lang w:val="en-US"/>
        </w:rPr>
        <w:instrText>ADDIN CSL_CITATION { "citationItems" : [ { "id" : "ITEM-1", "itemData" : { "DOI" : "10.1085/jgp.104.2.395", "ISSN" : "0022-1295", "PMID" : "7807055", "abstract" : "Activation of ryanodine receptors on the sarcoplasmic reticulum of single smooth muscle cells from the stomach muscularis of Bufo marinus by caffeine is accompanied by a rise in cytoplasmic [Ca2+] ([Ca2+]i), and the opening of nonselective cationic plasma membrane channels. To understand how each of these pathways contributes to the rise in [Ca2+]i, one needs to separately monitor Ca2+ entry through them. Such information was obtained from simultaneous measurements of ionic currents and [Ca2+]i by the development of a novel and general method to assess the fraction of current induced by an agonist that is carried by Ca2+. Application of this method to the currents induced in these smooth muscle cells by caffeine revealed that approximately 20% of the current passing through the membrane channels activated following caffeine application is carried by Ca2+. Based on this information we found that while Ca2+ entry through these channels rises slowly, release of Ca2+ from stores, while starting at the same time, is much faster and briefer. Detailed quantitative analysis of the Ca2+ release from stores suggests that it most likely decays due to depletion of Ca2+ in those stores. When caffeine was applied twice to a cell with only a brief (30 s) interval in between, the amount of Ca2+ released from stores was markedly diminished following the second caffeine application whereas the current carried in part by Ca2+ entry across the plasma membrane was not significantly affected. These and other studies described in the preceding paper indicate that activation of the nonselective cation plasma membrane channels in response to caffeine was not caused as a consequence of emptying of internal Ca2+ stores. Rather, it is proposed that caffeine activates these membrane channels either by direct interaction or alternatively by a linkage between ryanodine receptors on the sarcoplasmic reticulum and the nonselective cation channels on the surface membrane.", "author" : [ { "dropping-particle" : "", "family" : "Guerrero", "given" : "a", "non-dropping-particle" : "", "parse-names" : false, "suffix" : "" }, { "dropping-particle" : "", "family" : "Singer", "given" : "J J", "non-dropping-particle" : "", "parse-names" : false, "suffix" : "" }, { "dropping-particle" : "", "family" : "Fay", "given" : "F S", "non-dropping-particle" : "", "parse-names" : false, "suffix" : "" } ], "container-title" : "The Journal of general physiology", "id" : "ITEM-1", "issue" : "2", "issued" : { "date-parts" : [ [ "1994" ] ] }, "page" : "395-422", "title" : "Simultaneous measurement of Ca2+ release and influx into smooth muscle cells in response to caffeine. A novel approach for calculating the fraction of current carried by calcium.", "type" : "article-journal", "volume" : "104" }, "uris" : [ "http://www.mendeley.com/documents/?uuid=4f8621e5-1179-48c0-baaf-2d9eab1f2baa" ] } ], "mendeley" : { "formattedCitation" : "[4]", "plainTextFormattedCitation" : "[4]", "previouslyFormattedCitation" : "[4]" }, "properties" : { "noteIndex" : 0 }, "schema" : "https://github.com/citation-style-language/schema/raw/master/csl-citation.json" }</w:instrText>
      </w:r>
      <w:r w:rsidR="00061B50" w:rsidRPr="00061B50">
        <w:rPr>
          <w:rFonts w:ascii="Times New Roman" w:hAnsi="Times New Roman" w:cs="Times New Roman"/>
          <w:sz w:val="24"/>
          <w:szCs w:val="24"/>
          <w:lang w:val="en-US"/>
        </w:rPr>
        <w:fldChar w:fldCharType="separate"/>
      </w:r>
      <w:r w:rsidR="004C76BE" w:rsidRPr="004C76BE">
        <w:rPr>
          <w:rFonts w:ascii="Times New Roman" w:hAnsi="Times New Roman" w:cs="Times New Roman"/>
          <w:noProof/>
          <w:sz w:val="24"/>
          <w:szCs w:val="24"/>
          <w:lang w:val="en-US"/>
        </w:rPr>
        <w:t>[4]</w:t>
      </w:r>
      <w:r w:rsidR="00061B50" w:rsidRPr="00061B50">
        <w:rPr>
          <w:rFonts w:ascii="Times New Roman" w:hAnsi="Times New Roman" w:cs="Times New Roman"/>
          <w:sz w:val="24"/>
          <w:szCs w:val="24"/>
          <w:lang w:val="en-US"/>
        </w:rPr>
        <w:fldChar w:fldCharType="end"/>
      </w:r>
      <w:r w:rsidR="00B46BDC">
        <w:rPr>
          <w:rFonts w:ascii="Times New Roman" w:hAnsi="Times New Roman" w:cs="Times New Roman"/>
          <w:sz w:val="24"/>
          <w:szCs w:val="24"/>
          <w:lang w:val="en-US"/>
        </w:rPr>
        <w:t xml:space="preserve">. Although the </w:t>
      </w:r>
      <w:r w:rsidR="00622F91">
        <w:rPr>
          <w:rFonts w:ascii="Times New Roman" w:hAnsi="Times New Roman" w:cs="Times New Roman"/>
          <w:i/>
          <w:sz w:val="24"/>
          <w:szCs w:val="24"/>
          <w:lang w:val="en-US"/>
        </w:rPr>
        <w:t>β</w:t>
      </w:r>
      <w:r w:rsidR="00B46BDC">
        <w:rPr>
          <w:rFonts w:ascii="Times New Roman" w:hAnsi="Times New Roman" w:cs="Times New Roman"/>
          <w:sz w:val="24"/>
          <w:szCs w:val="24"/>
          <w:lang w:val="en-US"/>
        </w:rPr>
        <w:t xml:space="preserve"> value experimentally determined showed large variability among different cells, we have arbitrarily taken this value</w:t>
      </w:r>
      <w:r w:rsidR="00061B50" w:rsidRPr="00061B50">
        <w:rPr>
          <w:rFonts w:ascii="Times New Roman" w:hAnsi="Times New Roman" w:cs="Times New Roman"/>
          <w:sz w:val="24"/>
          <w:szCs w:val="24"/>
          <w:lang w:val="en-US"/>
        </w:rPr>
        <w:t>:</w:t>
      </w:r>
    </w:p>
    <w:p w:rsidR="00C47B39" w:rsidRPr="006E607A" w:rsidRDefault="00D72553" w:rsidP="00E92603">
      <w:pPr>
        <w:ind w:left="1440"/>
        <w:jc w:val="center"/>
        <w:rPr>
          <w:lang w:val="en-US"/>
        </w:rPr>
      </w:pPr>
      <w:r w:rsidRPr="00C241E2">
        <w:rPr>
          <w:position w:val="-10"/>
        </w:rPr>
        <w:object w:dxaOrig="859" w:dyaOrig="320">
          <v:shape id="_x0000_i1041" type="#_x0000_t75" style="width:43pt;height:15.9pt" o:ole="">
            <v:imagedata r:id="rId39" o:title=""/>
          </v:shape>
          <o:OLEObject Type="Embed" ProgID="Equation.DSMT4" ShapeID="_x0000_i1041" DrawAspect="Content" ObjectID="_1502802800" r:id="rId40"/>
        </w:object>
      </w:r>
      <w:r>
        <w:t xml:space="preserve"> </w:t>
      </w:r>
    </w:p>
    <w:p w:rsidR="00061B50" w:rsidRDefault="00206AF3" w:rsidP="00A92698">
      <w:pPr>
        <w:numPr>
          <w:ilvl w:val="0"/>
          <w:numId w:val="1"/>
        </w:numPr>
        <w:jc w:val="both"/>
        <w:rPr>
          <w:rFonts w:ascii="Times New Roman" w:hAnsi="Times New Roman" w:cs="Times New Roman"/>
          <w:sz w:val="24"/>
          <w:szCs w:val="24"/>
          <w:lang w:val="en-US"/>
        </w:rPr>
      </w:pPr>
      <w:r w:rsidRPr="00C241E2">
        <w:rPr>
          <w:position w:val="-14"/>
        </w:rPr>
        <w:object w:dxaOrig="700" w:dyaOrig="380">
          <v:shape id="_x0000_i1042" type="#_x0000_t75" style="width:35.05pt;height:19.15pt" o:ole="">
            <v:imagedata r:id="rId41" o:title=""/>
          </v:shape>
          <o:OLEObject Type="Embed" ProgID="Equation.DSMT4" ShapeID="_x0000_i1042" DrawAspect="Content" ObjectID="_1502802801" r:id="rId42"/>
        </w:object>
      </w:r>
      <w:r w:rsidRPr="00C241E2">
        <w:rPr>
          <w:lang w:val="en-US"/>
        </w:rPr>
        <w:t xml:space="preserve"> </w:t>
      </w:r>
      <w:r w:rsidR="00061B50" w:rsidRPr="00061B50">
        <w:rPr>
          <w:rFonts w:ascii="Times New Roman" w:hAnsi="Times New Roman" w:cs="Times New Roman"/>
          <w:sz w:val="24"/>
          <w:szCs w:val="24"/>
          <w:lang w:val="en-US"/>
        </w:rPr>
        <w:t>These parameters that shape the RyR open-probability function were empirically estimated so the model fits cell-variability experimental results (</w:t>
      </w:r>
      <w:r w:rsidR="00B46BDC">
        <w:rPr>
          <w:rFonts w:ascii="Times New Roman" w:hAnsi="Times New Roman" w:cs="Times New Roman"/>
          <w:sz w:val="24"/>
          <w:szCs w:val="24"/>
          <w:lang w:val="en-US"/>
        </w:rPr>
        <w:t xml:space="preserve">that is the rate or rise vs </w:t>
      </w:r>
      <w:r w:rsidR="00622F91">
        <w:rPr>
          <w:rFonts w:ascii="Times New Roman" w:hAnsi="Times New Roman" w:cs="Times New Roman"/>
          <w:sz w:val="24"/>
          <w:szCs w:val="24"/>
          <w:lang w:val="en-US"/>
        </w:rPr>
        <w:t>Δ</w:t>
      </w:r>
      <w:r w:rsidR="00B46BDC">
        <w:rPr>
          <w:rFonts w:ascii="Times New Roman" w:hAnsi="Times New Roman" w:cs="Times New Roman"/>
          <w:sz w:val="24"/>
          <w:szCs w:val="24"/>
          <w:lang w:val="en-US"/>
        </w:rPr>
        <w:t>[Ca</w:t>
      </w:r>
      <w:r w:rsidR="00B46BDC" w:rsidRPr="00B46BDC">
        <w:rPr>
          <w:rFonts w:ascii="Times New Roman" w:hAnsi="Times New Roman" w:cs="Times New Roman"/>
          <w:sz w:val="24"/>
          <w:szCs w:val="24"/>
          <w:vertAlign w:val="superscript"/>
          <w:lang w:val="en-US"/>
        </w:rPr>
        <w:t>2+</w:t>
      </w:r>
      <w:r w:rsidR="00B46BDC">
        <w:rPr>
          <w:rFonts w:ascii="Times New Roman" w:hAnsi="Times New Roman" w:cs="Times New Roman"/>
          <w:sz w:val="24"/>
          <w:szCs w:val="24"/>
          <w:lang w:val="en-US"/>
        </w:rPr>
        <w:t>]</w:t>
      </w:r>
      <w:proofErr w:type="spellStart"/>
      <w:r w:rsidR="00B46BDC" w:rsidRPr="00B46BDC">
        <w:rPr>
          <w:rFonts w:ascii="Times New Roman" w:hAnsi="Times New Roman" w:cs="Times New Roman"/>
          <w:sz w:val="24"/>
          <w:szCs w:val="24"/>
          <w:vertAlign w:val="subscript"/>
          <w:lang w:val="en-US"/>
        </w:rPr>
        <w:t>i</w:t>
      </w:r>
      <w:proofErr w:type="spellEnd"/>
      <w:r w:rsidR="00B46BDC">
        <w:rPr>
          <w:rFonts w:ascii="Times New Roman" w:hAnsi="Times New Roman" w:cs="Times New Roman"/>
          <w:sz w:val="24"/>
          <w:szCs w:val="24"/>
          <w:lang w:val="en-US"/>
        </w:rPr>
        <w:t xml:space="preserve"> response graph shown in</w:t>
      </w:r>
      <w:r w:rsidR="00823B65">
        <w:rPr>
          <w:rFonts w:ascii="Times New Roman" w:hAnsi="Times New Roman" w:cs="Times New Roman"/>
          <w:sz w:val="24"/>
          <w:szCs w:val="24"/>
          <w:lang w:val="en-US"/>
        </w:rPr>
        <w:t xml:space="preserve"> Fig 2A</w:t>
      </w:r>
      <w:r w:rsidR="00061B50" w:rsidRPr="00061B50">
        <w:rPr>
          <w:rFonts w:ascii="Times New Roman" w:hAnsi="Times New Roman" w:cs="Times New Roman"/>
          <w:sz w:val="24"/>
          <w:szCs w:val="24"/>
          <w:lang w:val="en-US"/>
        </w:rPr>
        <w:t>):</w:t>
      </w:r>
    </w:p>
    <w:p w:rsidR="00E366B0" w:rsidRPr="006E607A" w:rsidRDefault="00206AF3" w:rsidP="00E92603">
      <w:pPr>
        <w:ind w:left="1440"/>
        <w:jc w:val="center"/>
        <w:rPr>
          <w:lang w:val="en-US"/>
        </w:rPr>
      </w:pPr>
      <w:r w:rsidRPr="00C241E2">
        <w:rPr>
          <w:position w:val="-14"/>
        </w:rPr>
        <w:object w:dxaOrig="2380" w:dyaOrig="400">
          <v:shape id="_x0000_i1043" type="#_x0000_t75" style="width:119.2pt;height:20.1pt" o:ole="">
            <v:imagedata r:id="rId43" o:title=""/>
          </v:shape>
          <o:OLEObject Type="Embed" ProgID="Equation.DSMT4" ShapeID="_x0000_i1043" DrawAspect="Content" ObjectID="_1502802802" r:id="rId44"/>
        </w:object>
      </w:r>
      <w:r>
        <w:t xml:space="preserve"> </w:t>
      </w:r>
    </w:p>
    <w:p w:rsidR="00061B50" w:rsidRDefault="003A02D6" w:rsidP="00A92698">
      <w:pPr>
        <w:numPr>
          <w:ilvl w:val="0"/>
          <w:numId w:val="1"/>
        </w:numPr>
        <w:jc w:val="both"/>
        <w:rPr>
          <w:rFonts w:ascii="Times New Roman" w:hAnsi="Times New Roman" w:cs="Times New Roman"/>
          <w:sz w:val="24"/>
          <w:szCs w:val="24"/>
          <w:lang w:val="en-US"/>
        </w:rPr>
      </w:pPr>
      <w:r w:rsidRPr="003A02D6">
        <w:rPr>
          <w:rFonts w:ascii="Times New Roman" w:hAnsi="Times New Roman" w:cs="Times New Roman"/>
          <w:position w:val="-12"/>
          <w:sz w:val="24"/>
          <w:szCs w:val="24"/>
          <w:lang w:val="en-US"/>
        </w:rPr>
        <w:object w:dxaOrig="420" w:dyaOrig="360">
          <v:shape id="_x0000_i1044" type="#_x0000_t75" style="width:21.05pt;height:18.25pt" o:ole="">
            <v:imagedata r:id="rId45" o:title=""/>
          </v:shape>
          <o:OLEObject Type="Embed" ProgID="Equation.DSMT4" ShapeID="_x0000_i1044" DrawAspect="Content" ObjectID="_1502802803" r:id="rId46"/>
        </w:object>
      </w:r>
      <w:r>
        <w:rPr>
          <w:rFonts w:ascii="Times New Roman" w:hAnsi="Times New Roman" w:cs="Times New Roman"/>
          <w:sz w:val="24"/>
          <w:szCs w:val="24"/>
          <w:lang w:val="en-US"/>
        </w:rPr>
        <w:t xml:space="preserve"> </w:t>
      </w:r>
      <w:r w:rsidR="00061B50" w:rsidRPr="00061B50">
        <w:rPr>
          <w:rFonts w:ascii="Times New Roman" w:hAnsi="Times New Roman" w:cs="Times New Roman"/>
          <w:sz w:val="24"/>
          <w:szCs w:val="24"/>
          <w:lang w:val="en-US"/>
        </w:rPr>
        <w:t xml:space="preserve">This parameter, also involved in the definition of the open-probability function </w:t>
      </w:r>
      <w:r w:rsidR="00BD2595">
        <w:rPr>
          <w:rFonts w:ascii="Times New Roman" w:hAnsi="Times New Roman" w:cs="Times New Roman"/>
          <w:sz w:val="24"/>
          <w:szCs w:val="24"/>
          <w:lang w:val="en-US"/>
        </w:rPr>
        <w:t xml:space="preserve">of </w:t>
      </w:r>
      <w:proofErr w:type="spellStart"/>
      <w:r w:rsidR="00BD2595">
        <w:rPr>
          <w:rFonts w:ascii="Times New Roman" w:hAnsi="Times New Roman" w:cs="Times New Roman"/>
          <w:sz w:val="24"/>
          <w:szCs w:val="24"/>
          <w:lang w:val="en-US"/>
        </w:rPr>
        <w:t>RyR</w:t>
      </w:r>
      <w:proofErr w:type="spellEnd"/>
      <w:r w:rsidR="00BD2595">
        <w:rPr>
          <w:rFonts w:ascii="Times New Roman" w:hAnsi="Times New Roman" w:cs="Times New Roman"/>
          <w:sz w:val="24"/>
          <w:szCs w:val="24"/>
          <w:lang w:val="en-US"/>
        </w:rPr>
        <w:t xml:space="preserve"> </w:t>
      </w:r>
      <w:r w:rsidR="00061B50" w:rsidRPr="00061B50">
        <w:rPr>
          <w:rFonts w:ascii="Times New Roman" w:hAnsi="Times New Roman" w:cs="Times New Roman"/>
          <w:sz w:val="24"/>
          <w:szCs w:val="24"/>
          <w:lang w:val="en-US"/>
        </w:rPr>
        <w:t xml:space="preserve">was computed in terms of other parameters in the model in order to </w:t>
      </w:r>
      <w:r w:rsidR="00DA6F13">
        <w:rPr>
          <w:rFonts w:ascii="Times New Roman" w:hAnsi="Times New Roman" w:cs="Times New Roman"/>
          <w:sz w:val="24"/>
          <w:szCs w:val="24"/>
          <w:lang w:val="en-US"/>
        </w:rPr>
        <w:t xml:space="preserve">comply with </w:t>
      </w:r>
      <w:r w:rsidR="00061B50" w:rsidRPr="00061B50">
        <w:rPr>
          <w:rFonts w:ascii="Times New Roman" w:hAnsi="Times New Roman" w:cs="Times New Roman"/>
          <w:sz w:val="24"/>
          <w:szCs w:val="24"/>
          <w:lang w:val="en-US"/>
        </w:rPr>
        <w:t xml:space="preserve">the </w:t>
      </w:r>
      <w:r w:rsidR="00BD2595">
        <w:rPr>
          <w:rFonts w:ascii="Times New Roman" w:hAnsi="Times New Roman" w:cs="Times New Roman"/>
          <w:sz w:val="24"/>
          <w:szCs w:val="24"/>
          <w:lang w:val="en-US"/>
        </w:rPr>
        <w:t xml:space="preserve">idea that the resting values for both </w:t>
      </w:r>
      <w:r w:rsidR="00DB75AD">
        <w:rPr>
          <w:rFonts w:ascii="Times New Roman" w:hAnsi="Times New Roman" w:cs="Times New Roman"/>
          <w:sz w:val="24"/>
          <w:szCs w:val="24"/>
          <w:lang w:val="en-US"/>
        </w:rPr>
        <w:t>[Ca</w:t>
      </w:r>
      <w:r w:rsidR="00DB75AD">
        <w:rPr>
          <w:rFonts w:ascii="Times New Roman" w:hAnsi="Times New Roman" w:cs="Times New Roman"/>
          <w:sz w:val="24"/>
          <w:szCs w:val="24"/>
          <w:vertAlign w:val="superscript"/>
          <w:lang w:val="en-US"/>
        </w:rPr>
        <w:t>2+</w:t>
      </w:r>
      <w:r w:rsidR="00DB75AD">
        <w:rPr>
          <w:rFonts w:ascii="Times New Roman" w:hAnsi="Times New Roman" w:cs="Times New Roman"/>
          <w:sz w:val="24"/>
          <w:szCs w:val="24"/>
          <w:lang w:val="en-US"/>
        </w:rPr>
        <w:t>]</w:t>
      </w:r>
      <w:proofErr w:type="spellStart"/>
      <w:r w:rsidR="00DB75AD">
        <w:rPr>
          <w:rFonts w:ascii="Times New Roman" w:hAnsi="Times New Roman" w:cs="Times New Roman"/>
          <w:sz w:val="24"/>
          <w:szCs w:val="24"/>
          <w:vertAlign w:val="subscript"/>
          <w:lang w:val="en-US"/>
        </w:rPr>
        <w:t>i</w:t>
      </w:r>
      <w:proofErr w:type="spellEnd"/>
      <w:r w:rsidR="00DB75AD">
        <w:rPr>
          <w:rFonts w:ascii="Times New Roman" w:hAnsi="Times New Roman" w:cs="Times New Roman"/>
          <w:sz w:val="24"/>
          <w:szCs w:val="24"/>
          <w:lang w:val="en-US"/>
        </w:rPr>
        <w:t xml:space="preserve"> </w:t>
      </w:r>
      <w:r w:rsidR="00061B50" w:rsidRPr="00061B50">
        <w:rPr>
          <w:rFonts w:ascii="Times New Roman" w:hAnsi="Times New Roman" w:cs="Times New Roman"/>
          <w:sz w:val="24"/>
          <w:szCs w:val="24"/>
          <w:lang w:val="en-US"/>
        </w:rPr>
        <w:t xml:space="preserve">and </w:t>
      </w:r>
      <w:r w:rsidR="00DB75AD">
        <w:rPr>
          <w:rFonts w:ascii="Times New Roman" w:hAnsi="Times New Roman" w:cs="Times New Roman"/>
          <w:sz w:val="24"/>
          <w:szCs w:val="24"/>
          <w:lang w:val="en-US"/>
        </w:rPr>
        <w:t>[Ca</w:t>
      </w:r>
      <w:r w:rsidR="00DB75AD">
        <w:rPr>
          <w:rFonts w:ascii="Times New Roman" w:hAnsi="Times New Roman" w:cs="Times New Roman"/>
          <w:sz w:val="24"/>
          <w:szCs w:val="24"/>
          <w:vertAlign w:val="superscript"/>
          <w:lang w:val="en-US"/>
        </w:rPr>
        <w:t>2+</w:t>
      </w:r>
      <w:r w:rsidR="00DB75AD">
        <w:rPr>
          <w:rFonts w:ascii="Times New Roman" w:hAnsi="Times New Roman" w:cs="Times New Roman"/>
          <w:sz w:val="24"/>
          <w:szCs w:val="24"/>
          <w:lang w:val="en-US"/>
        </w:rPr>
        <w:t>]</w:t>
      </w:r>
      <w:r w:rsidR="00DB75AD">
        <w:rPr>
          <w:rFonts w:ascii="Times New Roman" w:hAnsi="Times New Roman" w:cs="Times New Roman"/>
          <w:sz w:val="24"/>
          <w:szCs w:val="24"/>
          <w:vertAlign w:val="subscript"/>
          <w:lang w:val="en-US"/>
        </w:rPr>
        <w:t xml:space="preserve">FSR </w:t>
      </w:r>
      <w:r w:rsidR="00BD2595">
        <w:rPr>
          <w:rFonts w:ascii="Times New Roman" w:hAnsi="Times New Roman" w:cs="Times New Roman"/>
          <w:sz w:val="24"/>
          <w:szCs w:val="24"/>
          <w:lang w:val="en-US"/>
        </w:rPr>
        <w:t xml:space="preserve">should </w:t>
      </w:r>
      <w:r w:rsidR="00061B50" w:rsidRPr="00061B50">
        <w:rPr>
          <w:rFonts w:ascii="Times New Roman" w:hAnsi="Times New Roman" w:cs="Times New Roman"/>
          <w:sz w:val="24"/>
          <w:szCs w:val="24"/>
          <w:lang w:val="en-US"/>
        </w:rPr>
        <w:t xml:space="preserve">satisfy </w:t>
      </w:r>
      <w:r w:rsidR="00061B50" w:rsidRPr="00061B50">
        <w:rPr>
          <w:rFonts w:ascii="Times New Roman" w:hAnsi="Times New Roman" w:cs="Times New Roman"/>
          <w:sz w:val="24"/>
          <w:szCs w:val="24"/>
          <w:lang w:val="en-US"/>
        </w:rPr>
        <w:fldChar w:fldCharType="begin" w:fldLock="1"/>
      </w:r>
      <w:r w:rsidR="004C76BE">
        <w:rPr>
          <w:rFonts w:ascii="Times New Roman" w:hAnsi="Times New Roman" w:cs="Times New Roman"/>
          <w:sz w:val="24"/>
          <w:szCs w:val="24"/>
          <w:lang w:val="en-US"/>
        </w:rPr>
        <w:instrText>ADDIN CSL_CITATION { "citationItems" : [ { "id" : "ITEM-1", "itemData" : { "DOI" : "10.1016/j.ceca.2007.05.001", "ISSN" : "0143-4160", "PMID" : "17574670", "abstract" : "Specific Ca(2+) homeostatic system appeared very early in the history of the cell, as a survival system preventing Ca(2+)-mediated cell damage. This homeostatic system produced a steep ( approximately 20,000 times) concentration gradient between extracellular and intracellular compartments, which has both survival importance (even relatively short increases in cytosolic Ca(2+) concentrations higher then 100 nM are incompatible with life) and signalling function. Evolution utilised this gradient together with an ability of Ca(2+) to interact with many biological molecules to create the most widespread and versatile signalling system, controlling the majority of cellular processes and executing complex routines of intercellular communications.", "author" : [ { "dropping-particle" : "", "family" : "Case", "given" : "R Maynard", "non-dropping-particle" : "", "parse-names" : false, "suffix" : "" }, { "dropping-particle" : "", "family" : "Eisner", "given" : "David", "non-dropping-particle" : "", "parse-names" : false, "suffix" : "" }, { "dropping-particle" : "", "family" : "Gurney", "given" : "Alison", "non-dropping-particle" : "", "parse-names" : false, "suffix" : "" }, { "dropping-particle" : "", "family" : "Jones", "given" : "Owen", "non-dropping-particle" : "", "parse-names" : false, "suffix" : "" }, { "dropping-particle" : "", "family" : "Muallem", "given" : "Shmuel", "non-dropping-particle" : "", "parse-names" : false, "suffix" : "" }, { "dropping-particle" : "", "family" : "Verkhratsky", "given" : "Alexei", "non-dropping-particle" : "", "parse-names" : false, "suffix" : "" } ], "container-title" : "Cell calcium", "id" : "ITEM-1", "issue" : "4-5", "issued" : { "date-parts" : [ [ "2007" ] ] }, "page" : "345-50", "title" : "Evolution of calcium homeostasis: from birth of the first cell to an omnipresent signalling system.", "type" : "article-journal", "volume" : "42" }, "uris" : [ "http://www.mendeley.com/documents/?uuid=cf448a02-a963-4bec-b806-fc8ac118f513", "http://www.mendeley.com/documents/?uuid=e17d6748-5873-4a93-ad99-57a5b65726ab" ] } ], "mendeley" : { "formattedCitation" : "[5]", "plainTextFormattedCitation" : "[5]", "previouslyFormattedCitation" : "[5]" }, "properties" : { "noteIndex" : 0 }, "schema" : "https://github.com/citation-style-language/schema/raw/master/csl-citation.json" }</w:instrText>
      </w:r>
      <w:r w:rsidR="00061B50" w:rsidRPr="00061B50">
        <w:rPr>
          <w:rFonts w:ascii="Times New Roman" w:hAnsi="Times New Roman" w:cs="Times New Roman"/>
          <w:sz w:val="24"/>
          <w:szCs w:val="24"/>
          <w:lang w:val="en-US"/>
        </w:rPr>
        <w:fldChar w:fldCharType="separate"/>
      </w:r>
      <w:r w:rsidR="004C76BE" w:rsidRPr="004C76BE">
        <w:rPr>
          <w:rFonts w:ascii="Times New Roman" w:hAnsi="Times New Roman" w:cs="Times New Roman"/>
          <w:noProof/>
          <w:sz w:val="24"/>
          <w:szCs w:val="24"/>
          <w:lang w:val="en-US"/>
        </w:rPr>
        <w:t>[5]</w:t>
      </w:r>
      <w:r w:rsidR="00061B50" w:rsidRPr="00061B50">
        <w:rPr>
          <w:rFonts w:ascii="Times New Roman" w:hAnsi="Times New Roman" w:cs="Times New Roman"/>
          <w:sz w:val="24"/>
          <w:szCs w:val="24"/>
          <w:lang w:val="en-US"/>
        </w:rPr>
        <w:fldChar w:fldCharType="end"/>
      </w:r>
      <w:r w:rsidR="00061B50" w:rsidRPr="00061B50">
        <w:rPr>
          <w:rFonts w:ascii="Times New Roman" w:hAnsi="Times New Roman" w:cs="Times New Roman"/>
          <w:sz w:val="24"/>
          <w:szCs w:val="24"/>
          <w:lang w:val="en-US"/>
        </w:rPr>
        <w:t>:</w:t>
      </w:r>
    </w:p>
    <w:p w:rsidR="00E32522" w:rsidRPr="00E92603" w:rsidRDefault="003A02D6" w:rsidP="00E92603">
      <w:pPr>
        <w:ind w:left="1440"/>
        <w:jc w:val="center"/>
        <w:rPr>
          <w:lang w:val="en-US"/>
        </w:rPr>
      </w:pPr>
      <w:r w:rsidRPr="00C241E2">
        <w:rPr>
          <w:position w:val="-18"/>
        </w:rPr>
        <w:object w:dxaOrig="4020" w:dyaOrig="499">
          <v:shape id="_x0000_i1045" type="#_x0000_t75" style="width:201.05pt;height:24.8pt" o:ole="">
            <v:imagedata r:id="rId47" o:title=""/>
          </v:shape>
          <o:OLEObject Type="Embed" ProgID="Equation.DSMT4" ShapeID="_x0000_i1045" DrawAspect="Content" ObjectID="_1502802804" r:id="rId48"/>
        </w:object>
      </w:r>
      <w:r w:rsidRPr="00C241E2">
        <w:rPr>
          <w:lang w:val="en-US"/>
        </w:rPr>
        <w:t xml:space="preserve"> </w:t>
      </w:r>
    </w:p>
    <w:p w:rsidR="00061B50" w:rsidRPr="00E92603" w:rsidRDefault="00061B50" w:rsidP="00A92698">
      <w:pPr>
        <w:ind w:left="1416"/>
        <w:jc w:val="both"/>
        <w:rPr>
          <w:rFonts w:ascii="Times New Roman" w:hAnsi="Times New Roman" w:cs="Times New Roman"/>
          <w:sz w:val="24"/>
          <w:szCs w:val="24"/>
          <w:lang w:val="en-US"/>
        </w:rPr>
      </w:pPr>
      <w:r w:rsidRPr="00061B50">
        <w:rPr>
          <w:rFonts w:ascii="Times New Roman" w:hAnsi="Times New Roman" w:cs="Times New Roman"/>
          <w:sz w:val="24"/>
          <w:szCs w:val="24"/>
          <w:lang w:val="en-US"/>
        </w:rPr>
        <w:t xml:space="preserve">Since in the steady </w:t>
      </w:r>
      <w:r w:rsidR="0090077B" w:rsidRPr="00061B50">
        <w:rPr>
          <w:rFonts w:ascii="Times New Roman" w:hAnsi="Times New Roman" w:cs="Times New Roman"/>
          <w:sz w:val="24"/>
          <w:szCs w:val="24"/>
          <w:lang w:val="en-US"/>
        </w:rPr>
        <w:t>state</w:t>
      </w:r>
      <w:r w:rsidR="003A02D6">
        <w:rPr>
          <w:rFonts w:ascii="Times New Roman" w:hAnsi="Times New Roman" w:cs="Times New Roman"/>
          <w:sz w:val="24"/>
          <w:szCs w:val="24"/>
          <w:lang w:val="en-US"/>
        </w:rPr>
        <w:t xml:space="preserve"> </w:t>
      </w:r>
      <w:r w:rsidR="003A02D6" w:rsidRPr="00C241E2">
        <w:rPr>
          <w:rFonts w:ascii="Times New Roman" w:hAnsi="Times New Roman" w:cs="Times New Roman"/>
          <w:position w:val="-12"/>
          <w:sz w:val="24"/>
          <w:szCs w:val="24"/>
          <w:lang w:val="en-US"/>
        </w:rPr>
        <w:object w:dxaOrig="820" w:dyaOrig="360">
          <v:shape id="_x0000_i1046" type="#_x0000_t75" style="width:41.15pt;height:18.25pt" o:ole="">
            <v:imagedata r:id="rId49" o:title=""/>
          </v:shape>
          <o:OLEObject Type="Embed" ProgID="Equation.DSMT4" ShapeID="_x0000_i1046" DrawAspect="Content" ObjectID="_1502802805" r:id="rId50"/>
        </w:object>
      </w:r>
      <w:r w:rsidR="003A02D6">
        <w:rPr>
          <w:rFonts w:ascii="Times New Roman" w:hAnsi="Times New Roman" w:cs="Times New Roman"/>
          <w:sz w:val="24"/>
          <w:szCs w:val="24"/>
          <w:lang w:val="en-US"/>
        </w:rPr>
        <w:t xml:space="preserve"> </w:t>
      </w:r>
      <w:r w:rsidR="0090077B">
        <w:rPr>
          <w:rFonts w:ascii="Times New Roman" w:hAnsi="Times New Roman" w:cs="Times New Roman"/>
          <w:sz w:val="24"/>
          <w:szCs w:val="24"/>
          <w:lang w:val="en-US"/>
        </w:rPr>
        <w:t xml:space="preserve"> </w:t>
      </w:r>
      <w:r w:rsidR="0090077B" w:rsidRPr="00061B50">
        <w:rPr>
          <w:rFonts w:ascii="Times New Roman" w:hAnsi="Times New Roman" w:cs="Times New Roman"/>
          <w:sz w:val="24"/>
          <w:szCs w:val="24"/>
          <w:lang w:val="en-US"/>
        </w:rPr>
        <w:t>this</w:t>
      </w:r>
      <w:r w:rsidRPr="00061B50">
        <w:rPr>
          <w:rFonts w:ascii="Times New Roman" w:hAnsi="Times New Roman" w:cs="Times New Roman"/>
          <w:sz w:val="24"/>
          <w:szCs w:val="24"/>
          <w:lang w:val="en-US"/>
        </w:rPr>
        <w:t xml:space="preserve"> parameter is calculated by solving for</w:t>
      </w:r>
      <w:r w:rsidR="009E1692">
        <w:rPr>
          <w:rFonts w:ascii="Times New Roman" w:hAnsi="Times New Roman" w:cs="Times New Roman"/>
          <w:sz w:val="24"/>
          <w:szCs w:val="24"/>
          <w:lang w:val="en-US"/>
        </w:rPr>
        <w:t xml:space="preserve"> K</w:t>
      </w:r>
      <w:r w:rsidR="009E1692">
        <w:rPr>
          <w:rFonts w:ascii="Times New Roman" w:hAnsi="Times New Roman" w:cs="Times New Roman"/>
          <w:sz w:val="24"/>
          <w:szCs w:val="24"/>
          <w:vertAlign w:val="subscript"/>
          <w:lang w:val="en-US"/>
        </w:rPr>
        <w:t>C</w:t>
      </w:r>
      <w:r w:rsidRPr="00061B50">
        <w:rPr>
          <w:rFonts w:ascii="Times New Roman" w:hAnsi="Times New Roman" w:cs="Times New Roman"/>
          <w:sz w:val="24"/>
          <w:szCs w:val="24"/>
          <w:lang w:val="en-US"/>
        </w:rPr>
        <w:t xml:space="preserve"> in such equality, after </w:t>
      </w:r>
      <w:r w:rsidR="0090077B" w:rsidRPr="00061B50">
        <w:rPr>
          <w:rFonts w:ascii="Times New Roman" w:hAnsi="Times New Roman" w:cs="Times New Roman"/>
          <w:sz w:val="24"/>
          <w:szCs w:val="24"/>
          <w:lang w:val="en-US"/>
        </w:rPr>
        <w:t>substituting</w:t>
      </w:r>
      <w:r w:rsidR="001A4252">
        <w:rPr>
          <w:rFonts w:ascii="Times New Roman" w:hAnsi="Times New Roman" w:cs="Times New Roman"/>
          <w:sz w:val="24"/>
          <w:szCs w:val="24"/>
          <w:lang w:val="en-US"/>
        </w:rPr>
        <w:t xml:space="preserve"> </w:t>
      </w:r>
      <w:r w:rsidR="001A4252" w:rsidRPr="00C241E2">
        <w:rPr>
          <w:rFonts w:ascii="Times New Roman" w:hAnsi="Times New Roman" w:cs="Times New Roman"/>
          <w:position w:val="-18"/>
          <w:sz w:val="24"/>
          <w:szCs w:val="24"/>
          <w:lang w:val="en-US"/>
        </w:rPr>
        <w:object w:dxaOrig="1880" w:dyaOrig="499">
          <v:shape id="_x0000_i1047" type="#_x0000_t75" style="width:93.95pt;height:24.8pt" o:ole="">
            <v:imagedata r:id="rId51" o:title=""/>
          </v:shape>
          <o:OLEObject Type="Embed" ProgID="Equation.DSMT4" ShapeID="_x0000_i1047" DrawAspect="Content" ObjectID="_1502802806" r:id="rId52"/>
        </w:object>
      </w:r>
      <w:r w:rsidR="001A4252">
        <w:rPr>
          <w:rFonts w:ascii="Times New Roman" w:hAnsi="Times New Roman" w:cs="Times New Roman"/>
          <w:sz w:val="24"/>
          <w:szCs w:val="24"/>
          <w:lang w:val="en-US"/>
        </w:rPr>
        <w:t xml:space="preserve"> </w:t>
      </w:r>
      <w:r w:rsidR="001A4252">
        <w:rPr>
          <w:lang w:val="en-US"/>
        </w:rPr>
        <w:t xml:space="preserve"> </w:t>
      </w:r>
      <w:r w:rsidR="001A4252" w:rsidRPr="00C241E2">
        <w:rPr>
          <w:position w:val="-18"/>
          <w:lang w:val="en-US"/>
        </w:rPr>
        <w:object w:dxaOrig="2220" w:dyaOrig="499">
          <v:shape id="_x0000_i1048" type="#_x0000_t75" style="width:110.8pt;height:24.8pt" o:ole="">
            <v:imagedata r:id="rId53" o:title=""/>
          </v:shape>
          <o:OLEObject Type="Embed" ProgID="Equation.DSMT4" ShapeID="_x0000_i1048" DrawAspect="Content" ObjectID="_1502802807" r:id="rId54"/>
        </w:object>
      </w:r>
      <w:r w:rsidR="001A4252">
        <w:rPr>
          <w:lang w:val="en-US"/>
        </w:rPr>
        <w:t xml:space="preserve"> </w:t>
      </w:r>
      <w:r w:rsidR="009E1692" w:rsidRPr="009E1692">
        <w:rPr>
          <w:rFonts w:ascii="Times New Roman" w:hAnsi="Times New Roman" w:cs="Times New Roman"/>
          <w:sz w:val="24"/>
          <w:szCs w:val="24"/>
          <w:lang w:val="en-US"/>
        </w:rPr>
        <w:t xml:space="preserve"> </w:t>
      </w:r>
      <w:r w:rsidRPr="00061B50">
        <w:rPr>
          <w:rFonts w:ascii="Times New Roman" w:hAnsi="Times New Roman" w:cs="Times New Roman"/>
          <w:sz w:val="24"/>
          <w:szCs w:val="24"/>
          <w:lang w:val="en-US"/>
        </w:rPr>
        <w:t>and</w:t>
      </w:r>
      <w:r w:rsidR="001A4252">
        <w:rPr>
          <w:rFonts w:ascii="Times New Roman" w:hAnsi="Times New Roman" w:cs="Times New Roman"/>
          <w:sz w:val="24"/>
          <w:szCs w:val="24"/>
          <w:lang w:val="en-US"/>
        </w:rPr>
        <w:t xml:space="preserve"> </w:t>
      </w:r>
      <w:r w:rsidR="001A4252" w:rsidRPr="00C241E2">
        <w:rPr>
          <w:rFonts w:ascii="Times New Roman" w:hAnsi="Times New Roman" w:cs="Times New Roman"/>
          <w:position w:val="-14"/>
          <w:sz w:val="24"/>
          <w:szCs w:val="24"/>
          <w:lang w:val="en-US"/>
        </w:rPr>
        <w:object w:dxaOrig="1100" w:dyaOrig="400">
          <v:shape id="_x0000_i1049" type="#_x0000_t75" style="width:55.15pt;height:20.1pt" o:ole="">
            <v:imagedata r:id="rId55" o:title=""/>
          </v:shape>
          <o:OLEObject Type="Embed" ProgID="Equation.DSMT4" ShapeID="_x0000_i1049" DrawAspect="Content" ObjectID="_1502802808" r:id="rId56"/>
        </w:object>
      </w:r>
      <w:r w:rsidR="001A4252">
        <w:rPr>
          <w:rFonts w:ascii="Times New Roman" w:hAnsi="Times New Roman" w:cs="Times New Roman"/>
          <w:sz w:val="24"/>
          <w:szCs w:val="24"/>
          <w:lang w:val="en-US"/>
        </w:rPr>
        <w:t xml:space="preserve"> </w:t>
      </w:r>
    </w:p>
    <w:p w:rsidR="00061B50" w:rsidRPr="00061B50" w:rsidRDefault="00061B50" w:rsidP="00061B50">
      <w:pPr>
        <w:rPr>
          <w:rFonts w:ascii="Times New Roman" w:hAnsi="Times New Roman" w:cs="Times New Roman"/>
          <w:sz w:val="24"/>
          <w:szCs w:val="24"/>
          <w:lang w:val="en-US"/>
        </w:rPr>
      </w:pPr>
    </w:p>
    <w:p w:rsidR="00061B50" w:rsidRPr="00061B50" w:rsidRDefault="00E715D8" w:rsidP="00061B50">
      <w:pPr>
        <w:numPr>
          <w:ilvl w:val="0"/>
          <w:numId w:val="1"/>
        </w:numPr>
        <w:rPr>
          <w:rFonts w:ascii="Times New Roman" w:hAnsi="Times New Roman" w:cs="Times New Roman"/>
          <w:sz w:val="24"/>
          <w:szCs w:val="24"/>
          <w:lang w:val="en-US"/>
        </w:rPr>
      </w:pPr>
      <w:r w:rsidRPr="00C241E2">
        <w:rPr>
          <w:position w:val="-12"/>
        </w:rPr>
        <w:object w:dxaOrig="420" w:dyaOrig="360">
          <v:shape id="_x0000_i1050" type="#_x0000_t75" style="width:21.05pt;height:18.25pt" o:ole="">
            <v:imagedata r:id="rId57" o:title=""/>
          </v:shape>
          <o:OLEObject Type="Embed" ProgID="Equation.DSMT4" ShapeID="_x0000_i1050" DrawAspect="Content" ObjectID="_1502802809" r:id="rId58"/>
        </w:object>
      </w:r>
      <w:r w:rsidRPr="00C241E2">
        <w:rPr>
          <w:lang w:val="en-US"/>
        </w:rPr>
        <w:t xml:space="preserve"> </w:t>
      </w:r>
      <w:r w:rsidR="00061B50" w:rsidRPr="00061B50">
        <w:rPr>
          <w:rFonts w:ascii="Times New Roman" w:hAnsi="Times New Roman" w:cs="Times New Roman"/>
          <w:sz w:val="24"/>
          <w:szCs w:val="24"/>
          <w:lang w:val="en-US"/>
        </w:rPr>
        <w:t xml:space="preserve">This parameter </w:t>
      </w:r>
      <w:r w:rsidR="006B5E0A">
        <w:rPr>
          <w:rFonts w:ascii="Times New Roman" w:hAnsi="Times New Roman" w:cs="Times New Roman"/>
          <w:sz w:val="24"/>
          <w:szCs w:val="24"/>
          <w:lang w:val="en-US"/>
        </w:rPr>
        <w:t>represents the affinity of the luminal SR Ca</w:t>
      </w:r>
      <w:r w:rsidR="006B5E0A" w:rsidRPr="006B5E0A">
        <w:rPr>
          <w:rFonts w:ascii="Times New Roman" w:hAnsi="Times New Roman" w:cs="Times New Roman"/>
          <w:sz w:val="24"/>
          <w:szCs w:val="24"/>
          <w:vertAlign w:val="superscript"/>
          <w:lang w:val="en-US"/>
        </w:rPr>
        <w:t>2+</w:t>
      </w:r>
      <w:r w:rsidR="006B5E0A">
        <w:rPr>
          <w:rFonts w:ascii="Times New Roman" w:hAnsi="Times New Roman" w:cs="Times New Roman"/>
          <w:sz w:val="24"/>
          <w:szCs w:val="24"/>
          <w:lang w:val="en-US"/>
        </w:rPr>
        <w:t xml:space="preserve"> binding proteins and the selected </w:t>
      </w:r>
      <w:r w:rsidR="00061B50" w:rsidRPr="00061B50">
        <w:rPr>
          <w:rFonts w:ascii="Times New Roman" w:hAnsi="Times New Roman" w:cs="Times New Roman"/>
          <w:sz w:val="24"/>
          <w:szCs w:val="24"/>
          <w:lang w:val="en-US"/>
        </w:rPr>
        <w:t xml:space="preserve">value </w:t>
      </w:r>
      <w:r w:rsidR="006B5E0A">
        <w:rPr>
          <w:rFonts w:ascii="Times New Roman" w:hAnsi="Times New Roman" w:cs="Times New Roman"/>
          <w:sz w:val="24"/>
          <w:szCs w:val="24"/>
          <w:lang w:val="en-US"/>
        </w:rPr>
        <w:t>allowed us to reproduce both phase 1during Ca</w:t>
      </w:r>
      <w:r w:rsidR="006B5E0A" w:rsidRPr="006B5E0A">
        <w:rPr>
          <w:rFonts w:ascii="Times New Roman" w:hAnsi="Times New Roman" w:cs="Times New Roman"/>
          <w:sz w:val="24"/>
          <w:szCs w:val="24"/>
          <w:vertAlign w:val="superscript"/>
          <w:lang w:val="en-US"/>
        </w:rPr>
        <w:t>2+</w:t>
      </w:r>
      <w:r w:rsidR="006B5E0A">
        <w:rPr>
          <w:rFonts w:ascii="Times New Roman" w:hAnsi="Times New Roman" w:cs="Times New Roman"/>
          <w:sz w:val="24"/>
          <w:szCs w:val="24"/>
          <w:lang w:val="en-US"/>
        </w:rPr>
        <w:t xml:space="preserve"> release (</w:t>
      </w:r>
      <w:r w:rsidR="009B4EC7">
        <w:rPr>
          <w:rFonts w:ascii="Times New Roman" w:hAnsi="Times New Roman" w:cs="Times New Roman"/>
          <w:sz w:val="24"/>
          <w:szCs w:val="24"/>
          <w:lang w:val="en-US"/>
        </w:rPr>
        <w:t>Fig 6</w:t>
      </w:r>
      <w:r w:rsidR="006B5E0A">
        <w:rPr>
          <w:rFonts w:ascii="Times New Roman" w:hAnsi="Times New Roman" w:cs="Times New Roman"/>
          <w:sz w:val="24"/>
          <w:szCs w:val="24"/>
          <w:lang w:val="en-US"/>
        </w:rPr>
        <w:t>) and the fast recovery of the [Ca</w:t>
      </w:r>
      <w:r w:rsidR="006B5E0A" w:rsidRPr="006B5E0A">
        <w:rPr>
          <w:rFonts w:ascii="Times New Roman" w:hAnsi="Times New Roman" w:cs="Times New Roman"/>
          <w:sz w:val="24"/>
          <w:szCs w:val="24"/>
          <w:vertAlign w:val="superscript"/>
          <w:lang w:val="en-US"/>
        </w:rPr>
        <w:t>2+</w:t>
      </w:r>
      <w:r w:rsidR="006B5E0A">
        <w:rPr>
          <w:rFonts w:ascii="Times New Roman" w:hAnsi="Times New Roman" w:cs="Times New Roman"/>
          <w:sz w:val="24"/>
          <w:szCs w:val="24"/>
          <w:lang w:val="en-US"/>
        </w:rPr>
        <w:t>]</w:t>
      </w:r>
      <w:r w:rsidR="006B5E0A" w:rsidRPr="006B5E0A">
        <w:rPr>
          <w:rFonts w:ascii="Times New Roman" w:hAnsi="Times New Roman" w:cs="Times New Roman"/>
          <w:sz w:val="24"/>
          <w:szCs w:val="24"/>
          <w:vertAlign w:val="subscript"/>
          <w:lang w:val="en-US"/>
        </w:rPr>
        <w:t>FSR</w:t>
      </w:r>
      <w:r w:rsidR="006B5E0A">
        <w:rPr>
          <w:rFonts w:ascii="Times New Roman" w:hAnsi="Times New Roman" w:cs="Times New Roman"/>
          <w:sz w:val="24"/>
          <w:szCs w:val="24"/>
          <w:lang w:val="en-US"/>
        </w:rPr>
        <w:t xml:space="preserve"> (</w:t>
      </w:r>
      <w:r w:rsidR="009B4EC7">
        <w:rPr>
          <w:rFonts w:ascii="Times New Roman" w:hAnsi="Times New Roman" w:cs="Times New Roman"/>
          <w:sz w:val="24"/>
          <w:szCs w:val="24"/>
          <w:lang w:val="en-US"/>
        </w:rPr>
        <w:t>Fig 7</w:t>
      </w:r>
      <w:r w:rsidR="006B5E0A">
        <w:rPr>
          <w:rFonts w:ascii="Times New Roman" w:hAnsi="Times New Roman" w:cs="Times New Roman"/>
          <w:sz w:val="24"/>
          <w:szCs w:val="24"/>
          <w:lang w:val="en-US"/>
        </w:rPr>
        <w:t>)</w:t>
      </w:r>
      <w:r w:rsidR="00061B50" w:rsidRPr="00061B50">
        <w:rPr>
          <w:rFonts w:ascii="Times New Roman" w:hAnsi="Times New Roman" w:cs="Times New Roman"/>
          <w:sz w:val="24"/>
          <w:szCs w:val="24"/>
          <w:lang w:val="en-US"/>
        </w:rPr>
        <w:t>:</w:t>
      </w:r>
    </w:p>
    <w:p w:rsidR="00061B50" w:rsidRPr="00061B50" w:rsidRDefault="00E715D8" w:rsidP="00C241E2">
      <w:pPr>
        <w:jc w:val="center"/>
        <w:rPr>
          <w:rFonts w:ascii="Times New Roman" w:hAnsi="Times New Roman" w:cs="Times New Roman"/>
          <w:sz w:val="24"/>
          <w:szCs w:val="24"/>
          <w:lang w:val="en-US"/>
        </w:rPr>
      </w:pPr>
      <w:r w:rsidRPr="00C241E2">
        <w:rPr>
          <w:position w:val="-12"/>
        </w:rPr>
        <w:object w:dxaOrig="1620" w:dyaOrig="360">
          <v:shape id="_x0000_i1051" type="#_x0000_t75" style="width:80.9pt;height:18.25pt" o:ole="">
            <v:imagedata r:id="rId59" o:title=""/>
          </v:shape>
          <o:OLEObject Type="Embed" ProgID="Equation.DSMT4" ShapeID="_x0000_i1051" DrawAspect="Content" ObjectID="_1502802810" r:id="rId60"/>
        </w:object>
      </w:r>
      <w:r>
        <w:t xml:space="preserve"> </w:t>
      </w:r>
    </w:p>
    <w:p w:rsidR="00061B50" w:rsidRPr="00C241E2" w:rsidRDefault="00E715D8" w:rsidP="00C241E2">
      <w:pPr>
        <w:numPr>
          <w:ilvl w:val="0"/>
          <w:numId w:val="1"/>
        </w:numPr>
        <w:rPr>
          <w:rFonts w:ascii="Times New Roman" w:hAnsi="Times New Roman" w:cs="Times New Roman"/>
          <w:sz w:val="24"/>
          <w:szCs w:val="24"/>
          <w:lang w:val="en-US"/>
        </w:rPr>
      </w:pPr>
      <w:r w:rsidRPr="00C241E2">
        <w:rPr>
          <w:position w:val="-12"/>
        </w:rPr>
        <w:object w:dxaOrig="360" w:dyaOrig="360">
          <v:shape id="_x0000_i1052" type="#_x0000_t75" style="width:18.25pt;height:18.25pt" o:ole="">
            <v:imagedata r:id="rId61" o:title=""/>
          </v:shape>
          <o:OLEObject Type="Embed" ProgID="Equation.DSMT4" ShapeID="_x0000_i1052" DrawAspect="Content" ObjectID="_1502802811" r:id="rId62"/>
        </w:object>
      </w:r>
      <w:r w:rsidRPr="00C241E2">
        <w:rPr>
          <w:lang w:val="en-US"/>
        </w:rPr>
        <w:t xml:space="preserve"> </w:t>
      </w:r>
      <w:r w:rsidR="006B5E0A">
        <w:rPr>
          <w:rFonts w:ascii="Times New Roman" w:hAnsi="Times New Roman" w:cs="Times New Roman"/>
          <w:sz w:val="24"/>
          <w:szCs w:val="24"/>
          <w:lang w:val="en-US"/>
        </w:rPr>
        <w:t>Represents the number of Ca</w:t>
      </w:r>
      <w:r w:rsidR="006B5E0A" w:rsidRPr="006B5E0A">
        <w:rPr>
          <w:rFonts w:ascii="Times New Roman" w:hAnsi="Times New Roman" w:cs="Times New Roman"/>
          <w:sz w:val="24"/>
          <w:szCs w:val="24"/>
          <w:vertAlign w:val="superscript"/>
          <w:lang w:val="en-US"/>
        </w:rPr>
        <w:t>2+</w:t>
      </w:r>
      <w:r w:rsidR="006B5E0A">
        <w:rPr>
          <w:rFonts w:ascii="Times New Roman" w:hAnsi="Times New Roman" w:cs="Times New Roman"/>
          <w:sz w:val="24"/>
          <w:szCs w:val="24"/>
          <w:lang w:val="en-US"/>
        </w:rPr>
        <w:t xml:space="preserve"> binding sites in the absence of Ca</w:t>
      </w:r>
      <w:r w:rsidR="006B5E0A" w:rsidRPr="006B5E0A">
        <w:rPr>
          <w:rFonts w:ascii="Times New Roman" w:hAnsi="Times New Roman" w:cs="Times New Roman"/>
          <w:sz w:val="24"/>
          <w:szCs w:val="24"/>
          <w:vertAlign w:val="superscript"/>
          <w:lang w:val="en-US"/>
        </w:rPr>
        <w:t>2+</w:t>
      </w:r>
      <w:r w:rsidR="006B5E0A">
        <w:rPr>
          <w:rFonts w:ascii="Times New Roman" w:hAnsi="Times New Roman" w:cs="Times New Roman"/>
          <w:sz w:val="24"/>
          <w:szCs w:val="24"/>
          <w:lang w:val="en-US"/>
        </w:rPr>
        <w:t>. T</w:t>
      </w:r>
      <w:r w:rsidR="00061B50" w:rsidRPr="00061B50">
        <w:rPr>
          <w:rFonts w:ascii="Times New Roman" w:hAnsi="Times New Roman" w:cs="Times New Roman"/>
          <w:sz w:val="24"/>
          <w:szCs w:val="24"/>
          <w:lang w:val="en-US"/>
        </w:rPr>
        <w:t xml:space="preserve">his parameter value was calculated </w:t>
      </w:r>
      <w:r w:rsidR="006B5E0A">
        <w:rPr>
          <w:rFonts w:ascii="Times New Roman" w:hAnsi="Times New Roman" w:cs="Times New Roman"/>
          <w:sz w:val="24"/>
          <w:szCs w:val="24"/>
          <w:lang w:val="en-US"/>
        </w:rPr>
        <w:t>assuming an SR luminal Ca</w:t>
      </w:r>
      <w:r w:rsidR="006B5E0A" w:rsidRPr="00B05C29">
        <w:rPr>
          <w:rFonts w:ascii="Times New Roman" w:hAnsi="Times New Roman" w:cs="Times New Roman"/>
          <w:sz w:val="24"/>
          <w:szCs w:val="24"/>
          <w:vertAlign w:val="superscript"/>
          <w:lang w:val="en-US"/>
        </w:rPr>
        <w:t>2+</w:t>
      </w:r>
      <w:r w:rsidR="006B5E0A">
        <w:rPr>
          <w:rFonts w:ascii="Times New Roman" w:hAnsi="Times New Roman" w:cs="Times New Roman"/>
          <w:sz w:val="24"/>
          <w:szCs w:val="24"/>
          <w:lang w:val="en-US"/>
        </w:rPr>
        <w:t xml:space="preserve"> buffering capacity </w:t>
      </w:r>
      <w:r w:rsidR="00B05C29">
        <w:rPr>
          <w:rFonts w:ascii="Times New Roman" w:hAnsi="Times New Roman" w:cs="Times New Roman"/>
          <w:sz w:val="24"/>
          <w:szCs w:val="24"/>
          <w:lang w:val="en-US"/>
        </w:rPr>
        <w:t xml:space="preserve">of approximately 10 </w:t>
      </w:r>
      <w:r w:rsidR="00B05C29">
        <w:fldChar w:fldCharType="begin" w:fldLock="1"/>
      </w:r>
      <w:r w:rsidR="00B05C29" w:rsidRPr="00C81E16">
        <w:rPr>
          <w:lang w:val="en-US"/>
        </w:rPr>
        <w:instrText>ADDIN CSL_CITATION { "citationItems" : [ { "id" : "ITEM-1", "itemData" : { "DOI" : "10.1016/j.ceca.2009.07.005", "ISSN" : "1532-1991", "PMID" : "19679350", "abstract" : "Sarcoplasmic reticulum contains the internal Ca(2+) store in smooth muscle cells and its lumen appears to be a continuum that lacks diffusion barriers. Accordingly, the free luminal Ca(2+) level is the same all throughout the SR; however, whether the Ca(2+) buffer capacity is the same in all the SR is unknown. We have estimated indirectly the luminal Ca(2+) buffer capacity of the SR by comparing the reduction in SR Ca(2+) levels with the corresponding increase in [Ca(2+)](i) during activation of either IP(3)Rs with carbachol or RyRs with caffeine, in smooth muscle cells from guinea pig urinary bladder. We have determined that carbachol-sensitive SR has a 2.4 times larger Ca(2+) buffer capacity than caffeine-sensitive SR. Rapid inhibition of SERCA pumps with thapsigargin revealed that this pump activity accounts for 80% and 60% of the Ca(2+) buffer capacities of carbachol- and caffeine-sensitive SR, respectively. Moreover, the Ca(2+) buffer capacity of carbachol-sensitive SR was similar to caffeine-sensitive SR when SERCA pumps were inhibited. Similar rates of Ca(2+) replenishments suggest similar levels of SERCA pump activities for either carbachol- or caffeine-sensitive SR. Paired pulses of caffeine, in conditions of low Ca(2+) influx, indicate the relevance of luminal SR Ca(2+) buffer capacity in the [Ca(2+)](i) response. To further study the importance of luminal SR Ca(2+) buffer capacity in the release process we used low levels of heparin to partially inhibit IP(3)Rs. This condition revealed carbachol-induced transient increase of luminal SR Ca(2+) levels provided that SERCA pumps were active. It thus appears that SERCA pump activity keeps the luminal SR Ca(2+)-binding proteins in the high-capacity, low-affinity conformation, particularly for IP(3)R-mediated Ca(2+) release.", "author" : [ { "dropping-particle" : "", "family" : "Dagnino-Acosta", "given" : "Ad\u00e1n", "non-dropping-particle" : "", "parse-names" : false, "suffix" : "" }, { "dropping-particle" : "", "family" : "Guerrero-Hern\u00e1ndez", "given" : "Agust\u00edn", "non-dropping-particle" : "", "parse-names" : false, "suffix" : "" } ], "container-title" : "Cell calcium", "id" : "ITEM-1", "issue" : "3", "issued" : { "date-parts" : [ [ "2009", "9" ] ] }, "page" : "188-96", "title" : "Variable luminal sarcoplasmic reticulum Ca(2+) buffer capacity in smooth muscle cells.", "type" : "article-journal", "volume" : "46" }, "uris" : [ "http://www.mendeley.com/documents/?uuid=a060527b-aecb-4ead-ab39-134506ad8fe6" ] } ], "mendeley" : { "formattedCitation" : "[6]", "plainTextFormattedCitation" : "[6</w:instrText>
      </w:r>
      <w:r w:rsidR="00B05C29" w:rsidRPr="00B759F0">
        <w:rPr>
          <w:lang w:val="en-US"/>
        </w:rPr>
        <w:instrText>]" }, "properties" : { "noteIndex" : 0 }, "schema" : "https://github.com/citation-style-language/schema/raw/master/csl-citation.json" }</w:instrText>
      </w:r>
      <w:r w:rsidR="00B05C29">
        <w:fldChar w:fldCharType="separate"/>
      </w:r>
      <w:r w:rsidR="00B05C29" w:rsidRPr="00B759F0">
        <w:rPr>
          <w:noProof/>
          <w:lang w:val="en-US"/>
        </w:rPr>
        <w:t>[6]</w:t>
      </w:r>
      <w:r w:rsidR="00B05C29">
        <w:fldChar w:fldCharType="end"/>
      </w:r>
      <w:r w:rsidR="00B05C29" w:rsidRPr="00061B50">
        <w:rPr>
          <w:rFonts w:ascii="Times New Roman" w:hAnsi="Times New Roman" w:cs="Times New Roman"/>
          <w:sz w:val="24"/>
          <w:szCs w:val="24"/>
          <w:lang w:val="en-US"/>
        </w:rPr>
        <w:t>.</w:t>
      </w:r>
      <w:r w:rsidR="00B05C29">
        <w:rPr>
          <w:rFonts w:ascii="Times New Roman" w:hAnsi="Times New Roman" w:cs="Times New Roman"/>
          <w:sz w:val="24"/>
          <w:szCs w:val="24"/>
          <w:lang w:val="en-US"/>
        </w:rPr>
        <w:t xml:space="preserve"> In other words </w:t>
      </w:r>
      <w:proofErr w:type="gramStart"/>
      <w:r w:rsidR="00B05C29">
        <w:rPr>
          <w:rFonts w:ascii="Times New Roman" w:hAnsi="Times New Roman" w:cs="Times New Roman"/>
          <w:sz w:val="24"/>
          <w:szCs w:val="24"/>
          <w:lang w:val="en-US"/>
        </w:rPr>
        <w:t xml:space="preserve">that </w:t>
      </w:r>
      <w:proofErr w:type="gramEnd"/>
      <w:r w:rsidRPr="00E715D8">
        <w:rPr>
          <w:rFonts w:ascii="Times New Roman" w:hAnsi="Times New Roman" w:cs="Times New Roman"/>
          <w:position w:val="-24"/>
          <w:sz w:val="24"/>
          <w:szCs w:val="24"/>
          <w:lang w:val="en-US"/>
        </w:rPr>
        <w:object w:dxaOrig="3980" w:dyaOrig="580">
          <v:shape id="_x0000_i1053" type="#_x0000_t75" style="width:199.15pt;height:29pt" o:ole="">
            <v:imagedata r:id="rId63" o:title=""/>
          </v:shape>
          <o:OLEObject Type="Embed" ProgID="Equation.DSMT4" ShapeID="_x0000_i1053" DrawAspect="Content" ObjectID="_1502802812" r:id="rId64"/>
        </w:object>
      </w:r>
      <w:r w:rsidR="00061B50" w:rsidRPr="00061B50">
        <w:rPr>
          <w:rFonts w:ascii="Times New Roman" w:hAnsi="Times New Roman" w:cs="Times New Roman"/>
          <w:sz w:val="24"/>
          <w:szCs w:val="24"/>
          <w:lang w:val="en-US"/>
        </w:rPr>
        <w:t xml:space="preserve">. </w:t>
      </w:r>
      <w:bookmarkStart w:id="0" w:name="_GoBack"/>
      <w:bookmarkEnd w:id="0"/>
      <w:r w:rsidR="00061B50" w:rsidRPr="00C241E2">
        <w:rPr>
          <w:rFonts w:ascii="Times New Roman" w:hAnsi="Times New Roman" w:cs="Times New Roman"/>
          <w:sz w:val="24"/>
          <w:szCs w:val="24"/>
          <w:lang w:val="en-US"/>
        </w:rPr>
        <w:t xml:space="preserve">Thus, in the </w:t>
      </w:r>
      <w:proofErr w:type="spellStart"/>
      <w:r w:rsidR="00061B50" w:rsidRPr="00C241E2">
        <w:rPr>
          <w:rFonts w:ascii="Times New Roman" w:hAnsi="Times New Roman" w:cs="Times New Roman"/>
          <w:sz w:val="24"/>
          <w:szCs w:val="24"/>
          <w:lang w:val="en-US"/>
        </w:rPr>
        <w:t>KonD</w:t>
      </w:r>
      <w:proofErr w:type="spellEnd"/>
      <w:r w:rsidR="00061B50" w:rsidRPr="00C241E2">
        <w:rPr>
          <w:rFonts w:ascii="Times New Roman" w:hAnsi="Times New Roman" w:cs="Times New Roman"/>
          <w:sz w:val="24"/>
          <w:szCs w:val="24"/>
          <w:lang w:val="en-US"/>
        </w:rPr>
        <w:t xml:space="preserve"> situation we have that </w:t>
      </w:r>
    </w:p>
    <w:p w:rsidR="00061B50" w:rsidRPr="00061B50" w:rsidRDefault="00E715D8" w:rsidP="00025545">
      <w:pPr>
        <w:ind w:left="708" w:firstLine="708"/>
        <w:jc w:val="center"/>
        <w:rPr>
          <w:rFonts w:ascii="Times New Roman" w:hAnsi="Times New Roman" w:cs="Times New Roman"/>
          <w:sz w:val="24"/>
          <w:szCs w:val="24"/>
          <w:lang w:val="en-US"/>
        </w:rPr>
      </w:pPr>
      <w:r w:rsidRPr="00C241E2">
        <w:rPr>
          <w:position w:val="-22"/>
        </w:rPr>
        <w:object w:dxaOrig="3900" w:dyaOrig="560">
          <v:shape id="_x0000_i1054" type="#_x0000_t75" style="width:194.95pt;height:28.05pt" o:ole="">
            <v:imagedata r:id="rId65" o:title=""/>
          </v:shape>
          <o:OLEObject Type="Embed" ProgID="Equation.DSMT4" ShapeID="_x0000_i1054" DrawAspect="Content" ObjectID="_1502802813" r:id="rId66"/>
        </w:object>
      </w:r>
      <w:r w:rsidRPr="00C241E2">
        <w:rPr>
          <w:lang w:val="en-US"/>
        </w:rPr>
        <w:t xml:space="preserve"> </w:t>
      </w:r>
    </w:p>
    <w:p w:rsidR="00061B50" w:rsidRDefault="00061B50" w:rsidP="00E92603">
      <w:pPr>
        <w:ind w:left="708" w:firstLine="708"/>
        <w:rPr>
          <w:rFonts w:ascii="Times New Roman" w:hAnsi="Times New Roman" w:cs="Times New Roman"/>
          <w:sz w:val="24"/>
          <w:szCs w:val="24"/>
          <w:lang w:val="en-US"/>
        </w:rPr>
      </w:pPr>
      <w:proofErr w:type="gramStart"/>
      <w:r w:rsidRPr="00061B50">
        <w:rPr>
          <w:rFonts w:ascii="Times New Roman" w:hAnsi="Times New Roman" w:cs="Times New Roman"/>
          <w:sz w:val="24"/>
          <w:szCs w:val="24"/>
          <w:lang w:val="en-US"/>
        </w:rPr>
        <w:t>while</w:t>
      </w:r>
      <w:proofErr w:type="gramEnd"/>
      <w:r w:rsidRPr="00061B50">
        <w:rPr>
          <w:rFonts w:ascii="Times New Roman" w:hAnsi="Times New Roman" w:cs="Times New Roman"/>
          <w:sz w:val="24"/>
          <w:szCs w:val="24"/>
          <w:lang w:val="en-US"/>
        </w:rPr>
        <w:t xml:space="preserve"> in the s</w:t>
      </w:r>
      <w:r w:rsidR="00B05C29">
        <w:rPr>
          <w:rFonts w:ascii="Times New Roman" w:hAnsi="Times New Roman" w:cs="Times New Roman"/>
          <w:sz w:val="24"/>
          <w:szCs w:val="24"/>
          <w:lang w:val="en-US"/>
        </w:rPr>
        <w:t>tandard</w:t>
      </w:r>
      <w:r w:rsidRPr="00061B50">
        <w:rPr>
          <w:rFonts w:ascii="Times New Roman" w:hAnsi="Times New Roman" w:cs="Times New Roman"/>
          <w:sz w:val="24"/>
          <w:szCs w:val="24"/>
          <w:lang w:val="en-US"/>
        </w:rPr>
        <w:t xml:space="preserve"> kinetics </w:t>
      </w:r>
      <w:r w:rsidR="00E715D8" w:rsidRPr="00C241E2">
        <w:rPr>
          <w:rFonts w:ascii="Times New Roman" w:hAnsi="Times New Roman" w:cs="Times New Roman"/>
          <w:position w:val="-12"/>
          <w:sz w:val="24"/>
          <w:szCs w:val="24"/>
          <w:lang w:val="en-US"/>
        </w:rPr>
        <w:object w:dxaOrig="300" w:dyaOrig="360">
          <v:shape id="_x0000_i1055" type="#_x0000_t75" style="width:14.95pt;height:18.25pt" o:ole="">
            <v:imagedata r:id="rId67" o:title=""/>
          </v:shape>
          <o:OLEObject Type="Embed" ProgID="Equation.DSMT4" ShapeID="_x0000_i1055" DrawAspect="Content" ObjectID="_1502802814" r:id="rId68"/>
        </w:object>
      </w:r>
      <w:r w:rsidR="00E715D8">
        <w:rPr>
          <w:rFonts w:ascii="Times New Roman" w:hAnsi="Times New Roman" w:cs="Times New Roman"/>
          <w:sz w:val="24"/>
          <w:szCs w:val="24"/>
          <w:lang w:val="en-US"/>
        </w:rPr>
        <w:t xml:space="preserve"> </w:t>
      </w:r>
      <w:r w:rsidR="00E715D8" w:rsidRPr="00C241E2">
        <w:rPr>
          <w:lang w:val="en-US"/>
        </w:rPr>
        <w:t xml:space="preserve"> </w:t>
      </w:r>
      <w:r w:rsidRPr="00061B50">
        <w:rPr>
          <w:rFonts w:ascii="Times New Roman" w:hAnsi="Times New Roman" w:cs="Times New Roman"/>
          <w:sz w:val="24"/>
          <w:szCs w:val="24"/>
          <w:lang w:val="en-US"/>
        </w:rPr>
        <w:t xml:space="preserve">is calculated as </w:t>
      </w:r>
    </w:p>
    <w:p w:rsidR="00E92603" w:rsidRPr="00061B50" w:rsidRDefault="00902217" w:rsidP="00025545">
      <w:pPr>
        <w:ind w:left="708" w:firstLine="708"/>
        <w:jc w:val="center"/>
        <w:rPr>
          <w:rFonts w:ascii="Times New Roman" w:hAnsi="Times New Roman" w:cs="Times New Roman"/>
          <w:sz w:val="24"/>
          <w:szCs w:val="24"/>
          <w:lang w:val="en-US"/>
        </w:rPr>
      </w:pPr>
      <w:r w:rsidRPr="00C241E2">
        <w:rPr>
          <w:position w:val="-22"/>
        </w:rPr>
        <w:object w:dxaOrig="3780" w:dyaOrig="560">
          <v:shape id="_x0000_i1056" type="#_x0000_t75" style="width:188.9pt;height:28.05pt" o:ole="">
            <v:imagedata r:id="rId69" o:title=""/>
          </v:shape>
          <o:OLEObject Type="Embed" ProgID="Equation.DSMT4" ShapeID="_x0000_i1056" DrawAspect="Content" ObjectID="_1502802815" r:id="rId70"/>
        </w:object>
      </w:r>
      <w:r w:rsidRPr="00C241E2">
        <w:rPr>
          <w:lang w:val="en-US"/>
        </w:rPr>
        <w:t xml:space="preserve"> </w:t>
      </w:r>
    </w:p>
    <w:p w:rsidR="00061B50" w:rsidRDefault="00061B50">
      <w:pPr>
        <w:rPr>
          <w:rFonts w:ascii="Times New Roman" w:hAnsi="Times New Roman" w:cs="Times New Roman"/>
          <w:sz w:val="24"/>
          <w:szCs w:val="24"/>
          <w:lang w:val="en-US"/>
        </w:rPr>
      </w:pPr>
    </w:p>
    <w:p w:rsidR="00716BFD" w:rsidRDefault="00716BFD">
      <w:pPr>
        <w:rPr>
          <w:rFonts w:ascii="Times New Roman" w:hAnsi="Times New Roman" w:cs="Times New Roman"/>
          <w:b/>
          <w:sz w:val="24"/>
          <w:szCs w:val="24"/>
          <w:lang w:val="en-US"/>
        </w:rPr>
      </w:pPr>
      <w:r>
        <w:rPr>
          <w:rFonts w:ascii="Times New Roman" w:hAnsi="Times New Roman" w:cs="Times New Roman"/>
          <w:b/>
          <w:sz w:val="24"/>
          <w:szCs w:val="24"/>
          <w:lang w:val="en-US"/>
        </w:rPr>
        <w:t>REFERENCES</w:t>
      </w:r>
    </w:p>
    <w:p w:rsidR="00C81E16" w:rsidRPr="006E607A" w:rsidRDefault="00716BFD">
      <w:pPr>
        <w:pStyle w:val="NormalWeb"/>
        <w:ind w:left="640" w:hanging="640"/>
        <w:divId w:val="909996919"/>
        <w:rPr>
          <w:noProof/>
          <w:lang w:val="en-US"/>
        </w:rPr>
      </w:pPr>
      <w:r>
        <w:rPr>
          <w:b/>
          <w:lang w:val="en-US"/>
        </w:rPr>
        <w:fldChar w:fldCharType="begin" w:fldLock="1"/>
      </w:r>
      <w:r>
        <w:rPr>
          <w:b/>
          <w:lang w:val="en-US"/>
        </w:rPr>
        <w:instrText xml:space="preserve">ADDIN Mendeley Bibliography CSL_BIBLIOGRAPHY </w:instrText>
      </w:r>
      <w:r>
        <w:rPr>
          <w:b/>
          <w:lang w:val="en-US"/>
        </w:rPr>
        <w:fldChar w:fldCharType="separate"/>
      </w:r>
      <w:r w:rsidR="00C81E16" w:rsidRPr="006E607A">
        <w:rPr>
          <w:noProof/>
          <w:lang w:val="en-US"/>
        </w:rPr>
        <w:t xml:space="preserve">1. </w:t>
      </w:r>
      <w:r w:rsidR="00C81E16" w:rsidRPr="006E607A">
        <w:rPr>
          <w:noProof/>
          <w:lang w:val="en-US"/>
        </w:rPr>
        <w:tab/>
        <w:t xml:space="preserve">Case RM, Eisner D, Gurney A, Jones O, Muallem S, Verkhratsky A. Evolution of calcium homeostasis: From birth of the first cell to an omnipresent signalling system. Cell Calcium. 2007;42: 345–350. </w:t>
      </w:r>
    </w:p>
    <w:p w:rsidR="00C81E16" w:rsidRPr="006E607A" w:rsidRDefault="00C81E16">
      <w:pPr>
        <w:pStyle w:val="NormalWeb"/>
        <w:ind w:left="640" w:hanging="640"/>
        <w:divId w:val="909996919"/>
        <w:rPr>
          <w:noProof/>
          <w:lang w:val="en-US"/>
        </w:rPr>
      </w:pPr>
      <w:r w:rsidRPr="006E607A">
        <w:rPr>
          <w:noProof/>
          <w:lang w:val="en-US"/>
        </w:rPr>
        <w:t xml:space="preserve">2. </w:t>
      </w:r>
      <w:r w:rsidRPr="006E607A">
        <w:rPr>
          <w:noProof/>
          <w:lang w:val="en-US"/>
        </w:rPr>
        <w:tab/>
        <w:t xml:space="preserve">Gómez-Viquez NL, Guerrero-Serna G, Arvizu F, García U, Guerrero-Hernández A. Inhibition of SERCA pumps induces desynchronized RyR activation in overloaded internal Ca2+ stores in smooth muscle cells. Am J Physiol Cell Physiol. 2010;298: C1038–46. </w:t>
      </w:r>
    </w:p>
    <w:p w:rsidR="00C81E16" w:rsidRPr="006E607A" w:rsidRDefault="00C81E16">
      <w:pPr>
        <w:pStyle w:val="NormalWeb"/>
        <w:ind w:left="640" w:hanging="640"/>
        <w:divId w:val="909996919"/>
        <w:rPr>
          <w:noProof/>
          <w:lang w:val="en-US"/>
        </w:rPr>
      </w:pPr>
      <w:r w:rsidRPr="006E607A">
        <w:rPr>
          <w:noProof/>
          <w:lang w:val="en-US"/>
        </w:rPr>
        <w:t xml:space="preserve">3. </w:t>
      </w:r>
      <w:r w:rsidRPr="006E607A">
        <w:rPr>
          <w:noProof/>
          <w:lang w:val="en-US"/>
        </w:rPr>
        <w:tab/>
        <w:t xml:space="preserve">Lytton J, Westlin M, Burk SE, Shull GE, MacLennan DH. Functional comparisons between isoforms of the sarcoplasmic or endoplasmic reticulum family of calcium pumps. J Biol Chem. 1992;267: 14483–14489. </w:t>
      </w:r>
    </w:p>
    <w:p w:rsidR="00C81E16" w:rsidRPr="006E607A" w:rsidRDefault="00C81E16">
      <w:pPr>
        <w:pStyle w:val="NormalWeb"/>
        <w:ind w:left="640" w:hanging="640"/>
        <w:divId w:val="909996919"/>
        <w:rPr>
          <w:noProof/>
          <w:lang w:val="en-US"/>
        </w:rPr>
      </w:pPr>
      <w:r w:rsidRPr="006E607A">
        <w:rPr>
          <w:noProof/>
          <w:lang w:val="en-US"/>
        </w:rPr>
        <w:t xml:space="preserve">4. </w:t>
      </w:r>
      <w:r w:rsidRPr="006E607A">
        <w:rPr>
          <w:noProof/>
          <w:lang w:val="en-US"/>
        </w:rPr>
        <w:tab/>
        <w:t xml:space="preserve">Guerrero a, Singer JJ, Fay FS. Simultaneous measurement of Ca2+ release and influx into smooth muscle cells in response to caffeine. A novel approach for calculating the fraction of current carried by calcium. J Gen Physiol. 1994;104: 395–422. </w:t>
      </w:r>
    </w:p>
    <w:p w:rsidR="00C81E16" w:rsidRPr="006E607A" w:rsidRDefault="00C81E16">
      <w:pPr>
        <w:pStyle w:val="NormalWeb"/>
        <w:ind w:left="640" w:hanging="640"/>
        <w:divId w:val="909996919"/>
        <w:rPr>
          <w:noProof/>
          <w:lang w:val="en-US"/>
        </w:rPr>
      </w:pPr>
      <w:r w:rsidRPr="006E607A">
        <w:rPr>
          <w:noProof/>
          <w:lang w:val="en-US"/>
        </w:rPr>
        <w:lastRenderedPageBreak/>
        <w:t xml:space="preserve">5. </w:t>
      </w:r>
      <w:r w:rsidRPr="006E607A">
        <w:rPr>
          <w:noProof/>
          <w:lang w:val="en-US"/>
        </w:rPr>
        <w:tab/>
        <w:t xml:space="preserve">Case RM, Eisner D, Gurney A, Jones O, Muallem S, Verkhratsky A. Evolution of calcium homeostasis: from birth of the first cell to an omnipresent signalling system. Cell Calcium. 2007;42: 345–50. </w:t>
      </w:r>
    </w:p>
    <w:p w:rsidR="00C81E16" w:rsidRPr="00C81E16" w:rsidRDefault="00C81E16">
      <w:pPr>
        <w:pStyle w:val="NormalWeb"/>
        <w:ind w:left="640" w:hanging="640"/>
        <w:divId w:val="909996919"/>
        <w:rPr>
          <w:noProof/>
        </w:rPr>
      </w:pPr>
      <w:r w:rsidRPr="006E607A">
        <w:rPr>
          <w:noProof/>
          <w:lang w:val="en-US"/>
        </w:rPr>
        <w:t xml:space="preserve">6. </w:t>
      </w:r>
      <w:r w:rsidRPr="006E607A">
        <w:rPr>
          <w:noProof/>
          <w:lang w:val="en-US"/>
        </w:rPr>
        <w:tab/>
        <w:t xml:space="preserve">Dagnino-Acosta A, Guerrero-Hernández A. Variable luminal sarcoplasmic reticulum Ca(2+) buffer capacity in smooth muscle cells. </w:t>
      </w:r>
      <w:r w:rsidRPr="00C81E16">
        <w:rPr>
          <w:noProof/>
        </w:rPr>
        <w:t xml:space="preserve">Cell Calcium. 2009;46: 188–96. </w:t>
      </w:r>
    </w:p>
    <w:p w:rsidR="00716BFD" w:rsidRPr="00716BFD" w:rsidRDefault="00716BFD" w:rsidP="00D268D9">
      <w:pPr>
        <w:pStyle w:val="NormalWeb"/>
        <w:divId w:val="1609775349"/>
        <w:rPr>
          <w:b/>
          <w:lang w:val="en-US"/>
        </w:rPr>
      </w:pPr>
      <w:r>
        <w:rPr>
          <w:b/>
          <w:lang w:val="en-US"/>
        </w:rPr>
        <w:fldChar w:fldCharType="end"/>
      </w:r>
    </w:p>
    <w:sectPr w:rsidR="00716BFD" w:rsidRPr="00716B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F366C"/>
    <w:multiLevelType w:val="hybridMultilevel"/>
    <w:tmpl w:val="2748746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B50"/>
    <w:rsid w:val="00025545"/>
    <w:rsid w:val="00061B50"/>
    <w:rsid w:val="000F6714"/>
    <w:rsid w:val="00150F37"/>
    <w:rsid w:val="001A4252"/>
    <w:rsid w:val="001C35FF"/>
    <w:rsid w:val="00206AF3"/>
    <w:rsid w:val="002416BE"/>
    <w:rsid w:val="002501A4"/>
    <w:rsid w:val="00282F8C"/>
    <w:rsid w:val="002B4CB4"/>
    <w:rsid w:val="002C233E"/>
    <w:rsid w:val="002C7718"/>
    <w:rsid w:val="002D2911"/>
    <w:rsid w:val="00341EDC"/>
    <w:rsid w:val="00384514"/>
    <w:rsid w:val="003A02D6"/>
    <w:rsid w:val="00406424"/>
    <w:rsid w:val="004C76BE"/>
    <w:rsid w:val="00571913"/>
    <w:rsid w:val="00622F91"/>
    <w:rsid w:val="00624F07"/>
    <w:rsid w:val="00675749"/>
    <w:rsid w:val="006A30BE"/>
    <w:rsid w:val="006B3B4D"/>
    <w:rsid w:val="006B5E0A"/>
    <w:rsid w:val="006E607A"/>
    <w:rsid w:val="007067E2"/>
    <w:rsid w:val="00716BFD"/>
    <w:rsid w:val="00761A5E"/>
    <w:rsid w:val="0077267C"/>
    <w:rsid w:val="00823B65"/>
    <w:rsid w:val="0082748A"/>
    <w:rsid w:val="008F3FB2"/>
    <w:rsid w:val="0090077B"/>
    <w:rsid w:val="00902217"/>
    <w:rsid w:val="009158C2"/>
    <w:rsid w:val="00947343"/>
    <w:rsid w:val="009B4EC7"/>
    <w:rsid w:val="009D30FD"/>
    <w:rsid w:val="009E1692"/>
    <w:rsid w:val="00A0520E"/>
    <w:rsid w:val="00A92698"/>
    <w:rsid w:val="00AE6A6E"/>
    <w:rsid w:val="00B05C29"/>
    <w:rsid w:val="00B268E2"/>
    <w:rsid w:val="00B46BDC"/>
    <w:rsid w:val="00B72266"/>
    <w:rsid w:val="00B759F0"/>
    <w:rsid w:val="00BA06E4"/>
    <w:rsid w:val="00BA4437"/>
    <w:rsid w:val="00BD2595"/>
    <w:rsid w:val="00C241E2"/>
    <w:rsid w:val="00C27EB5"/>
    <w:rsid w:val="00C47B39"/>
    <w:rsid w:val="00C81E16"/>
    <w:rsid w:val="00CA6C31"/>
    <w:rsid w:val="00CE7792"/>
    <w:rsid w:val="00D268D9"/>
    <w:rsid w:val="00D72553"/>
    <w:rsid w:val="00DA6F13"/>
    <w:rsid w:val="00DB75AD"/>
    <w:rsid w:val="00E32522"/>
    <w:rsid w:val="00E366B0"/>
    <w:rsid w:val="00E715D8"/>
    <w:rsid w:val="00E92603"/>
    <w:rsid w:val="00EB4F6A"/>
    <w:rsid w:val="00ED0920"/>
    <w:rsid w:val="00F15DBB"/>
    <w:rsid w:val="00F77B46"/>
    <w:rsid w:val="00F86D13"/>
    <w:rsid w:val="00FB0F42"/>
    <w:rsid w:val="00FB26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1B50"/>
    <w:pPr>
      <w:ind w:left="720"/>
      <w:contextualSpacing/>
    </w:pPr>
    <w:rPr>
      <w:rFonts w:eastAsiaTheme="minorEastAsia"/>
      <w:lang w:eastAsia="es-MX"/>
    </w:rPr>
  </w:style>
  <w:style w:type="paragraph" w:styleId="Textodeglobo">
    <w:name w:val="Balloon Text"/>
    <w:basedOn w:val="Normal"/>
    <w:link w:val="TextodegloboCar"/>
    <w:uiPriority w:val="99"/>
    <w:semiHidden/>
    <w:unhideWhenUsed/>
    <w:rsid w:val="00061B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1B50"/>
    <w:rPr>
      <w:rFonts w:ascii="Tahoma" w:hAnsi="Tahoma" w:cs="Tahoma"/>
      <w:sz w:val="16"/>
      <w:szCs w:val="16"/>
    </w:rPr>
  </w:style>
  <w:style w:type="character" w:styleId="Textodelmarcadordeposicin">
    <w:name w:val="Placeholder Text"/>
    <w:basedOn w:val="Fuentedeprrafopredeter"/>
    <w:uiPriority w:val="99"/>
    <w:semiHidden/>
    <w:rsid w:val="002B4CB4"/>
    <w:rPr>
      <w:color w:val="808080"/>
    </w:rPr>
  </w:style>
  <w:style w:type="paragraph" w:styleId="NormalWeb">
    <w:name w:val="Normal (Web)"/>
    <w:basedOn w:val="Normal"/>
    <w:uiPriority w:val="99"/>
    <w:unhideWhenUsed/>
    <w:rsid w:val="00716BFD"/>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customStyle="1" w:styleId="MTDisplayEquation">
    <w:name w:val="MTDisplayEquation"/>
    <w:basedOn w:val="Normal"/>
    <w:next w:val="Normal"/>
    <w:link w:val="MTDisplayEquationCar"/>
    <w:rsid w:val="00F86D13"/>
    <w:pPr>
      <w:tabs>
        <w:tab w:val="center" w:pos="5140"/>
        <w:tab w:val="right" w:pos="8840"/>
      </w:tabs>
      <w:ind w:left="1440"/>
      <w:jc w:val="center"/>
    </w:pPr>
  </w:style>
  <w:style w:type="character" w:customStyle="1" w:styleId="MTDisplayEquationCar">
    <w:name w:val="MTDisplayEquation Car"/>
    <w:basedOn w:val="Fuentedeprrafopredeter"/>
    <w:link w:val="MTDisplayEquation"/>
    <w:rsid w:val="00F86D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1B50"/>
    <w:pPr>
      <w:ind w:left="720"/>
      <w:contextualSpacing/>
    </w:pPr>
    <w:rPr>
      <w:rFonts w:eastAsiaTheme="minorEastAsia"/>
      <w:lang w:eastAsia="es-MX"/>
    </w:rPr>
  </w:style>
  <w:style w:type="paragraph" w:styleId="Textodeglobo">
    <w:name w:val="Balloon Text"/>
    <w:basedOn w:val="Normal"/>
    <w:link w:val="TextodegloboCar"/>
    <w:uiPriority w:val="99"/>
    <w:semiHidden/>
    <w:unhideWhenUsed/>
    <w:rsid w:val="00061B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1B50"/>
    <w:rPr>
      <w:rFonts w:ascii="Tahoma" w:hAnsi="Tahoma" w:cs="Tahoma"/>
      <w:sz w:val="16"/>
      <w:szCs w:val="16"/>
    </w:rPr>
  </w:style>
  <w:style w:type="character" w:styleId="Textodelmarcadordeposicin">
    <w:name w:val="Placeholder Text"/>
    <w:basedOn w:val="Fuentedeprrafopredeter"/>
    <w:uiPriority w:val="99"/>
    <w:semiHidden/>
    <w:rsid w:val="002B4CB4"/>
    <w:rPr>
      <w:color w:val="808080"/>
    </w:rPr>
  </w:style>
  <w:style w:type="paragraph" w:styleId="NormalWeb">
    <w:name w:val="Normal (Web)"/>
    <w:basedOn w:val="Normal"/>
    <w:uiPriority w:val="99"/>
    <w:unhideWhenUsed/>
    <w:rsid w:val="00716BFD"/>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customStyle="1" w:styleId="MTDisplayEquation">
    <w:name w:val="MTDisplayEquation"/>
    <w:basedOn w:val="Normal"/>
    <w:next w:val="Normal"/>
    <w:link w:val="MTDisplayEquationCar"/>
    <w:rsid w:val="00F86D13"/>
    <w:pPr>
      <w:tabs>
        <w:tab w:val="center" w:pos="5140"/>
        <w:tab w:val="right" w:pos="8840"/>
      </w:tabs>
      <w:ind w:left="1440"/>
      <w:jc w:val="center"/>
    </w:pPr>
  </w:style>
  <w:style w:type="character" w:customStyle="1" w:styleId="MTDisplayEquationCar">
    <w:name w:val="MTDisplayEquation Car"/>
    <w:basedOn w:val="Fuentedeprrafopredeter"/>
    <w:link w:val="MTDisplayEquation"/>
    <w:rsid w:val="00F86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867984">
      <w:bodyDiv w:val="1"/>
      <w:marLeft w:val="0"/>
      <w:marRight w:val="0"/>
      <w:marTop w:val="0"/>
      <w:marBottom w:val="0"/>
      <w:divBdr>
        <w:top w:val="none" w:sz="0" w:space="0" w:color="auto"/>
        <w:left w:val="none" w:sz="0" w:space="0" w:color="auto"/>
        <w:bottom w:val="none" w:sz="0" w:space="0" w:color="auto"/>
        <w:right w:val="none" w:sz="0" w:space="0" w:color="auto"/>
      </w:divBdr>
    </w:div>
    <w:div w:id="1609775349">
      <w:bodyDiv w:val="1"/>
      <w:marLeft w:val="0"/>
      <w:marRight w:val="0"/>
      <w:marTop w:val="0"/>
      <w:marBottom w:val="0"/>
      <w:divBdr>
        <w:top w:val="none" w:sz="0" w:space="0" w:color="auto"/>
        <w:left w:val="none" w:sz="0" w:space="0" w:color="auto"/>
        <w:bottom w:val="none" w:sz="0" w:space="0" w:color="auto"/>
        <w:right w:val="none" w:sz="0" w:space="0" w:color="auto"/>
      </w:divBdr>
      <w:divsChild>
        <w:div w:id="909996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1.bin"/><Relationship Id="rId7" Type="http://schemas.openxmlformats.org/officeDocument/2006/relationships/image" Target="media/image1.wmf"/><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B07F3-1EC3-49A9-BABD-E99B21A4F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3338</Words>
  <Characters>19033</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Lab10</dc:creator>
  <cp:lastModifiedBy>Agustin</cp:lastModifiedBy>
  <cp:revision>2</cp:revision>
  <dcterms:created xsi:type="dcterms:W3CDTF">2015-09-03T21:21:00Z</dcterms:created>
  <dcterms:modified xsi:type="dcterms:W3CDTF">2015-09-03T21:21:00Z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cleis_83@hotmail.com@www.mendeley.com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http://www.zotero.org/styles/cell-calcium</vt:lpwstr>
  </property>
  <property fmtid="{D5CDD505-2E9C-101B-9397-08002B2CF9AE}" pid="10" name="Mendeley Recent Style Name 2_1">
    <vt:lpwstr>Cell Calcium</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y fmtid="{D5CDD505-2E9C-101B-9397-08002B2CF9AE}" pid="25" name="MTWinEqns">
    <vt:bool>true</vt:bool>
  </property>
</Properties>
</file>