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4C9" w:rsidRPr="00BA04C9" w:rsidRDefault="00BA04C9" w:rsidP="00BA04C9">
      <w:pPr>
        <w:pStyle w:val="berschrift3"/>
        <w:rPr>
          <w:rFonts w:ascii="Arial" w:hAnsi="Arial" w:cs="Arial"/>
          <w:color w:val="auto"/>
          <w:sz w:val="28"/>
          <w:szCs w:val="28"/>
        </w:rPr>
      </w:pPr>
      <w:bookmarkStart w:id="0" w:name="_Toc430256862"/>
      <w:bookmarkStart w:id="1" w:name="_Toc430256864"/>
      <w:r w:rsidRPr="00BA04C9">
        <w:rPr>
          <w:rFonts w:ascii="Arial" w:hAnsi="Arial" w:cs="Arial"/>
          <w:color w:val="auto"/>
          <w:sz w:val="28"/>
          <w:szCs w:val="28"/>
        </w:rPr>
        <w:t>Supplemental Data</w:t>
      </w:r>
      <w:bookmarkEnd w:id="0"/>
      <w:r>
        <w:rPr>
          <w:rFonts w:ascii="Arial" w:hAnsi="Arial" w:cs="Arial"/>
          <w:color w:val="auto"/>
          <w:sz w:val="28"/>
          <w:szCs w:val="28"/>
        </w:rPr>
        <w:t xml:space="preserve"> 2</w:t>
      </w:r>
    </w:p>
    <w:p w:rsidR="00BA04C9" w:rsidRDefault="00BA04C9" w:rsidP="00BA04C9">
      <w:pPr>
        <w:pStyle w:val="berschrift2"/>
      </w:pPr>
      <w:r>
        <w:t>DNA damage response model</w:t>
      </w:r>
      <w:bookmarkEnd w:id="1"/>
    </w:p>
    <w:p w:rsidR="00BA04C9" w:rsidRDefault="00420CC1" w:rsidP="00BA04C9">
      <w:pPr>
        <w:autoSpaceDE w:val="0"/>
        <w:autoSpaceDN w:val="0"/>
        <w:adjustRightInd w:val="0"/>
        <w:spacing w:line="240" w:lineRule="auto"/>
        <w:rPr>
          <w:b/>
          <w:szCs w:val="24"/>
        </w:rPr>
      </w:pPr>
      <w:r>
        <w:rPr>
          <w:b/>
          <w:noProof/>
          <w:szCs w:val="24"/>
          <w:lang w:eastAsia="en-GB"/>
        </w:rPr>
        <w:drawing>
          <wp:inline distT="0" distB="0" distL="0" distR="0">
            <wp:extent cx="5760720" cy="82359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S3_DDR_Model.tif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3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4C9" w:rsidRDefault="00BA04C9" w:rsidP="00BA04C9">
      <w:pPr>
        <w:autoSpaceDE w:val="0"/>
        <w:autoSpaceDN w:val="0"/>
        <w:adjustRightInd w:val="0"/>
        <w:rPr>
          <w:szCs w:val="24"/>
        </w:rPr>
      </w:pPr>
      <w:r w:rsidRPr="00EA2EF1">
        <w:rPr>
          <w:b/>
          <w:szCs w:val="24"/>
        </w:rPr>
        <w:lastRenderedPageBreak/>
        <w:t xml:space="preserve">Figure </w:t>
      </w:r>
      <w:r>
        <w:rPr>
          <w:b/>
          <w:szCs w:val="24"/>
        </w:rPr>
        <w:t>S2</w:t>
      </w:r>
      <w:r>
        <w:rPr>
          <w:szCs w:val="24"/>
        </w:rPr>
        <w:t xml:space="preserve">: The DNA damage response module. </w:t>
      </w:r>
      <w:r w:rsidRPr="00DB1AE8">
        <w:rPr>
          <w:b/>
          <w:szCs w:val="24"/>
        </w:rPr>
        <w:t>A</w:t>
      </w:r>
      <w:r>
        <w:rPr>
          <w:szCs w:val="24"/>
        </w:rPr>
        <w:t xml:space="preserve">) Wiring scheme of the DNA damage response (DDR) model including DDR signalling and p21. </w:t>
      </w:r>
      <w:r w:rsidRPr="00DB1AE8">
        <w:rPr>
          <w:b/>
          <w:szCs w:val="24"/>
        </w:rPr>
        <w:t>B</w:t>
      </w:r>
      <w:r>
        <w:rPr>
          <w:szCs w:val="24"/>
        </w:rPr>
        <w:t xml:space="preserve">) Measured ± SE (n&gt;50) (dots) and simulated (open circles) mean number of </w:t>
      </w:r>
      <w:r w:rsidRPr="004471E5">
        <w:rPr>
          <w:rFonts w:ascii="Symbol" w:hAnsi="Symbol"/>
          <w:szCs w:val="24"/>
        </w:rPr>
        <w:t></w:t>
      </w:r>
      <w:r>
        <w:rPr>
          <w:szCs w:val="24"/>
        </w:rPr>
        <w:t xml:space="preserve">H2AX foci per cell for 2.5 Gy IR. For a better overview the time points are not equidistant. </w:t>
      </w:r>
      <w:r>
        <w:rPr>
          <w:b/>
          <w:szCs w:val="24"/>
        </w:rPr>
        <w:t>C</w:t>
      </w:r>
      <w:r>
        <w:rPr>
          <w:szCs w:val="24"/>
        </w:rPr>
        <w:t xml:space="preserve">) Measured ± SE (n&gt;50) (dots) and simulated (open circles) mean number of </w:t>
      </w:r>
      <w:r w:rsidRPr="004471E5">
        <w:rPr>
          <w:rFonts w:ascii="Symbol" w:hAnsi="Symbol"/>
          <w:szCs w:val="24"/>
        </w:rPr>
        <w:t></w:t>
      </w:r>
      <w:r>
        <w:rPr>
          <w:szCs w:val="24"/>
        </w:rPr>
        <w:t xml:space="preserve">H2AX foci per cell for 10 Gy IR. For a better overview the time points are not equidistant. </w:t>
      </w:r>
      <w:r>
        <w:rPr>
          <w:b/>
          <w:szCs w:val="24"/>
        </w:rPr>
        <w:t>D</w:t>
      </w:r>
      <w:r>
        <w:rPr>
          <w:szCs w:val="24"/>
        </w:rPr>
        <w:t xml:space="preserve">) Measured ± SE (n&gt;50) (dots) and simulated (open circles) mean number of </w:t>
      </w:r>
      <w:r w:rsidRPr="004471E5">
        <w:rPr>
          <w:rFonts w:ascii="Symbol" w:hAnsi="Symbol"/>
          <w:szCs w:val="24"/>
        </w:rPr>
        <w:t></w:t>
      </w:r>
      <w:r>
        <w:rPr>
          <w:szCs w:val="24"/>
        </w:rPr>
        <w:t xml:space="preserve">H2AX foci per cell for 20 Gy IR. For a better overview the time points are not equidistant. </w:t>
      </w:r>
      <w:r>
        <w:rPr>
          <w:b/>
          <w:szCs w:val="24"/>
        </w:rPr>
        <w:t>E</w:t>
      </w:r>
      <w:r>
        <w:rPr>
          <w:szCs w:val="24"/>
        </w:rPr>
        <w:t>) Measured ± SEM (dots) and simulated (solid lines) mean percent</w:t>
      </w:r>
      <w:r w:rsidRPr="00196E9B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telomere associated foci (TA</w:t>
      </w:r>
      <w:r w:rsidRPr="00196E9B">
        <w:rPr>
          <w:rFonts w:cs="Arial"/>
          <w:szCs w:val="24"/>
        </w:rPr>
        <w:t>F</w:t>
      </w:r>
      <w:r>
        <w:rPr>
          <w:rFonts w:cs="Arial"/>
          <w:szCs w:val="24"/>
        </w:rPr>
        <w:t xml:space="preserve">) </w:t>
      </w:r>
      <w:r>
        <w:rPr>
          <w:szCs w:val="24"/>
        </w:rPr>
        <w:t xml:space="preserve">per cell for 20 Gy IR. </w:t>
      </w:r>
      <w:r>
        <w:rPr>
          <w:b/>
          <w:szCs w:val="24"/>
        </w:rPr>
        <w:t>F</w:t>
      </w:r>
      <w:r>
        <w:rPr>
          <w:szCs w:val="24"/>
        </w:rPr>
        <w:t>) Measured (</w:t>
      </w:r>
      <w:r w:rsidR="00D55880">
        <w:rPr>
          <w:szCs w:val="24"/>
        </w:rPr>
        <w:t>dots</w:t>
      </w:r>
      <w:r>
        <w:rPr>
          <w:szCs w:val="24"/>
        </w:rPr>
        <w:t xml:space="preserve">) and simulated (solid line) TAF and measured (open circles) and simulated (dashed line) </w:t>
      </w:r>
      <w:r>
        <w:rPr>
          <w:rFonts w:ascii="Symbol" w:hAnsi="Symbol"/>
          <w:szCs w:val="24"/>
        </w:rPr>
        <w:t></w:t>
      </w:r>
      <w:r>
        <w:rPr>
          <w:szCs w:val="24"/>
        </w:rPr>
        <w:t xml:space="preserve">H2AX foci for 0Gy IR (BASE). </w:t>
      </w:r>
      <w:r>
        <w:rPr>
          <w:b/>
          <w:szCs w:val="24"/>
        </w:rPr>
        <w:t>G</w:t>
      </w:r>
      <w:r>
        <w:rPr>
          <w:szCs w:val="24"/>
        </w:rPr>
        <w:t xml:space="preserve">) Measured ± SEM (dots) and simulated (open circles) mean number of </w:t>
      </w:r>
      <w:r w:rsidRPr="004471E5">
        <w:rPr>
          <w:rFonts w:ascii="Symbol" w:hAnsi="Symbol"/>
          <w:szCs w:val="24"/>
        </w:rPr>
        <w:t></w:t>
      </w:r>
      <w:r>
        <w:rPr>
          <w:szCs w:val="24"/>
        </w:rPr>
        <w:t xml:space="preserve">H2AX foci per cell after one day for different irradiation. </w:t>
      </w:r>
      <w:r>
        <w:rPr>
          <w:szCs w:val="22"/>
        </w:rPr>
        <w:t xml:space="preserve">The closed square indicates estimated </w:t>
      </w:r>
      <w:r w:rsidRPr="00F4074B">
        <w:rPr>
          <w:rFonts w:ascii="Symbol" w:hAnsi="Symbol"/>
          <w:szCs w:val="22"/>
        </w:rPr>
        <w:t></w:t>
      </w:r>
      <w:r w:rsidRPr="00F4074B">
        <w:rPr>
          <w:szCs w:val="22"/>
        </w:rPr>
        <w:t xml:space="preserve">H2AX foci </w:t>
      </w:r>
      <w:r>
        <w:rPr>
          <w:szCs w:val="22"/>
        </w:rPr>
        <w:t>from a linear interpolation used to scale our measured data (see Supplementary Methods Section)</w:t>
      </w:r>
      <w:r>
        <w:rPr>
          <w:szCs w:val="24"/>
        </w:rPr>
        <w:t xml:space="preserve"> </w:t>
      </w:r>
      <w:r>
        <w:rPr>
          <w:b/>
          <w:szCs w:val="24"/>
        </w:rPr>
        <w:t>H</w:t>
      </w:r>
      <w:r>
        <w:rPr>
          <w:szCs w:val="24"/>
        </w:rPr>
        <w:t xml:space="preserve">) Measured ± SEM (dots) and simulated (open circles) mean number of </w:t>
      </w:r>
      <w:r>
        <w:rPr>
          <w:rFonts w:cs="Arial"/>
          <w:szCs w:val="24"/>
        </w:rPr>
        <w:t>TA</w:t>
      </w:r>
      <w:r w:rsidRPr="00196E9B">
        <w:rPr>
          <w:rFonts w:cs="Arial"/>
          <w:szCs w:val="24"/>
        </w:rPr>
        <w:t>F</w:t>
      </w:r>
      <w:r>
        <w:rPr>
          <w:rFonts w:cs="Arial"/>
          <w:szCs w:val="24"/>
        </w:rPr>
        <w:t xml:space="preserve"> per </w:t>
      </w:r>
      <w:r>
        <w:rPr>
          <w:szCs w:val="24"/>
        </w:rPr>
        <w:t xml:space="preserve">cell after one day for different irradiation. </w:t>
      </w:r>
      <w:bookmarkStart w:id="2" w:name="_GoBack"/>
      <w:r>
        <w:rPr>
          <w:szCs w:val="24"/>
        </w:rPr>
        <w:t xml:space="preserve">Data in </w:t>
      </w:r>
      <w:r w:rsidR="000A0F29">
        <w:rPr>
          <w:szCs w:val="24"/>
        </w:rPr>
        <w:t>panels</w:t>
      </w:r>
      <w:r>
        <w:rPr>
          <w:szCs w:val="24"/>
        </w:rPr>
        <w:t xml:space="preserve"> </w:t>
      </w:r>
      <w:r w:rsidRPr="00F422E7">
        <w:rPr>
          <w:b/>
          <w:szCs w:val="24"/>
        </w:rPr>
        <w:t>D</w:t>
      </w:r>
      <w:r>
        <w:rPr>
          <w:szCs w:val="24"/>
        </w:rPr>
        <w:t>-</w:t>
      </w:r>
      <w:r>
        <w:rPr>
          <w:b/>
          <w:szCs w:val="24"/>
        </w:rPr>
        <w:t>H</w:t>
      </w:r>
      <w:r>
        <w:rPr>
          <w:szCs w:val="24"/>
        </w:rPr>
        <w:t xml:space="preserve"> are digitized from Hewitt et al. (2012). </w:t>
      </w:r>
      <w:r w:rsidR="000A0F29">
        <w:rPr>
          <w:szCs w:val="24"/>
        </w:rPr>
        <w:t xml:space="preserve">Data in panels </w:t>
      </w:r>
      <w:r w:rsidR="000A0F29" w:rsidRPr="000A0F29">
        <w:rPr>
          <w:b/>
          <w:szCs w:val="24"/>
        </w:rPr>
        <w:t>B</w:t>
      </w:r>
      <w:r w:rsidR="000A0F29">
        <w:rPr>
          <w:szCs w:val="24"/>
        </w:rPr>
        <w:t xml:space="preserve"> and </w:t>
      </w:r>
      <w:r w:rsidR="000A0F29" w:rsidRPr="000A0F29">
        <w:rPr>
          <w:b/>
          <w:szCs w:val="24"/>
        </w:rPr>
        <w:t>C</w:t>
      </w:r>
      <w:r w:rsidR="000A0F29">
        <w:rPr>
          <w:szCs w:val="24"/>
        </w:rPr>
        <w:t xml:space="preserve"> are taken from Rastgou </w:t>
      </w:r>
      <w:proofErr w:type="spellStart"/>
      <w:r w:rsidR="000A0F29">
        <w:rPr>
          <w:szCs w:val="24"/>
        </w:rPr>
        <w:t>Talemi</w:t>
      </w:r>
      <w:proofErr w:type="spellEnd"/>
      <w:r w:rsidR="000A0F29">
        <w:rPr>
          <w:szCs w:val="24"/>
        </w:rPr>
        <w:t xml:space="preserve"> et al. (2014). </w:t>
      </w:r>
      <w:r w:rsidR="00DE6DA1">
        <w:rPr>
          <w:szCs w:val="24"/>
        </w:rPr>
        <w:t xml:space="preserve">Details on data quantification and normalization as well as representative images can also be found in </w:t>
      </w:r>
      <w:r w:rsidR="00DE6DA1">
        <w:rPr>
          <w:szCs w:val="24"/>
        </w:rPr>
        <w:t xml:space="preserve">Rastgou </w:t>
      </w:r>
      <w:proofErr w:type="spellStart"/>
      <w:r w:rsidR="00DE6DA1">
        <w:rPr>
          <w:szCs w:val="24"/>
        </w:rPr>
        <w:t>Talemi</w:t>
      </w:r>
      <w:proofErr w:type="spellEnd"/>
      <w:r w:rsidR="00DE6DA1">
        <w:rPr>
          <w:szCs w:val="24"/>
        </w:rPr>
        <w:t xml:space="preserve"> et al. (2014).</w:t>
      </w:r>
      <w:r w:rsidR="00DE6DA1">
        <w:rPr>
          <w:szCs w:val="24"/>
        </w:rPr>
        <w:t xml:space="preserve"> </w:t>
      </w:r>
      <w:bookmarkEnd w:id="2"/>
      <w:r>
        <w:rPr>
          <w:szCs w:val="24"/>
        </w:rPr>
        <w:t>SE indicates standard error (n</w:t>
      </w:r>
      <w:r>
        <w:rPr>
          <w:rFonts w:cs="Arial"/>
          <w:szCs w:val="24"/>
        </w:rPr>
        <w:t>≥</w:t>
      </w:r>
      <w:r>
        <w:rPr>
          <w:szCs w:val="24"/>
        </w:rPr>
        <w:t>50) and SEM indicates standard error of the mean (n</w:t>
      </w:r>
      <w:r>
        <w:rPr>
          <w:rFonts w:cs="Arial"/>
          <w:szCs w:val="24"/>
        </w:rPr>
        <w:t>≥</w:t>
      </w:r>
      <w:r>
        <w:rPr>
          <w:szCs w:val="24"/>
        </w:rPr>
        <w:t>50).</w:t>
      </w:r>
    </w:p>
    <w:p w:rsidR="00332A5C" w:rsidRPr="00332A5C" w:rsidRDefault="00332A5C" w:rsidP="00332A5C"/>
    <w:sectPr w:rsidR="00332A5C" w:rsidRPr="00332A5C" w:rsidSect="00A64592">
      <w:headerReference w:type="default" r:id="rId8"/>
      <w:pgSz w:w="11906" w:h="16838"/>
      <w:pgMar w:top="1417" w:right="1417" w:bottom="1134" w:left="1417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4C9" w:rsidRDefault="00BA04C9" w:rsidP="00A64592">
      <w:r>
        <w:separator/>
      </w:r>
    </w:p>
  </w:endnote>
  <w:endnote w:type="continuationSeparator" w:id="0">
    <w:p w:rsidR="00BA04C9" w:rsidRDefault="00BA04C9" w:rsidP="00A64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4C9" w:rsidRDefault="00BA04C9" w:rsidP="00A64592">
      <w:r>
        <w:separator/>
      </w:r>
    </w:p>
  </w:footnote>
  <w:footnote w:type="continuationSeparator" w:id="0">
    <w:p w:rsidR="00BA04C9" w:rsidRDefault="00BA04C9" w:rsidP="00A645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3100247"/>
      <w:docPartObj>
        <w:docPartGallery w:val="Page Numbers (Top of Page)"/>
        <w:docPartUnique/>
      </w:docPartObj>
    </w:sdtPr>
    <w:sdtEndPr/>
    <w:sdtContent>
      <w:p w:rsidR="00A64592" w:rsidRDefault="00A64592">
        <w:pPr>
          <w:pStyle w:val="Kopf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6DA1">
          <w:rPr>
            <w:noProof/>
          </w:rPr>
          <w:t>2</w:t>
        </w:r>
        <w:r>
          <w:fldChar w:fldCharType="end"/>
        </w:r>
      </w:p>
    </w:sdtContent>
  </w:sdt>
  <w:p w:rsidR="00A64592" w:rsidRDefault="00A6459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4C9"/>
    <w:rsid w:val="000A0F29"/>
    <w:rsid w:val="001278BC"/>
    <w:rsid w:val="00236B3B"/>
    <w:rsid w:val="002771C9"/>
    <w:rsid w:val="00332A5C"/>
    <w:rsid w:val="00376232"/>
    <w:rsid w:val="00420CC1"/>
    <w:rsid w:val="007F45D7"/>
    <w:rsid w:val="00A64592"/>
    <w:rsid w:val="00AA3C33"/>
    <w:rsid w:val="00AD45C8"/>
    <w:rsid w:val="00BA04C9"/>
    <w:rsid w:val="00CD7994"/>
    <w:rsid w:val="00D55880"/>
    <w:rsid w:val="00DB0025"/>
    <w:rsid w:val="00DE6DA1"/>
    <w:rsid w:val="00E00569"/>
    <w:rsid w:val="00FF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A04C9"/>
    <w:pPr>
      <w:spacing w:after="120" w:line="276" w:lineRule="auto"/>
      <w:jc w:val="both"/>
    </w:pPr>
    <w:rPr>
      <w:rFonts w:ascii="Arial" w:hAnsi="Arial"/>
      <w:sz w:val="22"/>
      <w:lang w:val="en-GB"/>
    </w:rPr>
  </w:style>
  <w:style w:type="paragraph" w:styleId="berschrift2">
    <w:name w:val="heading 2"/>
    <w:basedOn w:val="Standard"/>
    <w:next w:val="Standard"/>
    <w:link w:val="berschrift2Zchn"/>
    <w:qFormat/>
    <w:rsid w:val="00BA04C9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BA04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A64592"/>
    <w:pPr>
      <w:tabs>
        <w:tab w:val="center" w:pos="4536"/>
        <w:tab w:val="right" w:pos="9072"/>
      </w:tabs>
      <w:spacing w:after="0" w:line="240" w:lineRule="auto"/>
      <w:jc w:val="left"/>
    </w:pPr>
    <w:rPr>
      <w:rFonts w:ascii="Lucida Sans" w:hAnsi="Lucida Sans"/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A64592"/>
    <w:rPr>
      <w:rFonts w:ascii="Lucida Sans" w:hAnsi="Lucida Sans"/>
      <w:sz w:val="22"/>
    </w:rPr>
  </w:style>
  <w:style w:type="paragraph" w:styleId="Fuzeile">
    <w:name w:val="footer"/>
    <w:basedOn w:val="Standard"/>
    <w:link w:val="FuzeileZchn"/>
    <w:rsid w:val="00A64592"/>
    <w:pPr>
      <w:tabs>
        <w:tab w:val="center" w:pos="4536"/>
        <w:tab w:val="right" w:pos="9072"/>
      </w:tabs>
      <w:spacing w:after="0" w:line="240" w:lineRule="auto"/>
      <w:jc w:val="left"/>
    </w:pPr>
    <w:rPr>
      <w:rFonts w:ascii="Lucida Sans" w:hAnsi="Lucida Sans"/>
      <w:lang w:val="de-DE"/>
    </w:rPr>
  </w:style>
  <w:style w:type="character" w:customStyle="1" w:styleId="FuzeileZchn">
    <w:name w:val="Fußzeile Zchn"/>
    <w:basedOn w:val="Absatz-Standardschriftart"/>
    <w:link w:val="Fuzeile"/>
    <w:rsid w:val="00A64592"/>
    <w:rPr>
      <w:rFonts w:ascii="Lucida Sans" w:hAnsi="Lucida Sans"/>
      <w:sz w:val="22"/>
    </w:rPr>
  </w:style>
  <w:style w:type="character" w:customStyle="1" w:styleId="berschrift2Zchn">
    <w:name w:val="Überschrift 2 Zchn"/>
    <w:basedOn w:val="Absatz-Standardschriftart"/>
    <w:link w:val="berschrift2"/>
    <w:rsid w:val="00BA04C9"/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Sprechblasentext">
    <w:name w:val="Balloon Text"/>
    <w:basedOn w:val="Standard"/>
    <w:link w:val="SprechblasentextZchn"/>
    <w:rsid w:val="00BA0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BA04C9"/>
    <w:rPr>
      <w:rFonts w:ascii="Tahoma" w:hAnsi="Tahoma" w:cs="Tahoma"/>
      <w:sz w:val="16"/>
      <w:szCs w:val="16"/>
      <w:lang w:val="en-GB"/>
    </w:rPr>
  </w:style>
  <w:style w:type="character" w:customStyle="1" w:styleId="berschrift3Zchn">
    <w:name w:val="Überschrift 3 Zchn"/>
    <w:basedOn w:val="Absatz-Standardschriftart"/>
    <w:link w:val="berschrift3"/>
    <w:semiHidden/>
    <w:rsid w:val="00BA04C9"/>
    <w:rPr>
      <w:rFonts w:asciiTheme="majorHAnsi" w:eastAsiaTheme="majorEastAsia" w:hAnsiTheme="majorHAnsi" w:cstheme="majorBidi"/>
      <w:b/>
      <w:bCs/>
      <w:color w:val="4F81BD" w:themeColor="accent1"/>
      <w:sz w:val="2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A04C9"/>
    <w:pPr>
      <w:spacing w:after="120" w:line="276" w:lineRule="auto"/>
      <w:jc w:val="both"/>
    </w:pPr>
    <w:rPr>
      <w:rFonts w:ascii="Arial" w:hAnsi="Arial"/>
      <w:sz w:val="22"/>
      <w:lang w:val="en-GB"/>
    </w:rPr>
  </w:style>
  <w:style w:type="paragraph" w:styleId="berschrift2">
    <w:name w:val="heading 2"/>
    <w:basedOn w:val="Standard"/>
    <w:next w:val="Standard"/>
    <w:link w:val="berschrift2Zchn"/>
    <w:qFormat/>
    <w:rsid w:val="00BA04C9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BA04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A64592"/>
    <w:pPr>
      <w:tabs>
        <w:tab w:val="center" w:pos="4536"/>
        <w:tab w:val="right" w:pos="9072"/>
      </w:tabs>
      <w:spacing w:after="0" w:line="240" w:lineRule="auto"/>
      <w:jc w:val="left"/>
    </w:pPr>
    <w:rPr>
      <w:rFonts w:ascii="Lucida Sans" w:hAnsi="Lucida Sans"/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A64592"/>
    <w:rPr>
      <w:rFonts w:ascii="Lucida Sans" w:hAnsi="Lucida Sans"/>
      <w:sz w:val="22"/>
    </w:rPr>
  </w:style>
  <w:style w:type="paragraph" w:styleId="Fuzeile">
    <w:name w:val="footer"/>
    <w:basedOn w:val="Standard"/>
    <w:link w:val="FuzeileZchn"/>
    <w:rsid w:val="00A64592"/>
    <w:pPr>
      <w:tabs>
        <w:tab w:val="center" w:pos="4536"/>
        <w:tab w:val="right" w:pos="9072"/>
      </w:tabs>
      <w:spacing w:after="0" w:line="240" w:lineRule="auto"/>
      <w:jc w:val="left"/>
    </w:pPr>
    <w:rPr>
      <w:rFonts w:ascii="Lucida Sans" w:hAnsi="Lucida Sans"/>
      <w:lang w:val="de-DE"/>
    </w:rPr>
  </w:style>
  <w:style w:type="character" w:customStyle="1" w:styleId="FuzeileZchn">
    <w:name w:val="Fußzeile Zchn"/>
    <w:basedOn w:val="Absatz-Standardschriftart"/>
    <w:link w:val="Fuzeile"/>
    <w:rsid w:val="00A64592"/>
    <w:rPr>
      <w:rFonts w:ascii="Lucida Sans" w:hAnsi="Lucida Sans"/>
      <w:sz w:val="22"/>
    </w:rPr>
  </w:style>
  <w:style w:type="character" w:customStyle="1" w:styleId="berschrift2Zchn">
    <w:name w:val="Überschrift 2 Zchn"/>
    <w:basedOn w:val="Absatz-Standardschriftart"/>
    <w:link w:val="berschrift2"/>
    <w:rsid w:val="00BA04C9"/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Sprechblasentext">
    <w:name w:val="Balloon Text"/>
    <w:basedOn w:val="Standard"/>
    <w:link w:val="SprechblasentextZchn"/>
    <w:rsid w:val="00BA0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BA04C9"/>
    <w:rPr>
      <w:rFonts w:ascii="Tahoma" w:hAnsi="Tahoma" w:cs="Tahoma"/>
      <w:sz w:val="16"/>
      <w:szCs w:val="16"/>
      <w:lang w:val="en-GB"/>
    </w:rPr>
  </w:style>
  <w:style w:type="character" w:customStyle="1" w:styleId="berschrift3Zchn">
    <w:name w:val="Überschrift 3 Zchn"/>
    <w:basedOn w:val="Absatz-Standardschriftart"/>
    <w:link w:val="berschrift3"/>
    <w:semiHidden/>
    <w:rsid w:val="00BA04C9"/>
    <w:rPr>
      <w:rFonts w:asciiTheme="majorHAnsi" w:eastAsiaTheme="majorEastAsia" w:hAnsiTheme="majorHAnsi" w:cstheme="majorBidi"/>
      <w:b/>
      <w:bCs/>
      <w:color w:val="4F81BD" w:themeColor="accent1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C31B17B7</Template>
  <TotalTime>0</TotalTime>
  <Pages>2</Pages>
  <Words>289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Normal.dot</vt:lpstr>
    </vt:vector>
  </TitlesOfParts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Normal.dot</dc:title>
  <dc:creator>Schaber, Jörg</dc:creator>
  <cp:lastModifiedBy>Schaber, Jörg</cp:lastModifiedBy>
  <cp:revision>8</cp:revision>
  <dcterms:created xsi:type="dcterms:W3CDTF">2015-09-17T14:47:00Z</dcterms:created>
  <dcterms:modified xsi:type="dcterms:W3CDTF">2016-01-07T14:45:00Z</dcterms:modified>
</cp:coreProperties>
</file>