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1F0" w:rsidRDefault="004A51F0" w:rsidP="004A51F0">
      <w:pPr>
        <w:pStyle w:val="berschrift3"/>
        <w:rPr>
          <w:rFonts w:ascii="Arial" w:hAnsi="Arial" w:cs="Arial"/>
          <w:color w:val="auto"/>
          <w:sz w:val="28"/>
          <w:szCs w:val="28"/>
        </w:rPr>
      </w:pPr>
      <w:bookmarkStart w:id="0" w:name="_Toc430256862"/>
      <w:bookmarkStart w:id="1" w:name="_Toc430256865"/>
      <w:r w:rsidRPr="00BA04C9">
        <w:rPr>
          <w:rFonts w:ascii="Arial" w:hAnsi="Arial" w:cs="Arial"/>
          <w:color w:val="auto"/>
          <w:sz w:val="28"/>
          <w:szCs w:val="28"/>
        </w:rPr>
        <w:t>Supplemental Data</w:t>
      </w:r>
      <w:bookmarkEnd w:id="0"/>
      <w:r>
        <w:rPr>
          <w:rFonts w:ascii="Arial" w:hAnsi="Arial" w:cs="Arial"/>
          <w:color w:val="auto"/>
          <w:sz w:val="28"/>
          <w:szCs w:val="28"/>
        </w:rPr>
        <w:t xml:space="preserve"> 3</w:t>
      </w:r>
    </w:p>
    <w:p w:rsidR="004A51F0" w:rsidRDefault="004A51F0" w:rsidP="004A51F0">
      <w:pPr>
        <w:pStyle w:val="berschrift2"/>
      </w:pPr>
      <w:r>
        <w:t>DNA damage induced G1-S arrest: candidate models and selection</w:t>
      </w:r>
      <w:bookmarkEnd w:id="1"/>
    </w:p>
    <w:p w:rsidR="004A51F0" w:rsidRDefault="004A51F0" w:rsidP="004A51F0">
      <w:r>
        <w:t xml:space="preserve">We developed a set of simple mathematical G1-S transition models, which could potentially explain our data. Specifically, we wanted to test a) whether the level of total Cdk2 was actively down-regulated or not, and b) which mechanism of p21-inhibition could explain our data. </w:t>
      </w:r>
    </w:p>
    <w:p w:rsidR="004A51F0" w:rsidRDefault="004A51F0" w:rsidP="004A51F0">
      <w:r>
        <w:t xml:space="preserve">The following reactions constitute the core G1-S module, which was the same for all model candidates (Figure S3): 1) reversible activation of the </w:t>
      </w:r>
      <w:proofErr w:type="spellStart"/>
      <w:r>
        <w:t>CycE</w:t>
      </w:r>
      <w:proofErr w:type="spellEnd"/>
      <w:r>
        <w:t xml:space="preserve">/Cdk2-complex (reactions </w:t>
      </w:r>
      <w:r w:rsidRPr="00B405B7">
        <w:rPr>
          <w:i/>
        </w:rPr>
        <w:t>v</w:t>
      </w:r>
      <w:r w:rsidRPr="00B405B7">
        <w:rPr>
          <w:vertAlign w:val="subscript"/>
        </w:rPr>
        <w:t>b</w:t>
      </w:r>
      <w:r>
        <w:rPr>
          <w:vertAlign w:val="subscript"/>
        </w:rPr>
        <w:t>1</w:t>
      </w:r>
      <w:r>
        <w:t xml:space="preserve"> and </w:t>
      </w:r>
      <w:r w:rsidRPr="00B405B7">
        <w:rPr>
          <w:i/>
        </w:rPr>
        <w:t>v</w:t>
      </w:r>
      <w:r>
        <w:rPr>
          <w:vertAlign w:val="subscript"/>
        </w:rPr>
        <w:t>b2</w:t>
      </w:r>
      <w:r w:rsidRPr="004B582E">
        <w:t xml:space="preserve">), </w:t>
      </w:r>
      <w:r>
        <w:t>where activation (</w:t>
      </w:r>
      <w:r w:rsidRPr="00B405B7">
        <w:rPr>
          <w:i/>
        </w:rPr>
        <w:t>v</w:t>
      </w:r>
      <w:r w:rsidRPr="00B405B7">
        <w:rPr>
          <w:vertAlign w:val="subscript"/>
        </w:rPr>
        <w:t>b</w:t>
      </w:r>
      <w:r>
        <w:rPr>
          <w:vertAlign w:val="subscript"/>
        </w:rPr>
        <w:t>1</w:t>
      </w:r>
      <w:r>
        <w:t>) is modified by an active Cdk2 (</w:t>
      </w:r>
      <w:proofErr w:type="spellStart"/>
      <w:r>
        <w:t>CycE</w:t>
      </w:r>
      <w:proofErr w:type="spellEnd"/>
      <w:r>
        <w:t xml:space="preserve">/Cdk2-a) mediated positive feedback using a </w:t>
      </w:r>
      <w:proofErr w:type="spellStart"/>
      <w:r>
        <w:t>Goldbeter-Koshland</w:t>
      </w:r>
      <w:proofErr w:type="spellEnd"/>
      <w:r>
        <w:t xml:space="preserve"> function </w:t>
      </w:r>
      <w:r>
        <w:fldChar w:fldCharType="begin">
          <w:fldData xml:space="preserve">PEVuZE5vdGU+PENpdGU+PEF1dGhvcj5Hb2xkYmV0ZXI8L0F1dGhvcj48WWVhcj4xOTgxPC9ZZWFy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</w:fldData>
        </w:fldChar>
      </w:r>
      <w:r w:rsidR="00DE517E">
        <w:instrText xml:space="preserve"> ADDIN EN.CITE </w:instrText>
      </w:r>
      <w:r w:rsidR="00DE517E">
        <w:fldChar w:fldCharType="begin">
          <w:fldData xml:space="preserve">PEVuZE5vdGU+PENpdGU+PEF1dGhvcj5Hb2xkYmV0ZXI8L0F1dGhvcj48WWVhcj4xOTgxPC9ZZWFy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</w:fldData>
        </w:fldChar>
      </w:r>
      <w:r w:rsidR="00DE517E">
        <w:instrText xml:space="preserve"> ADDIN EN.CITE.DATA </w:instrText>
      </w:r>
      <w:r w:rsidR="00DE517E">
        <w:fldChar w:fldCharType="end"/>
      </w:r>
      <w:r>
        <w:fldChar w:fldCharType="separate"/>
      </w:r>
      <w:r w:rsidR="00DE517E">
        <w:rPr>
          <w:noProof/>
        </w:rPr>
        <w:t>[</w:t>
      </w:r>
      <w:hyperlink w:anchor="_ENREF_1" w:tooltip="Goldbeter, 1981 #5523" w:history="1">
        <w:r w:rsidR="00DE517E">
          <w:rPr>
            <w:noProof/>
          </w:rPr>
          <w:t>1</w:t>
        </w:r>
      </w:hyperlink>
      <w:r w:rsidR="00DE517E">
        <w:rPr>
          <w:noProof/>
        </w:rPr>
        <w:t xml:space="preserve">, </w:t>
      </w:r>
      <w:hyperlink w:anchor="_ENREF_2" w:tooltip="Tyson, 2003 #5506" w:history="1">
        <w:r w:rsidR="00DE517E">
          <w:rPr>
            <w:noProof/>
          </w:rPr>
          <w:t>2</w:t>
        </w:r>
      </w:hyperlink>
      <w:r w:rsidR="00DE517E">
        <w:rPr>
          <w:noProof/>
        </w:rPr>
        <w:t>]</w:t>
      </w:r>
      <w:r>
        <w:fldChar w:fldCharType="end"/>
      </w:r>
      <w:r>
        <w:t xml:space="preserve">; 2) reversible binding of Cdk2 and </w:t>
      </w:r>
      <w:proofErr w:type="spellStart"/>
      <w:r>
        <w:t>CycE</w:t>
      </w:r>
      <w:proofErr w:type="spellEnd"/>
      <w:r>
        <w:t xml:space="preserve"> to the inactive </w:t>
      </w:r>
      <w:proofErr w:type="spellStart"/>
      <w:r>
        <w:t>CycE</w:t>
      </w:r>
      <w:proofErr w:type="spellEnd"/>
      <w:r>
        <w:t xml:space="preserve">/Cdk2-complex (reactions </w:t>
      </w:r>
      <w:r w:rsidRPr="00B405B7">
        <w:rPr>
          <w:i/>
        </w:rPr>
        <w:t>v</w:t>
      </w:r>
      <w:r w:rsidRPr="00B405B7">
        <w:rPr>
          <w:vertAlign w:val="subscript"/>
        </w:rPr>
        <w:t>b</w:t>
      </w:r>
      <w:r>
        <w:rPr>
          <w:vertAlign w:val="subscript"/>
        </w:rPr>
        <w:t>7</w:t>
      </w:r>
      <w:r>
        <w:t xml:space="preserve"> and </w:t>
      </w:r>
      <w:r w:rsidRPr="00B405B7">
        <w:rPr>
          <w:i/>
        </w:rPr>
        <w:t>v</w:t>
      </w:r>
      <w:r w:rsidRPr="00B405B7">
        <w:rPr>
          <w:vertAlign w:val="subscript"/>
        </w:rPr>
        <w:t>b8</w:t>
      </w:r>
      <w:r w:rsidRPr="004B582E">
        <w:t xml:space="preserve">) </w:t>
      </w:r>
      <w:r>
        <w:t xml:space="preserve">; 3) constitutive production and degradation of Cdk2, respectively (reactions </w:t>
      </w:r>
      <w:r w:rsidRPr="00B405B7">
        <w:rPr>
          <w:i/>
        </w:rPr>
        <w:t>v</w:t>
      </w:r>
      <w:r w:rsidRPr="00B405B7">
        <w:rPr>
          <w:vertAlign w:val="subscript"/>
        </w:rPr>
        <w:t>b</w:t>
      </w:r>
      <w:r>
        <w:rPr>
          <w:vertAlign w:val="subscript"/>
        </w:rPr>
        <w:t>3</w:t>
      </w:r>
      <w:r>
        <w:t xml:space="preserve"> and </w:t>
      </w:r>
      <w:r w:rsidRPr="00B405B7">
        <w:rPr>
          <w:i/>
        </w:rPr>
        <w:t>v</w:t>
      </w:r>
      <w:r w:rsidRPr="00B405B7">
        <w:rPr>
          <w:vertAlign w:val="subscript"/>
        </w:rPr>
        <w:t>b</w:t>
      </w:r>
      <w:r>
        <w:rPr>
          <w:vertAlign w:val="subscript"/>
        </w:rPr>
        <w:t>4</w:t>
      </w:r>
      <w:r w:rsidRPr="004B582E">
        <w:t>)</w:t>
      </w:r>
      <w:r>
        <w:t>.</w:t>
      </w:r>
    </w:p>
    <w:p w:rsidR="004A51F0" w:rsidRDefault="004A51F0" w:rsidP="004A51F0">
      <w:r>
        <w:t>The candidate models differed the way in which Cdk2 activation was inhibited, and the way Cdk2 levels were regulated. We employ two different ways in which Cdk2 activation was inhibited, first, by a generic mechanism, where the activation reaction (</w:t>
      </w:r>
      <w:r w:rsidRPr="00B405B7">
        <w:rPr>
          <w:i/>
        </w:rPr>
        <w:t>v</w:t>
      </w:r>
      <w:r w:rsidRPr="00B405B7">
        <w:rPr>
          <w:vertAlign w:val="subscript"/>
        </w:rPr>
        <w:t>b</w:t>
      </w:r>
      <w:r>
        <w:rPr>
          <w:vertAlign w:val="subscript"/>
        </w:rPr>
        <w:t>1</w:t>
      </w:r>
      <w:r>
        <w:t xml:space="preserve">) was inhibited by p21 using a reverse Hill-kinetic (Figure S3, left panel, Models 1, 3, 5), and, second, by reversible binding of four p21 molecules to the non-active </w:t>
      </w:r>
      <w:proofErr w:type="spellStart"/>
      <w:r>
        <w:t>CycE</w:t>
      </w:r>
      <w:proofErr w:type="spellEnd"/>
      <w:r>
        <w:t xml:space="preserve">/Cdk2-complex (reactions </w:t>
      </w:r>
      <w:r w:rsidRPr="00B405B7">
        <w:rPr>
          <w:i/>
        </w:rPr>
        <w:t>v</w:t>
      </w:r>
      <w:r w:rsidRPr="00B405B7">
        <w:rPr>
          <w:vertAlign w:val="subscript"/>
        </w:rPr>
        <w:t>b</w:t>
      </w:r>
      <w:r>
        <w:rPr>
          <w:vertAlign w:val="subscript"/>
        </w:rPr>
        <w:t>5</w:t>
      </w:r>
      <w:r>
        <w:t xml:space="preserve"> and </w:t>
      </w:r>
      <w:r w:rsidRPr="00B405B7">
        <w:rPr>
          <w:i/>
        </w:rPr>
        <w:t>v</w:t>
      </w:r>
      <w:r w:rsidRPr="00B405B7">
        <w:rPr>
          <w:vertAlign w:val="subscript"/>
        </w:rPr>
        <w:t>b</w:t>
      </w:r>
      <w:r>
        <w:rPr>
          <w:vertAlign w:val="subscript"/>
        </w:rPr>
        <w:t>6</w:t>
      </w:r>
      <w:r w:rsidRPr="004B582E">
        <w:t>)</w:t>
      </w:r>
      <w:r>
        <w:t xml:space="preserve"> (Figure S3, right panel, Models 2, 4, 6). Models with the second alternative omitted constitutive </w:t>
      </w:r>
      <w:proofErr w:type="spellStart"/>
      <w:r>
        <w:t>CycE</w:t>
      </w:r>
      <w:proofErr w:type="spellEnd"/>
      <w:r>
        <w:t xml:space="preserve"> production and degradation, because otherwise no switch-like steady-state behaviour can be achieved. Each of the above described options had three different ways in which Cdk2 level </w:t>
      </w:r>
      <w:r w:rsidR="00DA63D2">
        <w:t>was</w:t>
      </w:r>
      <w:r>
        <w:t xml:space="preserve"> regulated: </w:t>
      </w:r>
      <w:proofErr w:type="spellStart"/>
      <w:r>
        <w:t>i</w:t>
      </w:r>
      <w:proofErr w:type="spellEnd"/>
      <w:r>
        <w:t>) constitutive production and degradation only (Models 1, 2), ii) p21-mediated degradation with mass action kinetics (Models 3, 4), and, iii) p21-inhibited production with reverse Hill-kinetics (Models 5, 6). The combination of all these alternatives resulted in six different models, whose wiring schemes (without the DNA damage module) are depicted in Figure S3.</w:t>
      </w:r>
    </w:p>
    <w:p w:rsidR="004A51F0" w:rsidRDefault="004A51F0" w:rsidP="004A51F0">
      <w:pPr>
        <w:spacing w:after="0"/>
      </w:pPr>
      <w:bookmarkStart w:id="2" w:name="_GoBack"/>
      <w:r>
        <w:rPr>
          <w:noProof/>
          <w:lang w:eastAsia="en-GB"/>
        </w:rPr>
        <w:drawing>
          <wp:inline distT="0" distB="0" distL="0" distR="0" wp14:anchorId="5AE7604A" wp14:editId="7965CE79">
            <wp:extent cx="5274310" cy="1800860"/>
            <wp:effectExtent l="0" t="0" r="254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Models.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00860"/>
                    </a:xfrm>
                    <a:prstGeom prst="rect">
                      <a:avLst/>
                    </a:prstGeom>
                  </pic:spPr>
                </pic:pic>
              </a:graphicData>
            </a:graphic>
          </wp:inline>
        </w:drawing>
      </w:r>
      <w:bookmarkEnd w:id="2"/>
    </w:p>
    <w:p w:rsidR="004A51F0" w:rsidRDefault="004A51F0" w:rsidP="004A51F0">
      <w:r w:rsidRPr="009D521F">
        <w:rPr>
          <w:b/>
        </w:rPr>
        <w:t>Figure S</w:t>
      </w:r>
      <w:r>
        <w:rPr>
          <w:b/>
        </w:rPr>
        <w:t>3</w:t>
      </w:r>
      <w:r>
        <w:t>: Wiring schemes of the candidate models for the G1-S arrest model without the DNA-damage module, which was the same for all candidates. Dashed lines indicate alternative regulation mechanisms and respective model numbers.</w:t>
      </w:r>
    </w:p>
    <w:p w:rsidR="004A51F0" w:rsidRDefault="004A51F0" w:rsidP="004A51F0">
      <w:pPr>
        <w:rPr>
          <w:szCs w:val="16"/>
        </w:rPr>
      </w:pPr>
      <w:r>
        <w:rPr>
          <w:szCs w:val="24"/>
        </w:rPr>
        <w:t xml:space="preserve">For model ranking, we calculated </w:t>
      </w:r>
      <w:r w:rsidRPr="00982873">
        <w:rPr>
          <w:szCs w:val="16"/>
        </w:rPr>
        <w:t xml:space="preserve">the </w:t>
      </w:r>
      <w:proofErr w:type="spellStart"/>
      <w:r w:rsidRPr="00982873">
        <w:rPr>
          <w:szCs w:val="16"/>
        </w:rPr>
        <w:t>Akaike</w:t>
      </w:r>
      <w:proofErr w:type="spellEnd"/>
      <w:r w:rsidRPr="00982873">
        <w:rPr>
          <w:szCs w:val="16"/>
        </w:rPr>
        <w:t xml:space="preserve"> Information Criterion corrected for small sample sizes (</w:t>
      </w:r>
      <w:proofErr w:type="spellStart"/>
      <w:r w:rsidRPr="00F30C50">
        <w:rPr>
          <w:i/>
          <w:szCs w:val="16"/>
        </w:rPr>
        <w:t>AICc</w:t>
      </w:r>
      <w:proofErr w:type="spellEnd"/>
      <w:r w:rsidRPr="00982873">
        <w:rPr>
          <w:szCs w:val="16"/>
        </w:rPr>
        <w:t>)</w:t>
      </w:r>
      <w:r>
        <w:rPr>
          <w:szCs w:val="16"/>
        </w:rPr>
        <w:t xml:space="preserve"> </w:t>
      </w:r>
      <w:r>
        <w:rPr>
          <w:szCs w:val="16"/>
        </w:rPr>
        <w:fldChar w:fldCharType="begin"/>
      </w:r>
      <w:r w:rsidR="00DE517E">
        <w:rPr>
          <w:szCs w:val="16"/>
        </w:rPr>
        <w:instrText xml:space="preserve"> ADDIN EN.CITE &lt;EndNote&gt;&lt;Cite&gt;&lt;Author&gt;Burnham&lt;/Author&gt;&lt;Year&gt;2002&lt;/Year&gt;&lt;RecNum&gt;10900&lt;/RecNum&gt;&lt;DisplayText&gt;[3]&lt;/DisplayText&gt;&lt;record&gt;&lt;rec-number&gt;10900&lt;/rec-number&gt;&lt;foreign-keys&gt;&lt;key app="EN" db-id="e9w0vd0wnz55sie5eva5a0xv9555xeafrp2t"&gt;10900&lt;/key&gt;&lt;/foreign-keys&gt;&lt;ref-type name="Book"&gt;6&lt;/ref-type&gt;&lt;contributors&gt;&lt;authors&gt;&lt;author&gt;Burnham, Kenneth P. &lt;/author&gt;&lt;author&gt;Anderson, David R. &lt;/author&gt;&lt;/authors&gt;&lt;/contributors&gt;&lt;titles&gt;&lt;title&gt;Model Selection and Multi-Model Inference: A Practical Information-theoretic Approach&lt;/title&gt;&lt;/titles&gt;&lt;pages&gt;496&lt;/pages&gt;&lt;dates&gt;&lt;year&gt;2002&lt;/year&gt;&lt;/dates&gt;&lt;pub-location&gt;New York&lt;/pub-location&gt;&lt;publisher&gt;Springer&lt;/publisher&gt;&lt;urls&gt;&lt;/urls&gt;&lt;/record&gt;&lt;/Cite&gt;&lt;/EndNote&gt;</w:instrText>
      </w:r>
      <w:r>
        <w:rPr>
          <w:szCs w:val="16"/>
        </w:rPr>
        <w:fldChar w:fldCharType="separate"/>
      </w:r>
      <w:r w:rsidR="00DE517E">
        <w:rPr>
          <w:noProof/>
          <w:szCs w:val="16"/>
        </w:rPr>
        <w:t>[</w:t>
      </w:r>
      <w:hyperlink w:anchor="_ENREF_3" w:tooltip="Burnham, 2002 #10900" w:history="1">
        <w:r w:rsidR="00DE517E">
          <w:rPr>
            <w:noProof/>
            <w:szCs w:val="16"/>
          </w:rPr>
          <w:t>3</w:t>
        </w:r>
      </w:hyperlink>
      <w:r w:rsidR="00DE517E">
        <w:rPr>
          <w:noProof/>
          <w:szCs w:val="16"/>
        </w:rPr>
        <w:t>]</w:t>
      </w:r>
      <w:r>
        <w:rPr>
          <w:szCs w:val="16"/>
        </w:rPr>
        <w:fldChar w:fldCharType="end"/>
      </w:r>
      <w:r>
        <w:rPr>
          <w:szCs w:val="16"/>
        </w:rPr>
        <w:t xml:space="preserve"> </w:t>
      </w:r>
      <w:r w:rsidRPr="00982873">
        <w:rPr>
          <w:szCs w:val="16"/>
        </w:rPr>
        <w:t>for each candidate model:</w:t>
      </w:r>
    </w:p>
    <w:p w:rsidR="004A51F0" w:rsidRPr="008C7D9D" w:rsidRDefault="004A51F0" w:rsidP="004A51F0">
      <w:pPr>
        <w:ind w:firstLine="709"/>
        <w:rPr>
          <w:szCs w:val="16"/>
        </w:rPr>
      </w:pPr>
      <w:r>
        <w:rPr>
          <w:noProof/>
          <w:position w:val="-30"/>
          <w:lang w:eastAsia="en-GB"/>
        </w:rPr>
        <w:drawing>
          <wp:inline distT="0" distB="0" distL="0" distR="0" wp14:anchorId="51AEDEC2" wp14:editId="3CA49A69">
            <wp:extent cx="2619375" cy="466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r>
        <w:rPr>
          <w:szCs w:val="16"/>
        </w:rPr>
        <w:t>,</w:t>
      </w:r>
    </w:p>
    <w:p w:rsidR="004A51F0" w:rsidRDefault="004A51F0" w:rsidP="004A51F0">
      <w:pPr>
        <w:rPr>
          <w:szCs w:val="24"/>
        </w:rPr>
      </w:pPr>
      <w:proofErr w:type="gramStart"/>
      <w:r w:rsidRPr="00982873">
        <w:rPr>
          <w:szCs w:val="16"/>
        </w:rPr>
        <w:lastRenderedPageBreak/>
        <w:t>where</w:t>
      </w:r>
      <w:proofErr w:type="gramEnd"/>
      <w:r w:rsidRPr="00982873">
        <w:rPr>
          <w:szCs w:val="16"/>
        </w:rPr>
        <w:t xml:space="preserve"> </w:t>
      </w:r>
      <w:r w:rsidRPr="00982873">
        <w:rPr>
          <w:i/>
          <w:szCs w:val="16"/>
        </w:rPr>
        <w:t>SSR</w:t>
      </w:r>
      <w:r w:rsidRPr="00982873">
        <w:rPr>
          <w:szCs w:val="16"/>
        </w:rPr>
        <w:t xml:space="preserve"> is </w:t>
      </w:r>
      <w:r>
        <w:rPr>
          <w:szCs w:val="16"/>
        </w:rPr>
        <w:t xml:space="preserve">the </w:t>
      </w:r>
      <w:r w:rsidRPr="00982873">
        <w:rPr>
          <w:szCs w:val="16"/>
        </w:rPr>
        <w:t>sum of squared residuals</w:t>
      </w:r>
      <w:r>
        <w:rPr>
          <w:szCs w:val="16"/>
        </w:rPr>
        <w:t xml:space="preserve"> of the fit</w:t>
      </w:r>
      <w:r w:rsidRPr="00982873">
        <w:rPr>
          <w:szCs w:val="16"/>
        </w:rPr>
        <w:t xml:space="preserve">, </w:t>
      </w:r>
      <w:r w:rsidRPr="00982873">
        <w:rPr>
          <w:i/>
          <w:szCs w:val="16"/>
        </w:rPr>
        <w:t>k</w:t>
      </w:r>
      <w:r w:rsidRPr="00982873">
        <w:rPr>
          <w:szCs w:val="16"/>
        </w:rPr>
        <w:t xml:space="preserve"> the number of parameters</w:t>
      </w:r>
      <w:r>
        <w:rPr>
          <w:szCs w:val="16"/>
        </w:rPr>
        <w:t>,</w:t>
      </w:r>
      <w:r w:rsidRPr="00982873">
        <w:rPr>
          <w:szCs w:val="16"/>
        </w:rPr>
        <w:t xml:space="preserve"> and </w:t>
      </w:r>
      <w:proofErr w:type="spellStart"/>
      <w:r w:rsidRPr="00982873">
        <w:rPr>
          <w:i/>
          <w:szCs w:val="16"/>
        </w:rPr>
        <w:t>n</w:t>
      </w:r>
      <w:proofErr w:type="spellEnd"/>
      <w:r w:rsidRPr="00982873">
        <w:rPr>
          <w:szCs w:val="16"/>
        </w:rPr>
        <w:t xml:space="preserve"> the number of data points. The </w:t>
      </w:r>
      <w:proofErr w:type="spellStart"/>
      <w:r w:rsidRPr="00F30C50">
        <w:rPr>
          <w:i/>
          <w:szCs w:val="16"/>
        </w:rPr>
        <w:t>AICc</w:t>
      </w:r>
      <w:proofErr w:type="spellEnd"/>
      <w:r>
        <w:rPr>
          <w:szCs w:val="16"/>
        </w:rPr>
        <w:t xml:space="preserve"> is an information-theory based measure of parsimonious data representation</w:t>
      </w:r>
      <w:r w:rsidRPr="00982873">
        <w:rPr>
          <w:szCs w:val="16"/>
        </w:rPr>
        <w:t xml:space="preserve"> </w:t>
      </w:r>
      <w:r>
        <w:rPr>
          <w:szCs w:val="16"/>
        </w:rPr>
        <w:t>that incorporates the goodness of the fit (</w:t>
      </w:r>
      <w:r w:rsidRPr="001D1109">
        <w:rPr>
          <w:i/>
          <w:szCs w:val="16"/>
        </w:rPr>
        <w:t>SSR</w:t>
      </w:r>
      <w:r>
        <w:rPr>
          <w:szCs w:val="16"/>
        </w:rPr>
        <w:t>) as well as the complexity of the model (</w:t>
      </w:r>
      <w:r w:rsidRPr="001D1109">
        <w:rPr>
          <w:i/>
          <w:szCs w:val="16"/>
        </w:rPr>
        <w:t>k</w:t>
      </w:r>
      <w:r>
        <w:rPr>
          <w:szCs w:val="16"/>
        </w:rPr>
        <w:t>)</w:t>
      </w:r>
      <w:r w:rsidRPr="00982873">
        <w:rPr>
          <w:szCs w:val="16"/>
        </w:rPr>
        <w:t xml:space="preserve">, thereby giving an objective measure for model selection and discrimination. </w:t>
      </w:r>
      <w:r>
        <w:rPr>
          <w:szCs w:val="24"/>
        </w:rPr>
        <w:t xml:space="preserve">Using the </w:t>
      </w:r>
      <w:proofErr w:type="spellStart"/>
      <w:r w:rsidRPr="00794D7D">
        <w:rPr>
          <w:i/>
          <w:szCs w:val="24"/>
        </w:rPr>
        <w:t>AICc</w:t>
      </w:r>
      <w:proofErr w:type="spellEnd"/>
      <w:r>
        <w:rPr>
          <w:szCs w:val="24"/>
        </w:rPr>
        <w:t xml:space="preserve"> the models were ranked according their data approximation (Table S1, S2).</w:t>
      </w:r>
    </w:p>
    <w:p w:rsidR="004A51F0" w:rsidRDefault="004A51F0" w:rsidP="004A51F0">
      <w:pPr>
        <w:rPr>
          <w:szCs w:val="24"/>
        </w:rPr>
      </w:pPr>
      <w:r>
        <w:rPr>
          <w:szCs w:val="24"/>
        </w:rPr>
        <w:t xml:space="preserve">In order to select and compare the best approximating model(s) we calculated the </w:t>
      </w:r>
      <w:proofErr w:type="spellStart"/>
      <w:r>
        <w:rPr>
          <w:szCs w:val="24"/>
        </w:rPr>
        <w:t>Akaike</w:t>
      </w:r>
      <w:proofErr w:type="spellEnd"/>
      <w:r>
        <w:rPr>
          <w:szCs w:val="24"/>
        </w:rPr>
        <w:t xml:space="preserve"> weights (</w:t>
      </w:r>
      <w:proofErr w:type="spellStart"/>
      <w:r w:rsidRPr="00511344">
        <w:rPr>
          <w:i/>
          <w:szCs w:val="24"/>
        </w:rPr>
        <w:t>AICw</w:t>
      </w:r>
      <w:proofErr w:type="spellEnd"/>
      <w:r>
        <w:rPr>
          <w:szCs w:val="24"/>
        </w:rPr>
        <w:t xml:space="preserve">) </w:t>
      </w:r>
      <w:r>
        <w:rPr>
          <w:szCs w:val="24"/>
        </w:rPr>
        <w:fldChar w:fldCharType="begin"/>
      </w:r>
      <w:r w:rsidR="00DE517E">
        <w:rPr>
          <w:szCs w:val="24"/>
        </w:rPr>
        <w:instrText xml:space="preserve"> ADDIN EN.CITE &lt;EndNote&gt;&lt;Cite&gt;&lt;Author&gt;Burnham&lt;/Author&gt;&lt;Year&gt;2002&lt;/Year&gt;&lt;RecNum&gt;10900&lt;/RecNum&gt;&lt;DisplayText&gt;[3]&lt;/DisplayText&gt;&lt;record&gt;&lt;rec-number&gt;10900&lt;/rec-number&gt;&lt;foreign-keys&gt;&lt;key app="EN" db-id="e9w0vd0wnz55sie5eva5a0xv9555xeafrp2t"&gt;10900&lt;/key&gt;&lt;/foreign-keys&gt;&lt;ref-type name="Book"&gt;6&lt;/ref-type&gt;&lt;contributors&gt;&lt;authors&gt;&lt;author&gt;Burnham, Kenneth P. &lt;/author&gt;&lt;author&gt;Anderson, David R. &lt;/author&gt;&lt;/authors&gt;&lt;/contributors&gt;&lt;titles&gt;&lt;title&gt;Model Selection and Multi-Model Inference: A Practical Information-theoretic Approach&lt;/title&gt;&lt;/titles&gt;&lt;pages&gt;496&lt;/pages&gt;&lt;dates&gt;&lt;year&gt;2002&lt;/year&gt;&lt;/dates&gt;&lt;pub-location&gt;New York&lt;/pub-location&gt;&lt;publisher&gt;Springer&lt;/publisher&gt;&lt;urls&gt;&lt;/urls&gt;&lt;/record&gt;&lt;/Cite&gt;&lt;/EndNote&gt;</w:instrText>
      </w:r>
      <w:r>
        <w:rPr>
          <w:szCs w:val="24"/>
        </w:rPr>
        <w:fldChar w:fldCharType="separate"/>
      </w:r>
      <w:r w:rsidR="00DE517E">
        <w:rPr>
          <w:noProof/>
          <w:szCs w:val="24"/>
        </w:rPr>
        <w:t>[</w:t>
      </w:r>
      <w:hyperlink w:anchor="_ENREF_3" w:tooltip="Burnham, 2002 #10900" w:history="1">
        <w:r w:rsidR="00DE517E">
          <w:rPr>
            <w:noProof/>
            <w:szCs w:val="24"/>
          </w:rPr>
          <w:t>3</w:t>
        </w:r>
      </w:hyperlink>
      <w:r w:rsidR="00DE517E">
        <w:rPr>
          <w:noProof/>
          <w:szCs w:val="24"/>
        </w:rPr>
        <w:t>]</w:t>
      </w:r>
      <w:r>
        <w:rPr>
          <w:szCs w:val="24"/>
        </w:rPr>
        <w:fldChar w:fldCharType="end"/>
      </w:r>
      <w:r>
        <w:rPr>
          <w:szCs w:val="24"/>
        </w:rPr>
        <w:t>.</w:t>
      </w:r>
    </w:p>
    <w:p w:rsidR="004A51F0" w:rsidRDefault="004A51F0" w:rsidP="004A51F0">
      <w:pPr>
        <w:rPr>
          <w:szCs w:val="16"/>
        </w:rPr>
      </w:pPr>
      <w:r>
        <w:rPr>
          <w:szCs w:val="16"/>
        </w:rPr>
        <w:tab/>
      </w:r>
      <m:oMath>
        <m:sSub>
          <m:sSubPr>
            <m:ctrlPr>
              <w:rPr>
                <w:rFonts w:ascii="Cambria Math" w:hAnsi="Cambria Math"/>
                <w:i/>
                <w:szCs w:val="16"/>
              </w:rPr>
            </m:ctrlPr>
          </m:sSubPr>
          <m:e>
            <m:r>
              <w:rPr>
                <w:rFonts w:ascii="Cambria Math" w:hAnsi="Cambria Math"/>
                <w:szCs w:val="16"/>
              </w:rPr>
              <m:t>AICw</m:t>
            </m:r>
          </m:e>
          <m:sub>
            <m:r>
              <w:rPr>
                <w:rFonts w:ascii="Cambria Math" w:hAnsi="Cambria Math"/>
                <w:szCs w:val="16"/>
              </w:rPr>
              <m:t>i</m:t>
            </m:r>
          </m:sub>
        </m:sSub>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e</m:t>
                </m:r>
              </m:e>
              <m:sup>
                <m:r>
                  <w:rPr>
                    <w:rFonts w:ascii="Cambria Math" w:hAnsi="Cambria Math"/>
                    <w:szCs w:val="16"/>
                  </w:rPr>
                  <m:t>-</m:t>
                </m:r>
                <m:f>
                  <m:fPr>
                    <m:ctrlPr>
                      <w:rPr>
                        <w:rFonts w:ascii="Cambria Math" w:hAnsi="Cambria Math"/>
                        <w:i/>
                        <w:szCs w:val="16"/>
                      </w:rPr>
                    </m:ctrlPr>
                  </m:fPr>
                  <m:num>
                    <m:r>
                      <w:rPr>
                        <w:rFonts w:ascii="Cambria Math" w:hAnsi="Cambria Math"/>
                        <w:szCs w:val="16"/>
                      </w:rPr>
                      <m:t>1</m:t>
                    </m:r>
                  </m:num>
                  <m:den>
                    <m:r>
                      <w:rPr>
                        <w:rFonts w:ascii="Cambria Math" w:hAnsi="Cambria Math"/>
                        <w:szCs w:val="16"/>
                      </w:rPr>
                      <m:t>2</m:t>
                    </m:r>
                  </m:den>
                </m:f>
                <m:sSub>
                  <m:sSubPr>
                    <m:ctrlPr>
                      <w:rPr>
                        <w:rFonts w:ascii="Cambria Math" w:hAnsi="Cambria Math"/>
                        <w:i/>
                        <w:szCs w:val="16"/>
                      </w:rPr>
                    </m:ctrlPr>
                  </m:sSubPr>
                  <m:e>
                    <m:r>
                      <w:rPr>
                        <w:rFonts w:ascii="Cambria Math" w:hAnsi="Cambria Math"/>
                        <w:szCs w:val="16"/>
                      </w:rPr>
                      <m:t>∆</m:t>
                    </m:r>
                  </m:e>
                  <m:sub>
                    <m:r>
                      <w:rPr>
                        <w:rFonts w:ascii="Cambria Math" w:hAnsi="Cambria Math"/>
                        <w:szCs w:val="16"/>
                      </w:rPr>
                      <m:t>i</m:t>
                    </m:r>
                  </m:sub>
                </m:sSub>
              </m:sup>
            </m:sSup>
          </m:num>
          <m:den>
            <m:nary>
              <m:naryPr>
                <m:chr m:val="∑"/>
                <m:limLoc m:val="undOvr"/>
                <m:ctrlPr>
                  <w:rPr>
                    <w:rFonts w:ascii="Cambria Math" w:hAnsi="Cambria Math"/>
                    <w:i/>
                    <w:szCs w:val="16"/>
                  </w:rPr>
                </m:ctrlPr>
              </m:naryPr>
              <m:sub>
                <m:r>
                  <w:rPr>
                    <w:rFonts w:ascii="Cambria Math" w:hAnsi="Cambria Math"/>
                    <w:szCs w:val="16"/>
                  </w:rPr>
                  <m:t>r=1</m:t>
                </m:r>
              </m:sub>
              <m:sup>
                <m:r>
                  <w:rPr>
                    <w:rFonts w:ascii="Cambria Math" w:hAnsi="Cambria Math"/>
                    <w:szCs w:val="16"/>
                  </w:rPr>
                  <m:t>R</m:t>
                </m:r>
              </m:sup>
              <m:e>
                <m:sSup>
                  <m:sSupPr>
                    <m:ctrlPr>
                      <w:rPr>
                        <w:rFonts w:ascii="Cambria Math" w:hAnsi="Cambria Math"/>
                        <w:i/>
                        <w:szCs w:val="16"/>
                      </w:rPr>
                    </m:ctrlPr>
                  </m:sSupPr>
                  <m:e>
                    <m:r>
                      <w:rPr>
                        <w:rFonts w:ascii="Cambria Math" w:hAnsi="Cambria Math"/>
                        <w:szCs w:val="16"/>
                      </w:rPr>
                      <m:t>e</m:t>
                    </m:r>
                  </m:e>
                  <m:sup>
                    <m:r>
                      <w:rPr>
                        <w:rFonts w:ascii="Cambria Math" w:hAnsi="Cambria Math"/>
                        <w:szCs w:val="16"/>
                      </w:rPr>
                      <m:t>-</m:t>
                    </m:r>
                    <m:f>
                      <m:fPr>
                        <m:ctrlPr>
                          <w:rPr>
                            <w:rFonts w:ascii="Cambria Math" w:hAnsi="Cambria Math"/>
                            <w:i/>
                            <w:szCs w:val="16"/>
                          </w:rPr>
                        </m:ctrlPr>
                      </m:fPr>
                      <m:num>
                        <m:r>
                          <w:rPr>
                            <w:rFonts w:ascii="Cambria Math" w:hAnsi="Cambria Math"/>
                            <w:szCs w:val="16"/>
                          </w:rPr>
                          <m:t>1</m:t>
                        </m:r>
                      </m:num>
                      <m:den>
                        <m:r>
                          <w:rPr>
                            <w:rFonts w:ascii="Cambria Math" w:hAnsi="Cambria Math"/>
                            <w:szCs w:val="16"/>
                          </w:rPr>
                          <m:t>2</m:t>
                        </m:r>
                      </m:den>
                    </m:f>
                    <m:sSub>
                      <m:sSubPr>
                        <m:ctrlPr>
                          <w:rPr>
                            <w:rFonts w:ascii="Cambria Math" w:hAnsi="Cambria Math"/>
                            <w:i/>
                            <w:szCs w:val="16"/>
                          </w:rPr>
                        </m:ctrlPr>
                      </m:sSubPr>
                      <m:e>
                        <m:r>
                          <w:rPr>
                            <w:rFonts w:ascii="Cambria Math" w:hAnsi="Cambria Math"/>
                            <w:szCs w:val="16"/>
                          </w:rPr>
                          <m:t>∆</m:t>
                        </m:r>
                      </m:e>
                      <m:sub>
                        <m:r>
                          <w:rPr>
                            <w:rFonts w:ascii="Cambria Math" w:hAnsi="Cambria Math"/>
                            <w:szCs w:val="16"/>
                          </w:rPr>
                          <m:t>r</m:t>
                        </m:r>
                      </m:sub>
                    </m:sSub>
                  </m:sup>
                </m:sSup>
              </m:e>
            </m:nary>
          </m:den>
        </m:f>
      </m:oMath>
      <w:r>
        <w:rPr>
          <w:szCs w:val="16"/>
        </w:rPr>
        <w:t xml:space="preserve"> ,</w:t>
      </w:r>
    </w:p>
    <w:p w:rsidR="004A51F0" w:rsidRPr="00C657D7" w:rsidRDefault="004A51F0" w:rsidP="004A51F0">
      <w:pPr>
        <w:rPr>
          <w:szCs w:val="24"/>
        </w:rPr>
      </w:pPr>
      <w:proofErr w:type="gramStart"/>
      <w:r>
        <w:rPr>
          <w:szCs w:val="16"/>
        </w:rPr>
        <w:t xml:space="preserve">where </w:t>
      </w:r>
      <w:proofErr w:type="gramEnd"/>
      <m:oMath>
        <m:sSub>
          <m:sSubPr>
            <m:ctrlPr>
              <w:rPr>
                <w:rFonts w:ascii="Cambria Math" w:hAnsi="Cambria Math"/>
                <w:i/>
                <w:szCs w:val="16"/>
              </w:rPr>
            </m:ctrlPr>
          </m:sSubPr>
          <m:e>
            <m:r>
              <w:rPr>
                <w:rFonts w:ascii="Cambria Math" w:hAnsi="Cambria Math"/>
                <w:szCs w:val="16"/>
              </w:rPr>
              <m:t>∆</m:t>
            </m:r>
          </m:e>
          <m:sub>
            <m:r>
              <w:rPr>
                <w:rFonts w:ascii="Cambria Math" w:hAnsi="Cambria Math"/>
                <w:szCs w:val="16"/>
              </w:rPr>
              <m:t>i</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AIC</m:t>
            </m:r>
          </m:e>
          <m:sub>
            <m:r>
              <w:rPr>
                <w:rFonts w:ascii="Cambria Math" w:hAnsi="Cambria Math"/>
                <w:szCs w:val="16"/>
              </w:rPr>
              <m:t>i</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AIC</m:t>
            </m:r>
          </m:e>
          <m:sub>
            <m:r>
              <w:rPr>
                <w:rFonts w:ascii="Cambria Math" w:hAnsi="Cambria Math"/>
                <w:szCs w:val="16"/>
              </w:rPr>
              <m:t>min</m:t>
            </m:r>
          </m:sub>
        </m:sSub>
      </m:oMath>
      <w:r>
        <w:rPr>
          <w:szCs w:val="16"/>
        </w:rPr>
        <w:t xml:space="preserve">, with </w:t>
      </w:r>
      <w:proofErr w:type="spellStart"/>
      <w:r w:rsidRPr="00511344">
        <w:rPr>
          <w:i/>
          <w:szCs w:val="16"/>
        </w:rPr>
        <w:t>i</w:t>
      </w:r>
      <w:proofErr w:type="spellEnd"/>
      <w:r>
        <w:rPr>
          <w:szCs w:val="16"/>
        </w:rPr>
        <w:t xml:space="preserve"> being the model index </w:t>
      </w:r>
      <w:proofErr w:type="spellStart"/>
      <w:r w:rsidRPr="008219AE">
        <w:rPr>
          <w:i/>
          <w:szCs w:val="16"/>
        </w:rPr>
        <w:t>i</w:t>
      </w:r>
      <w:proofErr w:type="spellEnd"/>
      <w:r>
        <w:rPr>
          <w:szCs w:val="16"/>
        </w:rPr>
        <w:t xml:space="preserve">=1, …, </w:t>
      </w:r>
      <w:r w:rsidRPr="0097046B">
        <w:rPr>
          <w:szCs w:val="16"/>
        </w:rPr>
        <w:t>6</w:t>
      </w:r>
      <w:r>
        <w:rPr>
          <w:szCs w:val="16"/>
        </w:rPr>
        <w:t xml:space="preserve"> according to ranking and </w:t>
      </w:r>
      <m:oMath>
        <m:sSub>
          <m:sSubPr>
            <m:ctrlPr>
              <w:rPr>
                <w:rFonts w:ascii="Cambria Math" w:hAnsi="Cambria Math"/>
                <w:i/>
                <w:szCs w:val="16"/>
              </w:rPr>
            </m:ctrlPr>
          </m:sSubPr>
          <m:e>
            <m:r>
              <w:rPr>
                <w:rFonts w:ascii="Cambria Math" w:hAnsi="Cambria Math"/>
                <w:szCs w:val="16"/>
              </w:rPr>
              <m:t>AIC</m:t>
            </m:r>
          </m:e>
          <m:sub>
            <m:r>
              <w:rPr>
                <w:rFonts w:ascii="Cambria Math" w:hAnsi="Cambria Math"/>
                <w:szCs w:val="16"/>
              </w:rPr>
              <m:t>min</m:t>
            </m:r>
          </m:sub>
        </m:sSub>
      </m:oMath>
      <w:r>
        <w:rPr>
          <w:szCs w:val="16"/>
        </w:rPr>
        <w:t xml:space="preserve"> the minimal </w:t>
      </w:r>
      <w:proofErr w:type="spellStart"/>
      <w:r w:rsidRPr="00511344">
        <w:rPr>
          <w:i/>
          <w:szCs w:val="16"/>
        </w:rPr>
        <w:t>AICc</w:t>
      </w:r>
      <w:proofErr w:type="spellEnd"/>
      <w:r>
        <w:rPr>
          <w:szCs w:val="16"/>
        </w:rPr>
        <w:t xml:space="preserve">. The </w:t>
      </w:r>
      <w:proofErr w:type="spellStart"/>
      <w:r w:rsidRPr="00511344">
        <w:rPr>
          <w:i/>
          <w:szCs w:val="24"/>
        </w:rPr>
        <w:t>AICw</w:t>
      </w:r>
      <w:r>
        <w:rPr>
          <w:i/>
          <w:szCs w:val="24"/>
        </w:rPr>
        <w:t>’s</w:t>
      </w:r>
      <w:proofErr w:type="spellEnd"/>
      <w:r>
        <w:rPr>
          <w:szCs w:val="24"/>
        </w:rPr>
        <w:t xml:space="preserve"> can be considered as the weight of evidence in favour of a model given as a number between 0 and 1, i.e. the higher the weight, the closer the model is to the hypothetical true model. We considered those models as best approximating that had an </w:t>
      </w:r>
      <w:proofErr w:type="spellStart"/>
      <w:r w:rsidRPr="00511344">
        <w:rPr>
          <w:i/>
          <w:szCs w:val="24"/>
        </w:rPr>
        <w:t>AICw</w:t>
      </w:r>
      <w:proofErr w:type="spellEnd"/>
      <w:r>
        <w:rPr>
          <w:i/>
          <w:szCs w:val="24"/>
        </w:rPr>
        <w:t xml:space="preserve"> &gt; 0.125 </w:t>
      </w:r>
      <w:r>
        <w:rPr>
          <w:szCs w:val="24"/>
        </w:rPr>
        <w:t>(</w:t>
      </w:r>
      <w:proofErr w:type="spellStart"/>
      <w:r>
        <w:rPr>
          <w:szCs w:val="24"/>
        </w:rPr>
        <w:t>Cutoff</w:t>
      </w:r>
      <w:proofErr w:type="spellEnd"/>
      <w:r>
        <w:rPr>
          <w:szCs w:val="24"/>
        </w:rPr>
        <w:t>)</w:t>
      </w:r>
      <w:r>
        <w:rPr>
          <w:i/>
          <w:szCs w:val="24"/>
        </w:rPr>
        <w:t xml:space="preserve"> </w:t>
      </w:r>
      <w:r>
        <w:rPr>
          <w:szCs w:val="24"/>
        </w:rPr>
        <w:fldChar w:fldCharType="begin"/>
      </w:r>
      <w:r w:rsidR="00DE517E">
        <w:rPr>
          <w:szCs w:val="24"/>
        </w:rPr>
        <w:instrText xml:space="preserve"> ADDIN EN.CITE &lt;EndNote&gt;&lt;Cite&gt;&lt;Author&gt;Burnham&lt;/Author&gt;&lt;Year&gt;2002&lt;/Year&gt;&lt;RecNum&gt;10900&lt;/RecNum&gt;&lt;DisplayText&gt;[3]&lt;/DisplayText&gt;&lt;record&gt;&lt;rec-number&gt;10900&lt;/rec-number&gt;&lt;foreign-keys&gt;&lt;key app="EN" db-id="e9w0vd0wnz55sie5eva5a0xv9555xeafrp2t"&gt;10900&lt;/key&gt;&lt;/foreign-keys&gt;&lt;ref-type name="Book"&gt;6&lt;/ref-type&gt;&lt;contributors&gt;&lt;authors&gt;&lt;author&gt;Burnham, Kenneth P. &lt;/author&gt;&lt;author&gt;Anderson, David R. &lt;/author&gt;&lt;/authors&gt;&lt;/contributors&gt;&lt;titles&gt;&lt;title&gt;Model Selection and Multi-Model Inference: A Practical Information-theoretic Approach&lt;/title&gt;&lt;/titles&gt;&lt;pages&gt;496&lt;/pages&gt;&lt;dates&gt;&lt;year&gt;2002&lt;/year&gt;&lt;/dates&gt;&lt;pub-location&gt;New York&lt;/pub-location&gt;&lt;publisher&gt;Springer&lt;/publisher&gt;&lt;urls&gt;&lt;/urls&gt;&lt;/record&gt;&lt;/Cite&gt;&lt;/EndNote&gt;</w:instrText>
      </w:r>
      <w:r>
        <w:rPr>
          <w:szCs w:val="24"/>
        </w:rPr>
        <w:fldChar w:fldCharType="separate"/>
      </w:r>
      <w:r w:rsidR="00DE517E">
        <w:rPr>
          <w:noProof/>
          <w:szCs w:val="24"/>
        </w:rPr>
        <w:t>[</w:t>
      </w:r>
      <w:hyperlink w:anchor="_ENREF_3" w:tooltip="Burnham, 2002 #10900" w:history="1">
        <w:r w:rsidR="00DE517E">
          <w:rPr>
            <w:noProof/>
            <w:szCs w:val="24"/>
          </w:rPr>
          <w:t>3</w:t>
        </w:r>
      </w:hyperlink>
      <w:r w:rsidR="00DE517E">
        <w:rPr>
          <w:noProof/>
          <w:szCs w:val="24"/>
        </w:rPr>
        <w:t>]</w:t>
      </w:r>
      <w:r>
        <w:rPr>
          <w:szCs w:val="24"/>
        </w:rPr>
        <w:fldChar w:fldCharType="end"/>
      </w:r>
      <w:r>
        <w:rPr>
          <w:i/>
          <w:szCs w:val="24"/>
        </w:rPr>
        <w:t>.</w:t>
      </w:r>
      <w:r>
        <w:rPr>
          <w:szCs w:val="24"/>
        </w:rPr>
        <w:t xml:space="preserve"> Taking into account the model fits Model 1 is ranked first, however, all models with Hill-inhibition fit the data similarly well and are within the </w:t>
      </w:r>
      <w:proofErr w:type="spellStart"/>
      <w:r>
        <w:rPr>
          <w:szCs w:val="24"/>
        </w:rPr>
        <w:t>cutoff</w:t>
      </w:r>
      <w:proofErr w:type="spellEnd"/>
      <w:r>
        <w:rPr>
          <w:szCs w:val="24"/>
        </w:rPr>
        <w:t xml:space="preserve"> (Table S1). To come to better discrimination between the model</w:t>
      </w:r>
      <w:r w:rsidR="0062337D">
        <w:rPr>
          <w:szCs w:val="24"/>
        </w:rPr>
        <w:t>s</w:t>
      </w:r>
      <w:r>
        <w:rPr>
          <w:szCs w:val="24"/>
        </w:rPr>
        <w:t xml:space="preserve"> we includ</w:t>
      </w:r>
      <w:r w:rsidR="0062337D">
        <w:rPr>
          <w:szCs w:val="24"/>
        </w:rPr>
        <w:t>ed</w:t>
      </w:r>
      <w:r>
        <w:rPr>
          <w:szCs w:val="24"/>
        </w:rPr>
        <w:t xml:space="preserve"> the prediction of the 5Gy IR EdU time series (Figure 4A) into the SSR </w:t>
      </w:r>
      <w:r w:rsidR="0062337D">
        <w:rPr>
          <w:szCs w:val="24"/>
        </w:rPr>
        <w:t xml:space="preserve">without refitting </w:t>
      </w:r>
      <w:r>
        <w:rPr>
          <w:szCs w:val="24"/>
        </w:rPr>
        <w:t xml:space="preserve">and re-ranked the models (Table S2). Clearly, Model </w:t>
      </w:r>
      <w:proofErr w:type="spellStart"/>
      <w:r>
        <w:rPr>
          <w:szCs w:val="24"/>
        </w:rPr>
        <w:t>Nr</w:t>
      </w:r>
      <w:proofErr w:type="spellEnd"/>
      <w:r>
        <w:rPr>
          <w:szCs w:val="24"/>
        </w:rPr>
        <w:t xml:space="preserve">. 1 was now selected as the model having both a good fit to the data and superior prediction properties. </w:t>
      </w:r>
    </w:p>
    <w:p w:rsidR="004A51F0" w:rsidRPr="00720BCE" w:rsidRDefault="004A51F0" w:rsidP="004A51F0">
      <w:pPr>
        <w:spacing w:after="0" w:line="240" w:lineRule="auto"/>
        <w:rPr>
          <w:szCs w:val="24"/>
        </w:rPr>
      </w:pPr>
      <w:r w:rsidRPr="00720BCE">
        <w:rPr>
          <w:b/>
          <w:szCs w:val="24"/>
        </w:rPr>
        <w:t>Table S</w:t>
      </w:r>
      <w:r>
        <w:rPr>
          <w:b/>
          <w:szCs w:val="24"/>
        </w:rPr>
        <w:t>1</w:t>
      </w:r>
      <w:r w:rsidRPr="00720BCE">
        <w:rPr>
          <w:szCs w:val="24"/>
        </w:rPr>
        <w:t xml:space="preserve">: </w:t>
      </w:r>
      <w:r>
        <w:rPr>
          <w:szCs w:val="24"/>
        </w:rPr>
        <w:t>C</w:t>
      </w:r>
      <w:r w:rsidRPr="00720BCE">
        <w:rPr>
          <w:szCs w:val="24"/>
        </w:rPr>
        <w:t xml:space="preserve">andidate models according to </w:t>
      </w:r>
      <w:proofErr w:type="spellStart"/>
      <w:r w:rsidRPr="00720BCE">
        <w:rPr>
          <w:szCs w:val="24"/>
        </w:rPr>
        <w:t>AICc</w:t>
      </w:r>
      <w:proofErr w:type="spellEnd"/>
      <w:r w:rsidRPr="00720BCE">
        <w:rPr>
          <w:szCs w:val="24"/>
        </w:rP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588"/>
        <w:gridCol w:w="1115"/>
        <w:gridCol w:w="494"/>
        <w:gridCol w:w="1614"/>
        <w:gridCol w:w="1053"/>
        <w:gridCol w:w="1614"/>
        <w:gridCol w:w="962"/>
      </w:tblGrid>
      <w:tr w:rsidR="004A51F0" w:rsidRPr="00720BCE" w:rsidTr="008A66D8">
        <w:trPr>
          <w:cantSplit/>
          <w:trHeight w:val="734"/>
        </w:trPr>
        <w:tc>
          <w:tcPr>
            <w:tcW w:w="456"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r w:rsidRPr="00B33876">
              <w:rPr>
                <w:b/>
                <w:szCs w:val="24"/>
              </w:rPr>
              <w:t>Rank</w:t>
            </w:r>
          </w:p>
        </w:tc>
        <w:tc>
          <w:tcPr>
            <w:tcW w:w="855"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r w:rsidRPr="00B33876">
              <w:rPr>
                <w:b/>
                <w:szCs w:val="24"/>
              </w:rPr>
              <w:t xml:space="preserve">Model </w:t>
            </w:r>
            <w:proofErr w:type="spellStart"/>
            <w:r w:rsidRPr="00B33876">
              <w:rPr>
                <w:b/>
                <w:szCs w:val="24"/>
              </w:rPr>
              <w:t>Nr</w:t>
            </w:r>
            <w:proofErr w:type="spellEnd"/>
            <w:r w:rsidRPr="00B33876">
              <w:rPr>
                <w:b/>
                <w:szCs w:val="24"/>
              </w:rPr>
              <w:t>.</w:t>
            </w:r>
          </w:p>
        </w:tc>
        <w:tc>
          <w:tcPr>
            <w:tcW w:w="600"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r w:rsidRPr="00B33876">
              <w:rPr>
                <w:b/>
                <w:i/>
                <w:szCs w:val="24"/>
              </w:rPr>
              <w:t>n</w:t>
            </w:r>
          </w:p>
        </w:tc>
        <w:tc>
          <w:tcPr>
            <w:tcW w:w="266"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r w:rsidRPr="00B33876">
              <w:rPr>
                <w:b/>
                <w:i/>
                <w:szCs w:val="24"/>
              </w:rPr>
              <w:t>k</w:t>
            </w:r>
          </w:p>
        </w:tc>
        <w:tc>
          <w:tcPr>
            <w:tcW w:w="869"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r w:rsidRPr="00B33876">
              <w:rPr>
                <w:b/>
                <w:i/>
                <w:szCs w:val="24"/>
              </w:rPr>
              <w:t>SSR</w:t>
            </w:r>
          </w:p>
        </w:tc>
        <w:tc>
          <w:tcPr>
            <w:tcW w:w="567"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proofErr w:type="spellStart"/>
            <w:r w:rsidRPr="00B33876">
              <w:rPr>
                <w:b/>
                <w:i/>
                <w:szCs w:val="24"/>
              </w:rPr>
              <w:t>AICc</w:t>
            </w:r>
            <w:proofErr w:type="spellEnd"/>
          </w:p>
        </w:tc>
        <w:tc>
          <w:tcPr>
            <w:tcW w:w="869"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proofErr w:type="spellStart"/>
            <w:r w:rsidRPr="00B33876">
              <w:rPr>
                <w:b/>
                <w:szCs w:val="24"/>
              </w:rPr>
              <w:t>Akaike</w:t>
            </w:r>
            <w:proofErr w:type="spellEnd"/>
            <w:r w:rsidRPr="00B33876">
              <w:rPr>
                <w:b/>
                <w:szCs w:val="24"/>
              </w:rPr>
              <w:t xml:space="preserve"> weight</w:t>
            </w:r>
          </w:p>
        </w:tc>
        <w:tc>
          <w:tcPr>
            <w:tcW w:w="518"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proofErr w:type="spellStart"/>
            <w:r w:rsidRPr="00B33876">
              <w:rPr>
                <w:b/>
                <w:szCs w:val="24"/>
              </w:rPr>
              <w:t>Cutoff</w:t>
            </w:r>
            <w:proofErr w:type="spellEnd"/>
          </w:p>
        </w:tc>
      </w:tr>
      <w:tr w:rsidR="004A51F0" w:rsidRPr="00720BCE" w:rsidTr="008A66D8">
        <w:trPr>
          <w:trHeight w:val="276"/>
        </w:trPr>
        <w:tc>
          <w:tcPr>
            <w:tcW w:w="456" w:type="pct"/>
            <w:tcBorders>
              <w:top w:val="single" w:sz="12" w:space="0" w:color="auto"/>
            </w:tcBorders>
            <w:vAlign w:val="center"/>
          </w:tcPr>
          <w:p w:rsidR="004A51F0" w:rsidRPr="00720BCE" w:rsidRDefault="004A51F0" w:rsidP="008A66D8">
            <w:pPr>
              <w:spacing w:after="0" w:line="240" w:lineRule="auto"/>
              <w:jc w:val="center"/>
              <w:rPr>
                <w:rFonts w:cs="Arial"/>
                <w:sz w:val="20"/>
              </w:rPr>
            </w:pPr>
            <w:r>
              <w:rPr>
                <w:rFonts w:cs="Arial"/>
                <w:sz w:val="20"/>
              </w:rPr>
              <w:t>1</w:t>
            </w:r>
          </w:p>
        </w:tc>
        <w:tc>
          <w:tcPr>
            <w:tcW w:w="855"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w:t>
            </w:r>
          </w:p>
        </w:tc>
        <w:tc>
          <w:tcPr>
            <w:tcW w:w="600"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75</w:t>
            </w:r>
          </w:p>
        </w:tc>
        <w:tc>
          <w:tcPr>
            <w:tcW w:w="266"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15</w:t>
            </w:r>
          </w:p>
        </w:tc>
        <w:tc>
          <w:tcPr>
            <w:tcW w:w="869"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8.74</w:t>
            </w:r>
          </w:p>
        </w:tc>
        <w:tc>
          <w:tcPr>
            <w:tcW w:w="567"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85.30</w:t>
            </w:r>
          </w:p>
        </w:tc>
        <w:tc>
          <w:tcPr>
            <w:tcW w:w="869"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0.547</w:t>
            </w:r>
          </w:p>
        </w:tc>
        <w:tc>
          <w:tcPr>
            <w:tcW w:w="518"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OK</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sidRPr="00720BCE">
              <w:rPr>
                <w:rFonts w:cs="Arial"/>
                <w:sz w:val="20"/>
              </w:rPr>
              <w:t>2</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3</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75</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17</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8.95</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87.03</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0.23</w:t>
            </w:r>
          </w:p>
        </w:tc>
        <w:tc>
          <w:tcPr>
            <w:tcW w:w="518"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OK</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Pr>
                <w:rFonts w:cs="Arial"/>
                <w:sz w:val="20"/>
              </w:rPr>
              <w:t>3</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5</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75</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15</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8.34</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87.23</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0.208</w:t>
            </w:r>
          </w:p>
        </w:tc>
        <w:tc>
          <w:tcPr>
            <w:tcW w:w="518" w:type="pct"/>
            <w:vAlign w:val="bottom"/>
          </w:tcPr>
          <w:p w:rsidR="004A51F0" w:rsidRPr="00720BCE" w:rsidRDefault="004A51F0" w:rsidP="008A66D8">
            <w:pPr>
              <w:spacing w:after="0" w:line="240" w:lineRule="auto"/>
              <w:jc w:val="center"/>
              <w:rPr>
                <w:sz w:val="20"/>
              </w:rPr>
            </w:pPr>
            <w:r>
              <w:rPr>
                <w:rFonts w:ascii="Calibri" w:hAnsi="Calibri"/>
                <w:color w:val="000000"/>
                <w:szCs w:val="22"/>
              </w:rPr>
              <w:t>OK</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Pr>
                <w:rFonts w:cs="Arial"/>
                <w:sz w:val="20"/>
              </w:rPr>
              <w:t>4</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6</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75</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16</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9.14</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92.82</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0.013</w:t>
            </w:r>
          </w:p>
        </w:tc>
        <w:tc>
          <w:tcPr>
            <w:tcW w:w="518" w:type="pct"/>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Pr>
                <w:rFonts w:cs="Arial"/>
                <w:sz w:val="20"/>
              </w:rPr>
              <w:t>5</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4</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75</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14</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10.21</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95.83</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0.003</w:t>
            </w:r>
          </w:p>
        </w:tc>
        <w:tc>
          <w:tcPr>
            <w:tcW w:w="518" w:type="pct"/>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r w:rsidR="004A51F0" w:rsidRPr="00720BCE" w:rsidTr="008A66D8">
        <w:trPr>
          <w:trHeight w:val="276"/>
        </w:trPr>
        <w:tc>
          <w:tcPr>
            <w:tcW w:w="456" w:type="pct"/>
            <w:tcBorders>
              <w:bottom w:val="single" w:sz="12" w:space="0" w:color="auto"/>
            </w:tcBorders>
            <w:vAlign w:val="center"/>
          </w:tcPr>
          <w:p w:rsidR="004A51F0" w:rsidRPr="00720BCE" w:rsidRDefault="004A51F0" w:rsidP="008A66D8">
            <w:pPr>
              <w:spacing w:after="0" w:line="240" w:lineRule="auto"/>
              <w:jc w:val="center"/>
              <w:rPr>
                <w:rFonts w:cs="Arial"/>
                <w:sz w:val="20"/>
              </w:rPr>
            </w:pPr>
            <w:r>
              <w:rPr>
                <w:rFonts w:cs="Arial"/>
                <w:sz w:val="20"/>
              </w:rPr>
              <w:t>6</w:t>
            </w:r>
          </w:p>
        </w:tc>
        <w:tc>
          <w:tcPr>
            <w:tcW w:w="855"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2</w:t>
            </w:r>
          </w:p>
        </w:tc>
        <w:tc>
          <w:tcPr>
            <w:tcW w:w="600"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75</w:t>
            </w:r>
          </w:p>
        </w:tc>
        <w:tc>
          <w:tcPr>
            <w:tcW w:w="266"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14</w:t>
            </w:r>
          </w:p>
        </w:tc>
        <w:tc>
          <w:tcPr>
            <w:tcW w:w="869"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16.35</w:t>
            </w:r>
          </w:p>
        </w:tc>
        <w:tc>
          <w:tcPr>
            <w:tcW w:w="567"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134.47</w:t>
            </w:r>
          </w:p>
        </w:tc>
        <w:tc>
          <w:tcPr>
            <w:tcW w:w="869"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w:t>
            </w:r>
          </w:p>
        </w:tc>
        <w:tc>
          <w:tcPr>
            <w:tcW w:w="518" w:type="pct"/>
            <w:tcBorders>
              <w:bottom w:val="single" w:sz="12" w:space="0" w:color="auto"/>
            </w:tcBorders>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bl>
    <w:p w:rsidR="004A51F0" w:rsidRDefault="004A51F0" w:rsidP="004A51F0">
      <w:pPr>
        <w:spacing w:line="240" w:lineRule="auto"/>
        <w:rPr>
          <w:szCs w:val="24"/>
        </w:rPr>
      </w:pPr>
      <w:proofErr w:type="spellStart"/>
      <w:r w:rsidRPr="00720BCE">
        <w:rPr>
          <w:i/>
          <w:szCs w:val="24"/>
        </w:rPr>
        <w:t>AICc</w:t>
      </w:r>
      <w:proofErr w:type="spellEnd"/>
      <w:r w:rsidRPr="00720BCE">
        <w:rPr>
          <w:szCs w:val="24"/>
        </w:rPr>
        <w:t xml:space="preserve">: corrected </w:t>
      </w:r>
      <w:proofErr w:type="spellStart"/>
      <w:r w:rsidRPr="00720BCE">
        <w:rPr>
          <w:szCs w:val="24"/>
        </w:rPr>
        <w:t>Akaike</w:t>
      </w:r>
      <w:proofErr w:type="spellEnd"/>
      <w:r w:rsidRPr="00720BCE">
        <w:rPr>
          <w:szCs w:val="24"/>
        </w:rPr>
        <w:t xml:space="preserve"> information criterion, </w:t>
      </w:r>
      <w:r w:rsidRPr="00720BCE">
        <w:rPr>
          <w:i/>
          <w:szCs w:val="24"/>
        </w:rPr>
        <w:t>SSR</w:t>
      </w:r>
      <w:r w:rsidRPr="00720BCE">
        <w:rPr>
          <w:szCs w:val="24"/>
        </w:rPr>
        <w:t xml:space="preserve">: sum of squared residuals, </w:t>
      </w:r>
      <w:r w:rsidRPr="00720BCE">
        <w:rPr>
          <w:i/>
          <w:szCs w:val="24"/>
        </w:rPr>
        <w:t>n</w:t>
      </w:r>
      <w:r w:rsidRPr="00720BCE">
        <w:rPr>
          <w:szCs w:val="24"/>
        </w:rPr>
        <w:t xml:space="preserve"> number of data points, </w:t>
      </w:r>
      <w:proofErr w:type="gramStart"/>
      <w:r w:rsidRPr="00720BCE">
        <w:rPr>
          <w:i/>
          <w:szCs w:val="24"/>
        </w:rPr>
        <w:t>k</w:t>
      </w:r>
      <w:proofErr w:type="gramEnd"/>
      <w:r>
        <w:rPr>
          <w:szCs w:val="24"/>
        </w:rPr>
        <w:t xml:space="preserve"> number of fitted parameters.</w:t>
      </w:r>
    </w:p>
    <w:p w:rsidR="004A51F0" w:rsidRPr="00720BCE" w:rsidRDefault="004A51F0" w:rsidP="004A51F0">
      <w:pPr>
        <w:spacing w:after="0" w:line="240" w:lineRule="auto"/>
        <w:rPr>
          <w:szCs w:val="24"/>
        </w:rPr>
      </w:pPr>
      <w:r w:rsidRPr="00720BCE">
        <w:rPr>
          <w:b/>
          <w:szCs w:val="24"/>
        </w:rPr>
        <w:t>Table S</w:t>
      </w:r>
      <w:r>
        <w:rPr>
          <w:b/>
          <w:szCs w:val="24"/>
        </w:rPr>
        <w:t>2</w:t>
      </w:r>
      <w:r w:rsidRPr="00720BCE">
        <w:rPr>
          <w:szCs w:val="24"/>
        </w:rPr>
        <w:t xml:space="preserve">: </w:t>
      </w:r>
      <w:r>
        <w:rPr>
          <w:szCs w:val="24"/>
        </w:rPr>
        <w:t>C</w:t>
      </w:r>
      <w:r w:rsidRPr="00720BCE">
        <w:rPr>
          <w:szCs w:val="24"/>
        </w:rPr>
        <w:t xml:space="preserve">andidate models according to </w:t>
      </w:r>
      <w:proofErr w:type="spellStart"/>
      <w:r w:rsidRPr="00720BCE">
        <w:rPr>
          <w:szCs w:val="24"/>
        </w:rPr>
        <w:t>AICc</w:t>
      </w:r>
      <w:proofErr w:type="spellEnd"/>
      <w:r>
        <w:rPr>
          <w:szCs w:val="24"/>
        </w:rPr>
        <w:t xml:space="preserve"> including 5Gy EdU prediction</w:t>
      </w:r>
      <w:r w:rsidRPr="00720BCE">
        <w:rPr>
          <w:szCs w:val="24"/>
        </w:rP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588"/>
        <w:gridCol w:w="1115"/>
        <w:gridCol w:w="494"/>
        <w:gridCol w:w="1614"/>
        <w:gridCol w:w="1053"/>
        <w:gridCol w:w="1614"/>
        <w:gridCol w:w="962"/>
      </w:tblGrid>
      <w:tr w:rsidR="004A51F0" w:rsidRPr="00720BCE" w:rsidTr="008A66D8">
        <w:trPr>
          <w:cantSplit/>
          <w:trHeight w:val="734"/>
        </w:trPr>
        <w:tc>
          <w:tcPr>
            <w:tcW w:w="456"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r w:rsidRPr="00B33876">
              <w:rPr>
                <w:b/>
                <w:szCs w:val="24"/>
              </w:rPr>
              <w:t>Rank</w:t>
            </w:r>
          </w:p>
        </w:tc>
        <w:tc>
          <w:tcPr>
            <w:tcW w:w="855"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r w:rsidRPr="00B33876">
              <w:rPr>
                <w:b/>
                <w:szCs w:val="24"/>
              </w:rPr>
              <w:t xml:space="preserve">Model </w:t>
            </w:r>
            <w:proofErr w:type="spellStart"/>
            <w:r w:rsidRPr="00B33876">
              <w:rPr>
                <w:b/>
                <w:szCs w:val="24"/>
              </w:rPr>
              <w:t>Nr</w:t>
            </w:r>
            <w:proofErr w:type="spellEnd"/>
            <w:r w:rsidRPr="00B33876">
              <w:rPr>
                <w:b/>
                <w:szCs w:val="24"/>
              </w:rPr>
              <w:t>.</w:t>
            </w:r>
          </w:p>
        </w:tc>
        <w:tc>
          <w:tcPr>
            <w:tcW w:w="600"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r w:rsidRPr="00B33876">
              <w:rPr>
                <w:b/>
                <w:i/>
                <w:szCs w:val="24"/>
              </w:rPr>
              <w:t>n</w:t>
            </w:r>
          </w:p>
        </w:tc>
        <w:tc>
          <w:tcPr>
            <w:tcW w:w="266"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r w:rsidRPr="00B33876">
              <w:rPr>
                <w:b/>
                <w:i/>
                <w:szCs w:val="24"/>
              </w:rPr>
              <w:t>k</w:t>
            </w:r>
          </w:p>
        </w:tc>
        <w:tc>
          <w:tcPr>
            <w:tcW w:w="869"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r w:rsidRPr="00B33876">
              <w:rPr>
                <w:b/>
                <w:i/>
                <w:szCs w:val="24"/>
              </w:rPr>
              <w:t>SSR</w:t>
            </w:r>
          </w:p>
        </w:tc>
        <w:tc>
          <w:tcPr>
            <w:tcW w:w="567"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i/>
                <w:szCs w:val="24"/>
              </w:rPr>
            </w:pPr>
            <w:proofErr w:type="spellStart"/>
            <w:r w:rsidRPr="00B33876">
              <w:rPr>
                <w:b/>
                <w:i/>
                <w:szCs w:val="24"/>
              </w:rPr>
              <w:t>AICc</w:t>
            </w:r>
            <w:proofErr w:type="spellEnd"/>
          </w:p>
        </w:tc>
        <w:tc>
          <w:tcPr>
            <w:tcW w:w="869"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proofErr w:type="spellStart"/>
            <w:r w:rsidRPr="00B33876">
              <w:rPr>
                <w:b/>
                <w:szCs w:val="24"/>
              </w:rPr>
              <w:t>Akaike</w:t>
            </w:r>
            <w:proofErr w:type="spellEnd"/>
            <w:r w:rsidRPr="00B33876">
              <w:rPr>
                <w:b/>
                <w:szCs w:val="24"/>
              </w:rPr>
              <w:t xml:space="preserve"> weight</w:t>
            </w:r>
          </w:p>
        </w:tc>
        <w:tc>
          <w:tcPr>
            <w:tcW w:w="518" w:type="pct"/>
            <w:tcBorders>
              <w:top w:val="single" w:sz="12" w:space="0" w:color="auto"/>
              <w:bottom w:val="single" w:sz="12" w:space="0" w:color="auto"/>
            </w:tcBorders>
            <w:vAlign w:val="center"/>
          </w:tcPr>
          <w:p w:rsidR="004A51F0" w:rsidRPr="00B33876" w:rsidRDefault="004A51F0" w:rsidP="008A66D8">
            <w:pPr>
              <w:spacing w:after="0" w:line="240" w:lineRule="auto"/>
              <w:jc w:val="center"/>
              <w:rPr>
                <w:b/>
                <w:szCs w:val="24"/>
              </w:rPr>
            </w:pPr>
            <w:proofErr w:type="spellStart"/>
            <w:r w:rsidRPr="00B33876">
              <w:rPr>
                <w:b/>
                <w:szCs w:val="24"/>
              </w:rPr>
              <w:t>Cutoff</w:t>
            </w:r>
            <w:proofErr w:type="spellEnd"/>
          </w:p>
        </w:tc>
      </w:tr>
      <w:tr w:rsidR="004A51F0" w:rsidRPr="00720BCE" w:rsidTr="008A66D8">
        <w:trPr>
          <w:trHeight w:val="276"/>
        </w:trPr>
        <w:tc>
          <w:tcPr>
            <w:tcW w:w="456" w:type="pct"/>
            <w:tcBorders>
              <w:top w:val="single" w:sz="12" w:space="0" w:color="auto"/>
            </w:tcBorders>
            <w:vAlign w:val="center"/>
          </w:tcPr>
          <w:p w:rsidR="004A51F0" w:rsidRPr="00720BCE" w:rsidRDefault="004A51F0" w:rsidP="008A66D8">
            <w:pPr>
              <w:spacing w:after="0" w:line="240" w:lineRule="auto"/>
              <w:jc w:val="center"/>
              <w:rPr>
                <w:rFonts w:cs="Arial"/>
                <w:sz w:val="20"/>
              </w:rPr>
            </w:pPr>
            <w:r>
              <w:rPr>
                <w:rFonts w:cs="Arial"/>
                <w:sz w:val="20"/>
              </w:rPr>
              <w:t>1</w:t>
            </w:r>
          </w:p>
        </w:tc>
        <w:tc>
          <w:tcPr>
            <w:tcW w:w="855"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w:t>
            </w:r>
          </w:p>
        </w:tc>
        <w:tc>
          <w:tcPr>
            <w:tcW w:w="600"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82</w:t>
            </w:r>
          </w:p>
        </w:tc>
        <w:tc>
          <w:tcPr>
            <w:tcW w:w="266"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15</w:t>
            </w:r>
          </w:p>
        </w:tc>
        <w:tc>
          <w:tcPr>
            <w:tcW w:w="869"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8.84</w:t>
            </w:r>
          </w:p>
        </w:tc>
        <w:tc>
          <w:tcPr>
            <w:tcW w:w="567"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86.04</w:t>
            </w:r>
          </w:p>
        </w:tc>
        <w:tc>
          <w:tcPr>
            <w:tcW w:w="869"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0.993</w:t>
            </w:r>
          </w:p>
        </w:tc>
        <w:tc>
          <w:tcPr>
            <w:tcW w:w="518" w:type="pct"/>
            <w:tcBorders>
              <w:top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OK</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sidRPr="00720BCE">
              <w:rPr>
                <w:rFonts w:cs="Arial"/>
                <w:sz w:val="20"/>
              </w:rPr>
              <w:t>2</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6</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82</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17</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9.50</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95.93</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0.007</w:t>
            </w:r>
          </w:p>
        </w:tc>
        <w:tc>
          <w:tcPr>
            <w:tcW w:w="518"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Pr>
                <w:rFonts w:cs="Arial"/>
                <w:sz w:val="20"/>
              </w:rPr>
              <w:t>3</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4</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82</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15</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11.55</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106.02</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w:t>
            </w:r>
          </w:p>
        </w:tc>
        <w:tc>
          <w:tcPr>
            <w:tcW w:w="518" w:type="pct"/>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Pr>
                <w:rFonts w:cs="Arial"/>
                <w:sz w:val="20"/>
              </w:rPr>
              <w:t>4</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3</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82</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16</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11.44</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107.20</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w:t>
            </w:r>
          </w:p>
        </w:tc>
        <w:tc>
          <w:tcPr>
            <w:tcW w:w="518" w:type="pct"/>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r w:rsidR="004A51F0" w:rsidRPr="00720BCE" w:rsidTr="008A66D8">
        <w:trPr>
          <w:trHeight w:val="276"/>
        </w:trPr>
        <w:tc>
          <w:tcPr>
            <w:tcW w:w="456" w:type="pct"/>
            <w:vAlign w:val="center"/>
          </w:tcPr>
          <w:p w:rsidR="004A51F0" w:rsidRPr="00720BCE" w:rsidRDefault="004A51F0" w:rsidP="008A66D8">
            <w:pPr>
              <w:spacing w:after="0" w:line="240" w:lineRule="auto"/>
              <w:jc w:val="center"/>
              <w:rPr>
                <w:rFonts w:cs="Arial"/>
                <w:sz w:val="20"/>
              </w:rPr>
            </w:pPr>
            <w:r>
              <w:rPr>
                <w:rFonts w:cs="Arial"/>
                <w:sz w:val="20"/>
              </w:rPr>
              <w:t>5</w:t>
            </w:r>
          </w:p>
        </w:tc>
        <w:tc>
          <w:tcPr>
            <w:tcW w:w="855"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5</w:t>
            </w:r>
          </w:p>
        </w:tc>
        <w:tc>
          <w:tcPr>
            <w:tcW w:w="600"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82</w:t>
            </w:r>
          </w:p>
        </w:tc>
        <w:tc>
          <w:tcPr>
            <w:tcW w:w="266"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14</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10.97</w:t>
            </w:r>
          </w:p>
        </w:tc>
        <w:tc>
          <w:tcPr>
            <w:tcW w:w="567"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109.76</w:t>
            </w:r>
          </w:p>
        </w:tc>
        <w:tc>
          <w:tcPr>
            <w:tcW w:w="869" w:type="pct"/>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w:t>
            </w:r>
          </w:p>
        </w:tc>
        <w:tc>
          <w:tcPr>
            <w:tcW w:w="518" w:type="pct"/>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r w:rsidR="004A51F0" w:rsidRPr="00720BCE" w:rsidTr="008A66D8">
        <w:trPr>
          <w:trHeight w:val="276"/>
        </w:trPr>
        <w:tc>
          <w:tcPr>
            <w:tcW w:w="456" w:type="pct"/>
            <w:tcBorders>
              <w:bottom w:val="single" w:sz="12" w:space="0" w:color="auto"/>
            </w:tcBorders>
            <w:vAlign w:val="center"/>
          </w:tcPr>
          <w:p w:rsidR="004A51F0" w:rsidRPr="00720BCE" w:rsidRDefault="004A51F0" w:rsidP="008A66D8">
            <w:pPr>
              <w:spacing w:after="0" w:line="240" w:lineRule="auto"/>
              <w:jc w:val="center"/>
              <w:rPr>
                <w:rFonts w:cs="Arial"/>
                <w:sz w:val="20"/>
              </w:rPr>
            </w:pPr>
            <w:r>
              <w:rPr>
                <w:rFonts w:cs="Arial"/>
                <w:sz w:val="20"/>
              </w:rPr>
              <w:t>6</w:t>
            </w:r>
          </w:p>
        </w:tc>
        <w:tc>
          <w:tcPr>
            <w:tcW w:w="855"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2</w:t>
            </w:r>
          </w:p>
        </w:tc>
        <w:tc>
          <w:tcPr>
            <w:tcW w:w="600"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82</w:t>
            </w:r>
          </w:p>
        </w:tc>
        <w:tc>
          <w:tcPr>
            <w:tcW w:w="266"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14</w:t>
            </w:r>
          </w:p>
        </w:tc>
        <w:tc>
          <w:tcPr>
            <w:tcW w:w="869"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19.59</w:t>
            </w:r>
          </w:p>
        </w:tc>
        <w:tc>
          <w:tcPr>
            <w:tcW w:w="567"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149.31</w:t>
            </w:r>
          </w:p>
        </w:tc>
        <w:tc>
          <w:tcPr>
            <w:tcW w:w="869" w:type="pct"/>
            <w:tcBorders>
              <w:bottom w:val="single" w:sz="12" w:space="0" w:color="auto"/>
            </w:tcBorders>
            <w:vAlign w:val="bottom"/>
          </w:tcPr>
          <w:p w:rsidR="004A51F0" w:rsidRPr="00720BCE" w:rsidRDefault="004A51F0" w:rsidP="008A66D8">
            <w:pPr>
              <w:spacing w:after="0" w:line="240" w:lineRule="auto"/>
              <w:jc w:val="center"/>
              <w:rPr>
                <w:rFonts w:cs="Arial"/>
                <w:sz w:val="20"/>
              </w:rPr>
            </w:pPr>
            <w:r>
              <w:rPr>
                <w:rFonts w:ascii="Calibri" w:hAnsi="Calibri"/>
                <w:color w:val="000000"/>
                <w:szCs w:val="22"/>
              </w:rPr>
              <w:t>0</w:t>
            </w:r>
          </w:p>
        </w:tc>
        <w:tc>
          <w:tcPr>
            <w:tcW w:w="518" w:type="pct"/>
            <w:tcBorders>
              <w:bottom w:val="single" w:sz="12" w:space="0" w:color="auto"/>
            </w:tcBorders>
            <w:vAlign w:val="bottom"/>
          </w:tcPr>
          <w:p w:rsidR="004A51F0" w:rsidRPr="00720BCE" w:rsidRDefault="004A51F0" w:rsidP="008A66D8">
            <w:pPr>
              <w:spacing w:after="0" w:line="240" w:lineRule="auto"/>
              <w:jc w:val="center"/>
              <w:rPr>
                <w:sz w:val="20"/>
              </w:rPr>
            </w:pPr>
            <w:r>
              <w:rPr>
                <w:rFonts w:ascii="Calibri" w:hAnsi="Calibri"/>
                <w:color w:val="000000"/>
                <w:szCs w:val="22"/>
              </w:rPr>
              <w:t>-</w:t>
            </w:r>
          </w:p>
        </w:tc>
      </w:tr>
    </w:tbl>
    <w:p w:rsidR="004A51F0" w:rsidRDefault="004A51F0" w:rsidP="004A51F0">
      <w:pPr>
        <w:spacing w:line="240" w:lineRule="auto"/>
        <w:rPr>
          <w:szCs w:val="24"/>
        </w:rPr>
      </w:pPr>
      <w:proofErr w:type="spellStart"/>
      <w:r w:rsidRPr="00720BCE">
        <w:rPr>
          <w:i/>
          <w:szCs w:val="24"/>
        </w:rPr>
        <w:t>AICc</w:t>
      </w:r>
      <w:proofErr w:type="spellEnd"/>
      <w:r w:rsidRPr="00720BCE">
        <w:rPr>
          <w:szCs w:val="24"/>
        </w:rPr>
        <w:t xml:space="preserve">: corrected </w:t>
      </w:r>
      <w:proofErr w:type="spellStart"/>
      <w:r w:rsidRPr="00720BCE">
        <w:rPr>
          <w:szCs w:val="24"/>
        </w:rPr>
        <w:t>Akaike</w:t>
      </w:r>
      <w:proofErr w:type="spellEnd"/>
      <w:r w:rsidRPr="00720BCE">
        <w:rPr>
          <w:szCs w:val="24"/>
        </w:rPr>
        <w:t xml:space="preserve"> information criterion, </w:t>
      </w:r>
      <w:r w:rsidRPr="00720BCE">
        <w:rPr>
          <w:i/>
          <w:szCs w:val="24"/>
        </w:rPr>
        <w:t>SSR</w:t>
      </w:r>
      <w:r w:rsidRPr="00720BCE">
        <w:rPr>
          <w:szCs w:val="24"/>
        </w:rPr>
        <w:t xml:space="preserve">: sum of squared residuals, </w:t>
      </w:r>
      <w:r w:rsidRPr="00720BCE">
        <w:rPr>
          <w:i/>
          <w:szCs w:val="24"/>
        </w:rPr>
        <w:t>n</w:t>
      </w:r>
      <w:r w:rsidRPr="00720BCE">
        <w:rPr>
          <w:szCs w:val="24"/>
        </w:rPr>
        <w:t xml:space="preserve"> number of data points, </w:t>
      </w:r>
      <w:proofErr w:type="gramStart"/>
      <w:r w:rsidRPr="00720BCE">
        <w:rPr>
          <w:i/>
          <w:szCs w:val="24"/>
        </w:rPr>
        <w:t>k</w:t>
      </w:r>
      <w:proofErr w:type="gramEnd"/>
      <w:r>
        <w:rPr>
          <w:szCs w:val="24"/>
        </w:rPr>
        <w:t xml:space="preserve"> number of fitted parameters.</w:t>
      </w:r>
    </w:p>
    <w:p w:rsidR="004A51F0" w:rsidRPr="00821914" w:rsidRDefault="004A51F0" w:rsidP="004A51F0">
      <w:pPr>
        <w:spacing w:after="0" w:line="240" w:lineRule="auto"/>
        <w:rPr>
          <w:szCs w:val="24"/>
        </w:rPr>
      </w:pPr>
      <w:r>
        <w:rPr>
          <w:szCs w:val="24"/>
        </w:rPr>
        <w:t xml:space="preserve">Thus, Model </w:t>
      </w:r>
      <w:proofErr w:type="spellStart"/>
      <w:r>
        <w:rPr>
          <w:szCs w:val="24"/>
        </w:rPr>
        <w:t>Nr</w:t>
      </w:r>
      <w:proofErr w:type="spellEnd"/>
      <w:r>
        <w:rPr>
          <w:szCs w:val="24"/>
        </w:rPr>
        <w:t>. 1, i.e. without p21-mediated Cdk2 regulation and Cdk2 activation inhibition, was selected and used for further analyses. The complete selected model is again depicted Figure S4 and described in details in the following section.</w:t>
      </w:r>
    </w:p>
    <w:p w:rsidR="00DE517E" w:rsidRDefault="00DE517E" w:rsidP="004A51F0">
      <w:pPr>
        <w:spacing w:after="0" w:line="240" w:lineRule="auto"/>
        <w:jc w:val="left"/>
        <w:rPr>
          <w:rFonts w:cs="Arial"/>
          <w:b/>
          <w:bCs/>
          <w:i/>
          <w:iCs/>
          <w:sz w:val="28"/>
          <w:szCs w:val="28"/>
        </w:rPr>
      </w:pPr>
    </w:p>
    <w:p w:rsidR="00DE517E" w:rsidRDefault="00DE517E" w:rsidP="00DE517E">
      <w:pPr>
        <w:rPr>
          <w:b/>
        </w:rPr>
      </w:pPr>
    </w:p>
    <w:p w:rsidR="00DE517E" w:rsidRPr="00DE517E" w:rsidRDefault="00DE517E" w:rsidP="00DE517E">
      <w:pPr>
        <w:rPr>
          <w:b/>
        </w:rPr>
      </w:pPr>
      <w:r w:rsidRPr="00DE517E">
        <w:rPr>
          <w:b/>
        </w:rPr>
        <w:lastRenderedPageBreak/>
        <w:t>References</w:t>
      </w:r>
    </w:p>
    <w:p w:rsidR="00DE517E" w:rsidRPr="00DE517E" w:rsidRDefault="00DE517E" w:rsidP="00DE517E">
      <w:pPr>
        <w:ind w:left="705" w:hanging="705"/>
        <w:rPr>
          <w:noProof/>
        </w:rPr>
      </w:pPr>
      <w:r>
        <w:rPr>
          <w:sz w:val="28"/>
        </w:rPr>
        <w:fldChar w:fldCharType="begin"/>
      </w:r>
      <w:r>
        <w:rPr>
          <w:sz w:val="28"/>
        </w:rPr>
        <w:instrText xml:space="preserve"> ADDIN EN.REFLIST </w:instrText>
      </w:r>
      <w:r>
        <w:rPr>
          <w:sz w:val="28"/>
        </w:rPr>
        <w:fldChar w:fldCharType="separate"/>
      </w:r>
      <w:bookmarkStart w:id="3" w:name="_ENREF_1"/>
      <w:r w:rsidRPr="00DE517E">
        <w:rPr>
          <w:noProof/>
        </w:rPr>
        <w:t>1.</w:t>
      </w:r>
      <w:r w:rsidRPr="00DE517E">
        <w:rPr>
          <w:noProof/>
        </w:rPr>
        <w:tab/>
        <w:t>Goldbeter A and Koshland DE, Jr. An amplified sensitivity arising from covalent modification in biological systems. Proc Natl Acad Sci U S A. 1981; 78(11):6840-6844.</w:t>
      </w:r>
      <w:bookmarkEnd w:id="3"/>
    </w:p>
    <w:p w:rsidR="00DE517E" w:rsidRPr="00DE517E" w:rsidRDefault="00DE517E" w:rsidP="00DE517E">
      <w:pPr>
        <w:ind w:left="705" w:hanging="705"/>
        <w:rPr>
          <w:noProof/>
        </w:rPr>
      </w:pPr>
      <w:bookmarkStart w:id="4" w:name="_ENREF_2"/>
      <w:r w:rsidRPr="00DE517E">
        <w:rPr>
          <w:noProof/>
        </w:rPr>
        <w:t>2.</w:t>
      </w:r>
      <w:r w:rsidRPr="00DE517E">
        <w:rPr>
          <w:noProof/>
        </w:rPr>
        <w:tab/>
        <w:t>Tyson JJ, Chen KC and Novak B. Sniffers, buzzers, toggles and blinkers: dynamics of regulatory and signaling pathways in the cell. Curr Opin Cell Biol. 2003; 15(2):221-231.</w:t>
      </w:r>
      <w:bookmarkEnd w:id="4"/>
    </w:p>
    <w:p w:rsidR="00DE517E" w:rsidRPr="00DE517E" w:rsidRDefault="00DE517E" w:rsidP="00DE517E">
      <w:pPr>
        <w:ind w:left="705" w:hanging="705"/>
        <w:rPr>
          <w:noProof/>
        </w:rPr>
      </w:pPr>
      <w:bookmarkStart w:id="5" w:name="_ENREF_3"/>
      <w:r w:rsidRPr="00DE517E">
        <w:rPr>
          <w:noProof/>
        </w:rPr>
        <w:t>3.</w:t>
      </w:r>
      <w:r w:rsidRPr="00DE517E">
        <w:rPr>
          <w:noProof/>
        </w:rPr>
        <w:tab/>
        <w:t>Burnham KP and Anderson DR. (2002). Model Selection and Multi-Model Inference: A Practical Information-theoretic Approach. (New York: Springer).</w:t>
      </w:r>
      <w:bookmarkEnd w:id="5"/>
    </w:p>
    <w:p w:rsidR="00DE517E" w:rsidRDefault="00DE517E" w:rsidP="00DE517E">
      <w:pPr>
        <w:rPr>
          <w:noProof/>
          <w:sz w:val="28"/>
        </w:rPr>
      </w:pPr>
    </w:p>
    <w:p w:rsidR="00332A5C" w:rsidRPr="004A51F0" w:rsidRDefault="00DE517E" w:rsidP="00DE517E">
      <w:pPr>
        <w:rPr>
          <w:sz w:val="28"/>
        </w:rPr>
      </w:pPr>
      <w:r>
        <w:rPr>
          <w:sz w:val="28"/>
        </w:rPr>
        <w:fldChar w:fldCharType="end"/>
      </w:r>
    </w:p>
    <w:sectPr w:rsidR="00332A5C" w:rsidRPr="004A51F0" w:rsidSect="00A64592">
      <w:headerReference w:type="default" r:id="rId9"/>
      <w:pgSz w:w="11906" w:h="16838"/>
      <w:pgMar w:top="1417" w:right="1417" w:bottom="1134"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1F0" w:rsidRDefault="004A51F0" w:rsidP="00A64592">
      <w:r>
        <w:separator/>
      </w:r>
    </w:p>
  </w:endnote>
  <w:endnote w:type="continuationSeparator" w:id="0">
    <w:p w:rsidR="004A51F0" w:rsidRDefault="004A51F0" w:rsidP="00A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1F0" w:rsidRDefault="004A51F0" w:rsidP="00A64592">
      <w:r>
        <w:separator/>
      </w:r>
    </w:p>
  </w:footnote>
  <w:footnote w:type="continuationSeparator" w:id="0">
    <w:p w:rsidR="004A51F0" w:rsidRDefault="004A51F0" w:rsidP="00A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100247"/>
      <w:docPartObj>
        <w:docPartGallery w:val="Page Numbers (Top of Page)"/>
        <w:docPartUnique/>
      </w:docPartObj>
    </w:sdtPr>
    <w:sdtEndPr/>
    <w:sdtContent>
      <w:p w:rsidR="00A64592" w:rsidRDefault="00A64592">
        <w:pPr>
          <w:pStyle w:val="Kopfzeile"/>
          <w:jc w:val="right"/>
        </w:pPr>
        <w:r>
          <w:fldChar w:fldCharType="begin"/>
        </w:r>
        <w:r>
          <w:instrText>PAGE   \* MERGEFORMAT</w:instrText>
        </w:r>
        <w:r>
          <w:fldChar w:fldCharType="separate"/>
        </w:r>
        <w:r w:rsidR="006D5A10">
          <w:rPr>
            <w:noProof/>
          </w:rPr>
          <w:t>2</w:t>
        </w:r>
        <w:r>
          <w:fldChar w:fldCharType="end"/>
        </w:r>
      </w:p>
    </w:sdtContent>
  </w:sdt>
  <w:p w:rsidR="00A64592" w:rsidRDefault="00A6459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ging&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9w0vd0wnz55sie5eva5a0xv9555xeafrp2t&quot;&gt;FullBib&lt;record-ids&gt;&lt;item&gt;5506&lt;/item&gt;&lt;item&gt;5523&lt;/item&gt;&lt;item&gt;10900&lt;/item&gt;&lt;/record-ids&gt;&lt;/item&gt;&lt;/Libraries&gt;"/>
  </w:docVars>
  <w:rsids>
    <w:rsidRoot w:val="004A51F0"/>
    <w:rsid w:val="001278BC"/>
    <w:rsid w:val="00236B3B"/>
    <w:rsid w:val="00332A5C"/>
    <w:rsid w:val="00376232"/>
    <w:rsid w:val="004A51F0"/>
    <w:rsid w:val="0062337D"/>
    <w:rsid w:val="006D5A10"/>
    <w:rsid w:val="007F45D7"/>
    <w:rsid w:val="00A64592"/>
    <w:rsid w:val="00AA3C33"/>
    <w:rsid w:val="00CD7994"/>
    <w:rsid w:val="00DA63D2"/>
    <w:rsid w:val="00DB0025"/>
    <w:rsid w:val="00DE517E"/>
    <w:rsid w:val="00FF0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A51F0"/>
    <w:pPr>
      <w:spacing w:after="120" w:line="276" w:lineRule="auto"/>
      <w:jc w:val="both"/>
    </w:pPr>
    <w:rPr>
      <w:rFonts w:ascii="Arial" w:hAnsi="Arial"/>
      <w:sz w:val="22"/>
      <w:lang w:val="en-GB"/>
    </w:rPr>
  </w:style>
  <w:style w:type="paragraph" w:styleId="berschrift2">
    <w:name w:val="heading 2"/>
    <w:basedOn w:val="Standard"/>
    <w:next w:val="Standard"/>
    <w:link w:val="berschrift2Zchn"/>
    <w:qFormat/>
    <w:rsid w:val="004A51F0"/>
    <w:pPr>
      <w:keepNext/>
      <w:spacing w:before="240" w:after="60"/>
      <w:outlineLvl w:val="1"/>
    </w:pPr>
    <w:rPr>
      <w:rFonts w:cs="Arial"/>
      <w:b/>
      <w:bCs/>
      <w:i/>
      <w:iCs/>
      <w:sz w:val="28"/>
      <w:szCs w:val="28"/>
    </w:rPr>
  </w:style>
  <w:style w:type="paragraph" w:styleId="berschrift3">
    <w:name w:val="heading 3"/>
    <w:basedOn w:val="Standard"/>
    <w:next w:val="Standard"/>
    <w:link w:val="berschrift3Zchn"/>
    <w:semiHidden/>
    <w:unhideWhenUsed/>
    <w:qFormat/>
    <w:rsid w:val="004A5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64592"/>
    <w:pPr>
      <w:tabs>
        <w:tab w:val="center" w:pos="4536"/>
        <w:tab w:val="right" w:pos="9072"/>
      </w:tabs>
      <w:spacing w:after="0" w:line="240" w:lineRule="auto"/>
      <w:jc w:val="left"/>
    </w:pPr>
    <w:rPr>
      <w:rFonts w:ascii="Lucida Sans" w:hAnsi="Lucida Sans"/>
      <w:lang w:val="de-DE"/>
    </w:rPr>
  </w:style>
  <w:style w:type="character" w:customStyle="1" w:styleId="KopfzeileZchn">
    <w:name w:val="Kopfzeile Zchn"/>
    <w:basedOn w:val="Absatz-Standardschriftart"/>
    <w:link w:val="Kopfzeile"/>
    <w:uiPriority w:val="99"/>
    <w:rsid w:val="00A64592"/>
    <w:rPr>
      <w:rFonts w:ascii="Lucida Sans" w:hAnsi="Lucida Sans"/>
      <w:sz w:val="22"/>
    </w:rPr>
  </w:style>
  <w:style w:type="paragraph" w:styleId="Fuzeile">
    <w:name w:val="footer"/>
    <w:basedOn w:val="Standard"/>
    <w:link w:val="FuzeileZchn"/>
    <w:rsid w:val="00A64592"/>
    <w:pPr>
      <w:tabs>
        <w:tab w:val="center" w:pos="4536"/>
        <w:tab w:val="right" w:pos="9072"/>
      </w:tabs>
      <w:spacing w:after="0" w:line="240" w:lineRule="auto"/>
      <w:jc w:val="left"/>
    </w:pPr>
    <w:rPr>
      <w:rFonts w:ascii="Lucida Sans" w:hAnsi="Lucida Sans"/>
      <w:lang w:val="de-DE"/>
    </w:rPr>
  </w:style>
  <w:style w:type="character" w:customStyle="1" w:styleId="FuzeileZchn">
    <w:name w:val="Fußzeile Zchn"/>
    <w:basedOn w:val="Absatz-Standardschriftart"/>
    <w:link w:val="Fuzeile"/>
    <w:rsid w:val="00A64592"/>
    <w:rPr>
      <w:rFonts w:ascii="Lucida Sans" w:hAnsi="Lucida Sans"/>
      <w:sz w:val="22"/>
    </w:rPr>
  </w:style>
  <w:style w:type="character" w:customStyle="1" w:styleId="berschrift2Zchn">
    <w:name w:val="Überschrift 2 Zchn"/>
    <w:basedOn w:val="Absatz-Standardschriftart"/>
    <w:link w:val="berschrift2"/>
    <w:rsid w:val="004A51F0"/>
    <w:rPr>
      <w:rFonts w:ascii="Arial" w:hAnsi="Arial" w:cs="Arial"/>
      <w:b/>
      <w:bCs/>
      <w:i/>
      <w:iCs/>
      <w:sz w:val="28"/>
      <w:szCs w:val="28"/>
      <w:lang w:val="en-GB"/>
    </w:rPr>
  </w:style>
  <w:style w:type="table" w:styleId="Tabellenraster">
    <w:name w:val="Table Grid"/>
    <w:basedOn w:val="NormaleTabelle"/>
    <w:uiPriority w:val="59"/>
    <w:rsid w:val="004A5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4A51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A51F0"/>
    <w:rPr>
      <w:rFonts w:ascii="Tahoma" w:hAnsi="Tahoma" w:cs="Tahoma"/>
      <w:sz w:val="16"/>
      <w:szCs w:val="16"/>
      <w:lang w:val="en-GB"/>
    </w:rPr>
  </w:style>
  <w:style w:type="character" w:customStyle="1" w:styleId="berschrift3Zchn">
    <w:name w:val="Überschrift 3 Zchn"/>
    <w:basedOn w:val="Absatz-Standardschriftart"/>
    <w:link w:val="berschrift3"/>
    <w:semiHidden/>
    <w:rsid w:val="004A51F0"/>
    <w:rPr>
      <w:rFonts w:asciiTheme="majorHAnsi" w:eastAsiaTheme="majorEastAsia" w:hAnsiTheme="majorHAnsi" w:cstheme="majorBidi"/>
      <w:b/>
      <w:bCs/>
      <w:color w:val="4F81BD" w:themeColor="accent1"/>
      <w:sz w:val="22"/>
      <w:lang w:val="en-GB"/>
    </w:rPr>
  </w:style>
  <w:style w:type="character" w:styleId="Hyperlink">
    <w:name w:val="Hyperlink"/>
    <w:basedOn w:val="Absatz-Standardschriftart"/>
    <w:rsid w:val="00DE51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A51F0"/>
    <w:pPr>
      <w:spacing w:after="120" w:line="276" w:lineRule="auto"/>
      <w:jc w:val="both"/>
    </w:pPr>
    <w:rPr>
      <w:rFonts w:ascii="Arial" w:hAnsi="Arial"/>
      <w:sz w:val="22"/>
      <w:lang w:val="en-GB"/>
    </w:rPr>
  </w:style>
  <w:style w:type="paragraph" w:styleId="berschrift2">
    <w:name w:val="heading 2"/>
    <w:basedOn w:val="Standard"/>
    <w:next w:val="Standard"/>
    <w:link w:val="berschrift2Zchn"/>
    <w:qFormat/>
    <w:rsid w:val="004A51F0"/>
    <w:pPr>
      <w:keepNext/>
      <w:spacing w:before="240" w:after="60"/>
      <w:outlineLvl w:val="1"/>
    </w:pPr>
    <w:rPr>
      <w:rFonts w:cs="Arial"/>
      <w:b/>
      <w:bCs/>
      <w:i/>
      <w:iCs/>
      <w:sz w:val="28"/>
      <w:szCs w:val="28"/>
    </w:rPr>
  </w:style>
  <w:style w:type="paragraph" w:styleId="berschrift3">
    <w:name w:val="heading 3"/>
    <w:basedOn w:val="Standard"/>
    <w:next w:val="Standard"/>
    <w:link w:val="berschrift3Zchn"/>
    <w:semiHidden/>
    <w:unhideWhenUsed/>
    <w:qFormat/>
    <w:rsid w:val="004A5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64592"/>
    <w:pPr>
      <w:tabs>
        <w:tab w:val="center" w:pos="4536"/>
        <w:tab w:val="right" w:pos="9072"/>
      </w:tabs>
      <w:spacing w:after="0" w:line="240" w:lineRule="auto"/>
      <w:jc w:val="left"/>
    </w:pPr>
    <w:rPr>
      <w:rFonts w:ascii="Lucida Sans" w:hAnsi="Lucida Sans"/>
      <w:lang w:val="de-DE"/>
    </w:rPr>
  </w:style>
  <w:style w:type="character" w:customStyle="1" w:styleId="KopfzeileZchn">
    <w:name w:val="Kopfzeile Zchn"/>
    <w:basedOn w:val="Absatz-Standardschriftart"/>
    <w:link w:val="Kopfzeile"/>
    <w:uiPriority w:val="99"/>
    <w:rsid w:val="00A64592"/>
    <w:rPr>
      <w:rFonts w:ascii="Lucida Sans" w:hAnsi="Lucida Sans"/>
      <w:sz w:val="22"/>
    </w:rPr>
  </w:style>
  <w:style w:type="paragraph" w:styleId="Fuzeile">
    <w:name w:val="footer"/>
    <w:basedOn w:val="Standard"/>
    <w:link w:val="FuzeileZchn"/>
    <w:rsid w:val="00A64592"/>
    <w:pPr>
      <w:tabs>
        <w:tab w:val="center" w:pos="4536"/>
        <w:tab w:val="right" w:pos="9072"/>
      </w:tabs>
      <w:spacing w:after="0" w:line="240" w:lineRule="auto"/>
      <w:jc w:val="left"/>
    </w:pPr>
    <w:rPr>
      <w:rFonts w:ascii="Lucida Sans" w:hAnsi="Lucida Sans"/>
      <w:lang w:val="de-DE"/>
    </w:rPr>
  </w:style>
  <w:style w:type="character" w:customStyle="1" w:styleId="FuzeileZchn">
    <w:name w:val="Fußzeile Zchn"/>
    <w:basedOn w:val="Absatz-Standardschriftart"/>
    <w:link w:val="Fuzeile"/>
    <w:rsid w:val="00A64592"/>
    <w:rPr>
      <w:rFonts w:ascii="Lucida Sans" w:hAnsi="Lucida Sans"/>
      <w:sz w:val="22"/>
    </w:rPr>
  </w:style>
  <w:style w:type="character" w:customStyle="1" w:styleId="berschrift2Zchn">
    <w:name w:val="Überschrift 2 Zchn"/>
    <w:basedOn w:val="Absatz-Standardschriftart"/>
    <w:link w:val="berschrift2"/>
    <w:rsid w:val="004A51F0"/>
    <w:rPr>
      <w:rFonts w:ascii="Arial" w:hAnsi="Arial" w:cs="Arial"/>
      <w:b/>
      <w:bCs/>
      <w:i/>
      <w:iCs/>
      <w:sz w:val="28"/>
      <w:szCs w:val="28"/>
      <w:lang w:val="en-GB"/>
    </w:rPr>
  </w:style>
  <w:style w:type="table" w:styleId="Tabellenraster">
    <w:name w:val="Table Grid"/>
    <w:basedOn w:val="NormaleTabelle"/>
    <w:uiPriority w:val="59"/>
    <w:rsid w:val="004A5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4A51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A51F0"/>
    <w:rPr>
      <w:rFonts w:ascii="Tahoma" w:hAnsi="Tahoma" w:cs="Tahoma"/>
      <w:sz w:val="16"/>
      <w:szCs w:val="16"/>
      <w:lang w:val="en-GB"/>
    </w:rPr>
  </w:style>
  <w:style w:type="character" w:customStyle="1" w:styleId="berschrift3Zchn">
    <w:name w:val="Überschrift 3 Zchn"/>
    <w:basedOn w:val="Absatz-Standardschriftart"/>
    <w:link w:val="berschrift3"/>
    <w:semiHidden/>
    <w:rsid w:val="004A51F0"/>
    <w:rPr>
      <w:rFonts w:asciiTheme="majorHAnsi" w:eastAsiaTheme="majorEastAsia" w:hAnsiTheme="majorHAnsi" w:cstheme="majorBidi"/>
      <w:b/>
      <w:bCs/>
      <w:color w:val="4F81BD" w:themeColor="accent1"/>
      <w:sz w:val="22"/>
      <w:lang w:val="en-GB"/>
    </w:rPr>
  </w:style>
  <w:style w:type="character" w:styleId="Hyperlink">
    <w:name w:val="Hyperlink"/>
    <w:basedOn w:val="Absatz-Standardschriftart"/>
    <w:rsid w:val="00DE51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B8AE9905</Template>
  <TotalTime>0</TotalTime>
  <Pages>3</Pages>
  <Words>888</Words>
  <Characters>7020</Characters>
  <Application>Microsoft Office Word</Application>
  <DocSecurity>0</DocSecurity>
  <Lines>58</Lines>
  <Paragraphs>15</Paragraphs>
  <ScaleCrop>false</ScaleCrop>
  <HeadingPairs>
    <vt:vector size="2" baseType="variant">
      <vt:variant>
        <vt:lpstr>Titel</vt:lpstr>
      </vt:variant>
      <vt:variant>
        <vt:i4>1</vt:i4>
      </vt:variant>
    </vt:vector>
  </HeadingPairs>
  <TitlesOfParts>
    <vt:vector size="1" baseType="lpstr">
      <vt:lpstr>Normal.dot</vt:lpstr>
    </vt:vector>
  </TitlesOfParts>
  <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creator>Schaber, Jörg</dc:creator>
  <cp:lastModifiedBy>Schaber, Jörg</cp:lastModifiedBy>
  <cp:revision>5</cp:revision>
  <dcterms:created xsi:type="dcterms:W3CDTF">2015-09-17T14:49:00Z</dcterms:created>
  <dcterms:modified xsi:type="dcterms:W3CDTF">2015-09-18T15:06:00Z</dcterms:modified>
</cp:coreProperties>
</file>