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D1" w:rsidRPr="00770732" w:rsidRDefault="00EC20D1" w:rsidP="00EC20D1">
      <w:pPr>
        <w:spacing w:line="360" w:lineRule="auto"/>
      </w:pPr>
      <w:r w:rsidRPr="00770732">
        <w:t>Supplementary Text to</w:t>
      </w:r>
    </w:p>
    <w:p w:rsidR="00671298" w:rsidRPr="00770732" w:rsidRDefault="00671298" w:rsidP="0067129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sz w:val="24"/>
          <w:szCs w:val="24"/>
        </w:rPr>
      </w:pPr>
      <w:r w:rsidRPr="00770732">
        <w:rPr>
          <w:b/>
          <w:sz w:val="24"/>
          <w:szCs w:val="24"/>
        </w:rPr>
        <w:t xml:space="preserve">Mathematical modeling identifies Lck as a potential mediator for PD-1 induced inhibition of early TCR signaling </w:t>
      </w:r>
    </w:p>
    <w:p w:rsidR="00EC20D1" w:rsidRPr="00770732" w:rsidRDefault="00EC20D1" w:rsidP="00EC20D1">
      <w:pPr>
        <w:spacing w:line="360" w:lineRule="auto"/>
        <w:jc w:val="center"/>
        <w:rPr>
          <w:rFonts w:cstheme="minorHAnsi"/>
          <w:vertAlign w:val="superscript"/>
        </w:rPr>
      </w:pPr>
      <w:r w:rsidRPr="00770732">
        <w:rPr>
          <w:rFonts w:cstheme="minorHAnsi"/>
        </w:rPr>
        <w:t>Theinmozhi Arulraj</w:t>
      </w:r>
      <w:r w:rsidRPr="00770732">
        <w:rPr>
          <w:rFonts w:cstheme="minorHAnsi"/>
          <w:vertAlign w:val="superscript"/>
        </w:rPr>
        <w:t>1</w:t>
      </w:r>
      <w:r w:rsidR="00AC57E9">
        <w:rPr>
          <w:rFonts w:cstheme="minorHAnsi"/>
        </w:rPr>
        <w:t xml:space="preserve">, </w:t>
      </w:r>
      <w:r w:rsidRPr="00770732">
        <w:rPr>
          <w:rFonts w:cstheme="minorHAnsi"/>
        </w:rPr>
        <w:t>Debashis Barik</w:t>
      </w:r>
      <w:r w:rsidRPr="00770732">
        <w:rPr>
          <w:rFonts w:cstheme="minorHAnsi"/>
          <w:vertAlign w:val="superscript"/>
        </w:rPr>
        <w:t>2*</w:t>
      </w:r>
    </w:p>
    <w:p w:rsidR="00EC20D1" w:rsidRPr="00770732" w:rsidRDefault="00EC20D1" w:rsidP="00EC20D1">
      <w:pPr>
        <w:spacing w:line="360" w:lineRule="auto"/>
        <w:jc w:val="center"/>
        <w:rPr>
          <w:rFonts w:cstheme="minorHAnsi"/>
          <w:vertAlign w:val="superscript"/>
        </w:rPr>
      </w:pPr>
      <w:r w:rsidRPr="00770732">
        <w:rPr>
          <w:rFonts w:cstheme="minorHAnsi"/>
          <w:vertAlign w:val="superscript"/>
        </w:rPr>
        <w:t>1</w:t>
      </w:r>
      <w:r w:rsidRPr="00770732">
        <w:rPr>
          <w:rFonts w:cstheme="minorHAnsi"/>
        </w:rPr>
        <w:t>Centre for Systems Biology, School of Life Sciences, University of Hyderabad, Central University P.O., Hyderabad, 500046, Telangana, India</w:t>
      </w:r>
    </w:p>
    <w:p w:rsidR="00EC20D1" w:rsidRPr="00770732" w:rsidRDefault="00EC20D1" w:rsidP="00EC20D1">
      <w:pPr>
        <w:spacing w:line="360" w:lineRule="auto"/>
        <w:jc w:val="center"/>
        <w:rPr>
          <w:rFonts w:cstheme="minorHAnsi"/>
          <w:vertAlign w:val="superscript"/>
        </w:rPr>
      </w:pPr>
      <w:r w:rsidRPr="00770732">
        <w:rPr>
          <w:rFonts w:cstheme="minorHAnsi"/>
          <w:vertAlign w:val="superscript"/>
        </w:rPr>
        <w:t>2</w:t>
      </w:r>
      <w:r w:rsidRPr="00770732">
        <w:rPr>
          <w:rFonts w:cstheme="minorHAnsi"/>
        </w:rPr>
        <w:t>School of Chemistry, University of Hyderabad, Central University P.O., Hyderabad, 500046, Telangana, India</w:t>
      </w:r>
    </w:p>
    <w:p w:rsidR="00EC20D1" w:rsidRPr="00770732" w:rsidRDefault="00EC20D1" w:rsidP="00EC20D1">
      <w:pPr>
        <w:spacing w:line="480" w:lineRule="auto"/>
        <w:jc w:val="both"/>
        <w:rPr>
          <w:rFonts w:cstheme="minorHAnsi"/>
          <w:b/>
        </w:rPr>
      </w:pPr>
      <w:r w:rsidRPr="00770732">
        <w:rPr>
          <w:rFonts w:cstheme="minorHAnsi"/>
          <w:vertAlign w:val="superscript"/>
        </w:rPr>
        <w:t>*</w:t>
      </w:r>
      <w:r w:rsidRPr="00770732">
        <w:rPr>
          <w:rFonts w:cstheme="minorHAnsi"/>
        </w:rPr>
        <w:t xml:space="preserve">Corresponding author, Email address: </w:t>
      </w:r>
      <w:hyperlink r:id="rId8" w:history="1">
        <w:r w:rsidRPr="00770732">
          <w:rPr>
            <w:rStyle w:val="Hyperlink"/>
            <w:rFonts w:cstheme="minorHAnsi"/>
          </w:rPr>
          <w:t>dbariksc@uohyd.ac.in</w:t>
        </w:r>
      </w:hyperlink>
    </w:p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6D4625" w:rsidRDefault="006D4625" w:rsidP="006D4625"/>
    <w:p w:rsidR="00EC20D1" w:rsidRPr="006D4625" w:rsidRDefault="00EC20D1" w:rsidP="006D4625">
      <w:r w:rsidRPr="00770732">
        <w:rPr>
          <w:rFonts w:cstheme="minorHAnsi"/>
          <w:b/>
        </w:rPr>
        <w:lastRenderedPageBreak/>
        <w:t>Table</w:t>
      </w:r>
      <w:r w:rsidR="006D4625">
        <w:rPr>
          <w:rFonts w:cstheme="minorHAnsi"/>
          <w:b/>
        </w:rPr>
        <w:t xml:space="preserve"> A</w:t>
      </w:r>
      <w:r w:rsidRPr="00770732">
        <w:rPr>
          <w:rFonts w:cstheme="minorHAnsi"/>
          <w:b/>
        </w:rPr>
        <w:t>:</w:t>
      </w:r>
      <w:r w:rsidRPr="00770732">
        <w:rPr>
          <w:rFonts w:cstheme="minorHAnsi"/>
        </w:rPr>
        <w:t xml:space="preserve"> Description of model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015"/>
      </w:tblGrid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70732">
              <w:rPr>
                <w:rFonts w:cstheme="minorHAnsi"/>
                <w:b/>
              </w:rPr>
              <w:t>Model Component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70732">
              <w:rPr>
                <w:rFonts w:cstheme="minorHAnsi"/>
                <w:b/>
              </w:rPr>
              <w:t>Description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Lck</w:t>
            </w:r>
            <w:r w:rsidRPr="00770732">
              <w:rPr>
                <w:rFonts w:cstheme="minorHAnsi"/>
                <w:vertAlign w:val="subscript"/>
              </w:rPr>
              <w:t>yiya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Lck phosphorylated at both Y394 and Y505 (Active)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Lck</w:t>
            </w:r>
            <w:r w:rsidRPr="00770732">
              <w:rPr>
                <w:rFonts w:cstheme="minorHAnsi"/>
                <w:vertAlign w:val="subscript"/>
              </w:rPr>
              <w:t>yi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Lck phosphorylated only at Y505 (Inactive)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3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Lck</w:t>
            </w:r>
            <w:r w:rsidRPr="00770732">
              <w:rPr>
                <w:rFonts w:cstheme="minorHAnsi"/>
                <w:vertAlign w:val="subscript"/>
              </w:rPr>
              <w:t>ya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Lck phosphorylated only at Y394 (Active)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4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Lck</w:t>
            </w:r>
            <w:r w:rsidRPr="00770732">
              <w:rPr>
                <w:rFonts w:cstheme="minorHAnsi"/>
                <w:vertAlign w:val="subscript"/>
              </w:rPr>
              <w:t>pi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Lck phosphorylated at both Y394 and Y505 (Inactive)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5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Lck</w:t>
            </w:r>
            <w:r w:rsidRPr="00770732">
              <w:rPr>
                <w:rFonts w:cstheme="minorHAnsi"/>
                <w:vertAlign w:val="subscript"/>
              </w:rPr>
              <w:t>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Unphosphorylated form of Lck (Inactive)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6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PD1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Unphosphorylated form of PD-1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7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PD1</w:t>
            </w:r>
            <w:r w:rsidRPr="00770732">
              <w:rPr>
                <w:rFonts w:cstheme="minorHAnsi"/>
                <w:vertAlign w:val="subscript"/>
              </w:rPr>
              <w:t>p1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Monophosphorylated PD-1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8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PD1</w:t>
            </w:r>
            <w:r w:rsidRPr="00770732">
              <w:rPr>
                <w:rFonts w:cstheme="minorHAnsi"/>
                <w:vertAlign w:val="subscript"/>
              </w:rPr>
              <w:t>p2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Diphosphorylated form of PD-1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9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Shp2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Free Shp2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10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CP</w:t>
            </w:r>
            <w:r w:rsidRPr="00770732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PD1</w:t>
            </w:r>
            <w:r w:rsidRPr="00770732">
              <w:rPr>
                <w:rFonts w:cstheme="minorHAnsi"/>
                <w:vertAlign w:val="subscript"/>
              </w:rPr>
              <w:t>p1</w:t>
            </w:r>
            <w:r w:rsidRPr="00770732">
              <w:rPr>
                <w:rFonts w:cstheme="minorHAnsi"/>
              </w:rPr>
              <w:t>/Shp2 complex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11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CP</w:t>
            </w:r>
            <w:r w:rsidRPr="00770732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PD1</w:t>
            </w:r>
            <w:r w:rsidRPr="00770732">
              <w:rPr>
                <w:rFonts w:cstheme="minorHAnsi"/>
                <w:vertAlign w:val="subscript"/>
              </w:rPr>
              <w:t>p2</w:t>
            </w:r>
            <w:r w:rsidRPr="00770732">
              <w:rPr>
                <w:rFonts w:cstheme="minorHAnsi"/>
              </w:rPr>
              <w:t>/Shp2 complex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12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CD28</w:t>
            </w:r>
            <w:r w:rsidRPr="00770732">
              <w:rPr>
                <w:rFonts w:cstheme="minorHAnsi"/>
                <w:vertAlign w:val="subscript"/>
              </w:rPr>
              <w:t>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Unphosphorylated CD28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13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CD28</w:t>
            </w:r>
            <w:r w:rsidRPr="00770732">
              <w:rPr>
                <w:rFonts w:cstheme="minorHAnsi"/>
                <w:vertAlign w:val="subscript"/>
              </w:rPr>
              <w:t>a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Phosphorylated CD28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14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PI3K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Free PI3K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15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PI3K</w:t>
            </w:r>
            <w:r w:rsidRPr="00770732">
              <w:rPr>
                <w:rFonts w:cstheme="minorHAnsi"/>
                <w:vertAlign w:val="subscript"/>
              </w:rPr>
              <w:t>b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CD28</w:t>
            </w:r>
            <w:r w:rsidRPr="00770732">
              <w:rPr>
                <w:rFonts w:cstheme="minorHAnsi"/>
                <w:vertAlign w:val="subscript"/>
              </w:rPr>
              <w:t>a</w:t>
            </w:r>
            <w:r w:rsidRPr="00770732">
              <w:rPr>
                <w:rFonts w:cstheme="minorHAnsi"/>
              </w:rPr>
              <w:t>/PI3K complex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16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CD3</w:t>
            </w:r>
            <w:r w:rsidRPr="00770732">
              <w:rPr>
                <w:rFonts w:cstheme="minorHAnsi"/>
                <w:vertAlign w:val="subscript"/>
              </w:rPr>
              <w:t>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Unphosphorylated CD3ζ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17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CD3</w:t>
            </w:r>
            <w:r w:rsidRPr="00770732">
              <w:rPr>
                <w:rFonts w:cstheme="minorHAnsi"/>
                <w:vertAlign w:val="subscript"/>
              </w:rPr>
              <w:t>a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Phosphorylated CD3ζ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18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Zap70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Free unphosphorylated Zap70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19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Zap70</w:t>
            </w:r>
            <w:r w:rsidRPr="00770732">
              <w:rPr>
                <w:rFonts w:cstheme="minorHAnsi"/>
                <w:vertAlign w:val="subscript"/>
              </w:rPr>
              <w:t>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CD3</w:t>
            </w:r>
            <w:r w:rsidRPr="00770732">
              <w:rPr>
                <w:rFonts w:cstheme="minorHAnsi"/>
                <w:vertAlign w:val="subscript"/>
              </w:rPr>
              <w:t>a</w:t>
            </w:r>
            <w:r w:rsidRPr="00770732">
              <w:rPr>
                <w:rFonts w:cstheme="minorHAnsi"/>
              </w:rPr>
              <w:t>/Zap70 complex with unphosphorylated Zap70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20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Zap70</w:t>
            </w:r>
            <w:r w:rsidRPr="00770732">
              <w:rPr>
                <w:rFonts w:cstheme="minorHAnsi"/>
                <w:vertAlign w:val="subscript"/>
              </w:rPr>
              <w:t>a1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CD3</w:t>
            </w:r>
            <w:r w:rsidRPr="00770732">
              <w:rPr>
                <w:rFonts w:cstheme="minorHAnsi"/>
                <w:vertAlign w:val="subscript"/>
              </w:rPr>
              <w:t>a</w:t>
            </w:r>
            <w:r w:rsidRPr="00770732">
              <w:rPr>
                <w:rFonts w:cstheme="minorHAnsi"/>
              </w:rPr>
              <w:t>/Zap70 complex with Zap70 phosphorylated at Y315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21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Zap70</w:t>
            </w:r>
            <w:r w:rsidRPr="00770732">
              <w:rPr>
                <w:rFonts w:cstheme="minorHAnsi"/>
                <w:vertAlign w:val="subscript"/>
              </w:rPr>
              <w:t>a2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CD3</w:t>
            </w:r>
            <w:r w:rsidRPr="00770732">
              <w:rPr>
                <w:rFonts w:cstheme="minorHAnsi"/>
                <w:vertAlign w:val="subscript"/>
              </w:rPr>
              <w:t>a</w:t>
            </w:r>
            <w:r w:rsidRPr="00770732">
              <w:rPr>
                <w:rFonts w:cstheme="minorHAnsi"/>
              </w:rPr>
              <w:t>/Zap70 complex with Zap70 phosphorylated at Y315 and Y493(Active Zap70)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22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LAT</w:t>
            </w:r>
            <w:r w:rsidRPr="00770732">
              <w:rPr>
                <w:rFonts w:cstheme="minorHAnsi"/>
                <w:vertAlign w:val="subscript"/>
              </w:rPr>
              <w:t>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Unphosphorylated LAT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23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LAT</w:t>
            </w:r>
            <w:r w:rsidRPr="00770732">
              <w:rPr>
                <w:rFonts w:cstheme="minorHAnsi"/>
                <w:vertAlign w:val="subscript"/>
              </w:rPr>
              <w:t>a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Phosphorylated LAT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24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Gads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Free Gads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25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Gads</w:t>
            </w:r>
            <w:r w:rsidRPr="00770732">
              <w:rPr>
                <w:rFonts w:cstheme="minorHAnsi"/>
                <w:vertAlign w:val="subscript"/>
              </w:rPr>
              <w:t>a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LAT</w:t>
            </w:r>
            <w:r w:rsidRPr="00770732">
              <w:rPr>
                <w:rFonts w:cstheme="minorHAnsi"/>
                <w:vertAlign w:val="subscript"/>
              </w:rPr>
              <w:t>a</w:t>
            </w:r>
            <w:r w:rsidRPr="00770732">
              <w:rPr>
                <w:rFonts w:cstheme="minorHAnsi"/>
              </w:rPr>
              <w:t>/Gads complex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26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Slp76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Free unphosphorylated Slp76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27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Slp76</w:t>
            </w:r>
            <w:r w:rsidRPr="00770732">
              <w:rPr>
                <w:rFonts w:cstheme="minorHAnsi"/>
                <w:vertAlign w:val="subscript"/>
              </w:rPr>
              <w:t>i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LAT</w:t>
            </w:r>
            <w:r w:rsidRPr="00770732">
              <w:rPr>
                <w:rFonts w:cstheme="minorHAnsi"/>
                <w:vertAlign w:val="subscript"/>
              </w:rPr>
              <w:t>a</w:t>
            </w:r>
            <w:r w:rsidRPr="00770732">
              <w:rPr>
                <w:rFonts w:cstheme="minorHAnsi"/>
              </w:rPr>
              <w:t>/Gads/Slp76 complex with unphosphorylated Slp76</w:t>
            </w:r>
          </w:p>
        </w:tc>
      </w:tr>
      <w:tr w:rsidR="00EC20D1" w:rsidRPr="00770732" w:rsidTr="003374E2">
        <w:tc>
          <w:tcPr>
            <w:tcW w:w="817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28</w:t>
            </w:r>
          </w:p>
        </w:tc>
        <w:tc>
          <w:tcPr>
            <w:tcW w:w="2410" w:type="dxa"/>
          </w:tcPr>
          <w:p w:rsidR="00EC20D1" w:rsidRPr="00770732" w:rsidRDefault="00EC20D1" w:rsidP="003374E2">
            <w:pPr>
              <w:spacing w:line="360" w:lineRule="auto"/>
              <w:jc w:val="center"/>
              <w:rPr>
                <w:rFonts w:cstheme="minorHAnsi"/>
              </w:rPr>
            </w:pPr>
            <w:r w:rsidRPr="00770732">
              <w:rPr>
                <w:rFonts w:cstheme="minorHAnsi"/>
              </w:rPr>
              <w:t>Slp76</w:t>
            </w:r>
            <w:r w:rsidRPr="00770732">
              <w:rPr>
                <w:rFonts w:cstheme="minorHAnsi"/>
                <w:vertAlign w:val="subscript"/>
              </w:rPr>
              <w:t>a</w:t>
            </w:r>
          </w:p>
        </w:tc>
        <w:tc>
          <w:tcPr>
            <w:tcW w:w="6015" w:type="dxa"/>
          </w:tcPr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LAT</w:t>
            </w:r>
            <w:r w:rsidRPr="00770732">
              <w:rPr>
                <w:rFonts w:cstheme="minorHAnsi"/>
                <w:vertAlign w:val="subscript"/>
              </w:rPr>
              <w:t>a</w:t>
            </w:r>
            <w:r w:rsidRPr="00770732">
              <w:rPr>
                <w:rFonts w:cstheme="minorHAnsi"/>
              </w:rPr>
              <w:t xml:space="preserve">/Gads/Slp76 complex with phosphorylated Slp76 </w:t>
            </w:r>
          </w:p>
          <w:p w:rsidR="00EC20D1" w:rsidRPr="00770732" w:rsidRDefault="00EC20D1" w:rsidP="003374E2">
            <w:pPr>
              <w:spacing w:line="360" w:lineRule="auto"/>
              <w:rPr>
                <w:rFonts w:cstheme="minorHAnsi"/>
              </w:rPr>
            </w:pPr>
            <w:r w:rsidRPr="00770732">
              <w:rPr>
                <w:rFonts w:cstheme="minorHAnsi"/>
              </w:rPr>
              <w:t>(Active Slp76)</w:t>
            </w:r>
          </w:p>
        </w:tc>
      </w:tr>
    </w:tbl>
    <w:p w:rsidR="00EC20D1" w:rsidRPr="00770732" w:rsidRDefault="00EC20D1" w:rsidP="00EC20D1"/>
    <w:p w:rsidR="00EC20D1" w:rsidRPr="00770732" w:rsidRDefault="00EC20D1" w:rsidP="00EC20D1">
      <w:pPr>
        <w:jc w:val="center"/>
        <w:rPr>
          <w:b/>
        </w:rPr>
      </w:pPr>
      <w:r w:rsidRPr="00770732">
        <w:rPr>
          <w:noProof/>
          <w:lang w:val="en-US" w:eastAsia="en-US"/>
        </w:rPr>
        <w:lastRenderedPageBreak/>
        <w:drawing>
          <wp:inline distT="0" distB="0" distL="0" distR="0">
            <wp:extent cx="4828995" cy="2982883"/>
            <wp:effectExtent l="19050" t="0" r="0" b="0"/>
            <wp:docPr id="95" name="Picture 94" descr="inf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_fin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462" cy="29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2E" w:rsidRDefault="00D81C0F" w:rsidP="00D81C0F">
      <w:pPr>
        <w:jc w:val="both"/>
      </w:pPr>
      <w:r w:rsidRPr="00770732">
        <w:rPr>
          <w:b/>
        </w:rPr>
        <w:t>Figure</w:t>
      </w:r>
      <w:r w:rsidR="00387372">
        <w:rPr>
          <w:b/>
        </w:rPr>
        <w:t xml:space="preserve"> A</w:t>
      </w:r>
      <w:r w:rsidRPr="00770732">
        <w:rPr>
          <w:b/>
        </w:rPr>
        <w:t>:</w:t>
      </w:r>
      <w:r w:rsidRPr="00770732">
        <w:t xml:space="preserve"> Influence diagram of the model. Lck activates TCR and CD28 receptors which in turn activate downstream signaling molecules. Lck also activates the inhibitory receptor PD-1 resulting in the recruitment of Shp2. Shp2 bound PD-1, inactivates TCR and CD28 apart from deactivating itself. In addition, PD1/Shp2 complex has both inhibitory and activating effect on Lck via dephosphorylation.</w:t>
      </w:r>
    </w:p>
    <w:p w:rsidR="00730ABA" w:rsidRDefault="00730ABA" w:rsidP="00D81C0F">
      <w:pPr>
        <w:jc w:val="both"/>
      </w:pPr>
    </w:p>
    <w:p w:rsidR="003374E2" w:rsidRDefault="0056267D" w:rsidP="0056267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81144" cy="196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Figure.ti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6" t="15478" r="19637" b="49452"/>
                    <a:stretch/>
                  </pic:blipFill>
                  <pic:spPr bwMode="auto">
                    <a:xfrm>
                      <a:off x="0" y="0"/>
                      <a:ext cx="4581144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6AD" w:rsidRPr="00CC36AD" w:rsidRDefault="00CC36AD" w:rsidP="00CC36AD">
      <w:pPr>
        <w:jc w:val="both"/>
        <w:rPr>
          <w:lang w:val="en-US"/>
        </w:rPr>
      </w:pPr>
      <w:r w:rsidRPr="003374E2">
        <w:rPr>
          <w:rFonts w:cstheme="minorHAnsi"/>
          <w:b/>
        </w:rPr>
        <w:t>Figure</w:t>
      </w:r>
      <w:r w:rsidR="00387372">
        <w:rPr>
          <w:rFonts w:cstheme="minorHAnsi"/>
          <w:b/>
        </w:rPr>
        <w:t xml:space="preserve"> B</w:t>
      </w:r>
      <w:r w:rsidRPr="003374E2">
        <w:rPr>
          <w:rFonts w:cstheme="minorHAnsi"/>
          <w:b/>
        </w:rPr>
        <w:t xml:space="preserve">: </w:t>
      </w:r>
      <w:r w:rsidR="003374E2" w:rsidRPr="003374E2">
        <w:rPr>
          <w:rFonts w:cstheme="minorHAnsi"/>
        </w:rPr>
        <w:t xml:space="preserve">Effect of PD-1 on the time course of recruitment of PI3K and Zap70 respectively. The concentrations used were </w:t>
      </w:r>
      <w:r w:rsidR="00672D85">
        <w:rPr>
          <w:rFonts w:cstheme="minorHAnsi"/>
        </w:rPr>
        <w:t>50</w:t>
      </w:r>
      <w:r w:rsidR="003374E2" w:rsidRPr="003374E2">
        <w:rPr>
          <w:rFonts w:cstheme="minorHAnsi"/>
        </w:rPr>
        <w:t xml:space="preserve"> nM CD3ζ, 300 nM Zap70, 250 nM CD28, 500 nM PI3K, 300 nM Lck, 800 nM PD-1 and 500 nM Shp2.</w:t>
      </w:r>
    </w:p>
    <w:p w:rsidR="00CC36AD" w:rsidRDefault="00CC36AD" w:rsidP="00D81C0F">
      <w:pPr>
        <w:jc w:val="both"/>
      </w:pPr>
    </w:p>
    <w:p w:rsidR="00CC36AD" w:rsidRPr="00770732" w:rsidRDefault="00CC36AD" w:rsidP="00D81C0F">
      <w:pPr>
        <w:jc w:val="both"/>
      </w:pPr>
    </w:p>
    <w:p w:rsidR="00730ABA" w:rsidRPr="00770732" w:rsidRDefault="00730ABA" w:rsidP="00730ABA">
      <w:pPr>
        <w:jc w:val="center"/>
        <w:rPr>
          <w:color w:val="365F91" w:themeColor="accent1" w:themeShade="BF"/>
        </w:rPr>
      </w:pPr>
      <w:r w:rsidRPr="00770732">
        <w:rPr>
          <w:noProof/>
          <w:color w:val="365F91" w:themeColor="accent1" w:themeShade="BF"/>
          <w:lang w:val="en-US" w:eastAsia="en-US"/>
        </w:rPr>
        <w:lastRenderedPageBreak/>
        <w:drawing>
          <wp:inline distT="0" distB="0" distL="0" distR="0">
            <wp:extent cx="55340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3Figure.ti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7" t="7399" r="2244" b="5541"/>
                    <a:stretch/>
                  </pic:blipFill>
                  <pic:spPr bwMode="auto">
                    <a:xfrm>
                      <a:off x="0" y="0"/>
                      <a:ext cx="55340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ABA" w:rsidRPr="00770732" w:rsidRDefault="00730ABA" w:rsidP="00730ABA">
      <w:pPr>
        <w:jc w:val="both"/>
      </w:pPr>
      <w:r w:rsidRPr="00770732">
        <w:rPr>
          <w:b/>
        </w:rPr>
        <w:t>Figure</w:t>
      </w:r>
      <w:r w:rsidR="00387372">
        <w:rPr>
          <w:b/>
        </w:rPr>
        <w:t xml:space="preserve"> C</w:t>
      </w:r>
      <w:r w:rsidRPr="00770732">
        <w:rPr>
          <w:b/>
        </w:rPr>
        <w:t>:</w:t>
      </w:r>
      <w:r w:rsidRPr="00770732">
        <w:t xml:space="preserve"> Fitting the dose response curves with Hill function to determine IC</w:t>
      </w:r>
      <w:r w:rsidRPr="00770732">
        <w:rPr>
          <w:vertAlign w:val="subscript"/>
        </w:rPr>
        <w:t>50</w:t>
      </w:r>
      <w:r w:rsidRPr="00770732">
        <w:t xml:space="preserve"> and Hill coefficients of dose responses. Solid lines represent fitting of data using Hill function.</w:t>
      </w:r>
    </w:p>
    <w:p w:rsidR="0013602E" w:rsidRPr="00770732" w:rsidRDefault="0013602E">
      <w:r w:rsidRPr="00770732">
        <w:br w:type="page"/>
      </w:r>
    </w:p>
    <w:p w:rsidR="00D81C0F" w:rsidRPr="00770732" w:rsidRDefault="00D81C0F" w:rsidP="00D81C0F">
      <w:pPr>
        <w:jc w:val="both"/>
      </w:pPr>
    </w:p>
    <w:p w:rsidR="0013602E" w:rsidRPr="00770732" w:rsidRDefault="001B1B81" w:rsidP="001B1B81">
      <w:pPr>
        <w:jc w:val="center"/>
        <w:rPr>
          <w:rFonts w:cstheme="minorHAnsi"/>
        </w:rPr>
      </w:pPr>
      <w:r w:rsidRPr="00770732">
        <w:rPr>
          <w:rFonts w:cstheme="minorHAnsi"/>
          <w:noProof/>
          <w:lang w:val="en-US" w:eastAsia="en-US"/>
        </w:rPr>
        <w:drawing>
          <wp:inline distT="0" distB="0" distL="0" distR="0">
            <wp:extent cx="591439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Figure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0" b="20314"/>
                    <a:stretch/>
                  </pic:blipFill>
                  <pic:spPr bwMode="auto">
                    <a:xfrm>
                      <a:off x="0" y="0"/>
                      <a:ext cx="591439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02E" w:rsidRPr="00770732" w:rsidRDefault="0013602E" w:rsidP="001B1B81">
      <w:pPr>
        <w:jc w:val="both"/>
        <w:rPr>
          <w:rFonts w:cstheme="minorHAnsi"/>
        </w:rPr>
      </w:pPr>
      <w:r w:rsidRPr="00770732">
        <w:rPr>
          <w:rFonts w:cstheme="minorHAnsi"/>
          <w:b/>
        </w:rPr>
        <w:t>Figure</w:t>
      </w:r>
      <w:r w:rsidR="00387372">
        <w:rPr>
          <w:rFonts w:cstheme="minorHAnsi"/>
          <w:b/>
        </w:rPr>
        <w:t xml:space="preserve"> D</w:t>
      </w:r>
      <w:r w:rsidRPr="00770732">
        <w:rPr>
          <w:rFonts w:cstheme="minorHAnsi"/>
          <w:b/>
        </w:rPr>
        <w:t>:</w:t>
      </w:r>
      <w:r w:rsidRPr="00770732">
        <w:rPr>
          <w:rFonts w:cstheme="minorHAnsi"/>
        </w:rPr>
        <w:t xml:space="preserve"> Dependence of CD28 phosphorylation (a), CD3ζ phosphorylation (b), PI3K recruitme</w:t>
      </w:r>
      <w:r w:rsidR="001B1B81" w:rsidRPr="00770732">
        <w:rPr>
          <w:rFonts w:cstheme="minorHAnsi"/>
        </w:rPr>
        <w:t>nt (c), Zap70 recruitment (d), p</w:t>
      </w:r>
      <w:r w:rsidRPr="00770732">
        <w:rPr>
          <w:rFonts w:cstheme="minorHAnsi"/>
        </w:rPr>
        <w:t>erc</w:t>
      </w:r>
      <w:r w:rsidR="001B1B81" w:rsidRPr="00770732">
        <w:rPr>
          <w:rFonts w:cstheme="minorHAnsi"/>
        </w:rPr>
        <w:t>entage of active Zap70 (e) and p</w:t>
      </w:r>
      <w:r w:rsidRPr="00770732">
        <w:rPr>
          <w:rFonts w:cstheme="minorHAnsi"/>
        </w:rPr>
        <w:t>ercentage of active SLP76 (f) on Lck and CD28 or CD3ζ concentration</w:t>
      </w:r>
      <w:r w:rsidR="001B1B81" w:rsidRPr="00770732">
        <w:rPr>
          <w:rFonts w:cstheme="minorHAnsi"/>
        </w:rPr>
        <w:t>s</w:t>
      </w:r>
      <w:r w:rsidRPr="00770732">
        <w:rPr>
          <w:rFonts w:cstheme="minorHAnsi"/>
        </w:rPr>
        <w:t xml:space="preserve"> in the absence of PD-1 with  200nM PI3K, 300nM  Zap70, LAT, Gads and SLP76.</w:t>
      </w:r>
    </w:p>
    <w:p w:rsidR="0013602E" w:rsidRPr="00770732" w:rsidRDefault="00AD4803">
      <w:r>
        <w:t xml:space="preserve">  </w:t>
      </w:r>
    </w:p>
    <w:p w:rsidR="0050698D" w:rsidRPr="00770732" w:rsidRDefault="00515C03" w:rsidP="00515C03">
      <w:pPr>
        <w:jc w:val="center"/>
        <w:rPr>
          <w:lang w:val="en-US"/>
        </w:rPr>
      </w:pPr>
      <w:r w:rsidRPr="00770732">
        <w:rPr>
          <w:noProof/>
          <w:lang w:val="en-US" w:eastAsia="en-US"/>
        </w:rPr>
        <w:drawing>
          <wp:inline distT="0" distB="0" distL="0" distR="0">
            <wp:extent cx="5120640" cy="21762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Figure.ti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5" t="28212" r="14967" b="30643"/>
                    <a:stretch/>
                  </pic:blipFill>
                  <pic:spPr bwMode="auto">
                    <a:xfrm>
                      <a:off x="0" y="0"/>
                      <a:ext cx="5120640" cy="217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7EC" w:rsidRDefault="00515C03" w:rsidP="00515C03">
      <w:pPr>
        <w:jc w:val="both"/>
        <w:rPr>
          <w:rFonts w:cstheme="minorHAnsi"/>
        </w:rPr>
      </w:pPr>
      <w:r w:rsidRPr="00770732">
        <w:rPr>
          <w:rFonts w:cstheme="minorHAnsi"/>
          <w:b/>
        </w:rPr>
        <w:t>Figure</w:t>
      </w:r>
      <w:r w:rsidR="00387372">
        <w:rPr>
          <w:rFonts w:cstheme="minorHAnsi"/>
          <w:b/>
        </w:rPr>
        <w:t xml:space="preserve"> E</w:t>
      </w:r>
      <w:bookmarkStart w:id="0" w:name="_GoBack"/>
      <w:bookmarkEnd w:id="0"/>
      <w:r w:rsidRPr="00770732">
        <w:rPr>
          <w:rFonts w:cstheme="minorHAnsi"/>
          <w:b/>
        </w:rPr>
        <w:t>:</w:t>
      </w:r>
      <w:r w:rsidR="004B33AC" w:rsidRPr="00770732">
        <w:rPr>
          <w:rFonts w:cstheme="minorHAnsi"/>
          <w:b/>
        </w:rPr>
        <w:t xml:space="preserve"> </w:t>
      </w:r>
      <w:r w:rsidR="00EC20D1" w:rsidRPr="00770732">
        <w:rPr>
          <w:rFonts w:cstheme="minorHAnsi"/>
        </w:rPr>
        <w:t>Representative c</w:t>
      </w:r>
      <w:r w:rsidR="000567EC" w:rsidRPr="00770732">
        <w:rPr>
          <w:rFonts w:cstheme="minorHAnsi"/>
        </w:rPr>
        <w:t>umulative frequency distribution of accepted and unaccepted parameter values of k</w:t>
      </w:r>
      <w:r w:rsidR="000567EC" w:rsidRPr="00770732">
        <w:rPr>
          <w:rFonts w:cstheme="minorHAnsi"/>
          <w:vertAlign w:val="subscript"/>
        </w:rPr>
        <w:t>a,shp</w:t>
      </w:r>
      <w:r w:rsidR="000567EC" w:rsidRPr="00770732">
        <w:rPr>
          <w:rFonts w:cstheme="minorHAnsi"/>
        </w:rPr>
        <w:t>- rate constant for association of Shp2 to PD-1 and k</w:t>
      </w:r>
      <w:r w:rsidR="000567EC" w:rsidRPr="00770732">
        <w:rPr>
          <w:rFonts w:cstheme="minorHAnsi"/>
          <w:vertAlign w:val="subscript"/>
        </w:rPr>
        <w:t>dpi,yiya</w:t>
      </w:r>
      <w:r w:rsidR="000567EC" w:rsidRPr="00770732">
        <w:rPr>
          <w:rFonts w:cstheme="minorHAnsi"/>
        </w:rPr>
        <w:t xml:space="preserve"> – rate constant for dephosphorylation Y505 from Lck</w:t>
      </w:r>
      <w:r w:rsidR="000567EC" w:rsidRPr="00770732">
        <w:rPr>
          <w:rFonts w:cstheme="minorHAnsi"/>
          <w:vertAlign w:val="subscript"/>
        </w:rPr>
        <w:t>yiya</w:t>
      </w:r>
      <w:r w:rsidR="000567EC" w:rsidRPr="00770732">
        <w:rPr>
          <w:rFonts w:cstheme="minorHAnsi"/>
        </w:rPr>
        <w:t>.</w:t>
      </w:r>
    </w:p>
    <w:p w:rsidR="00730ABA" w:rsidRDefault="00730ABA" w:rsidP="00515C03">
      <w:pPr>
        <w:jc w:val="both"/>
        <w:rPr>
          <w:rFonts w:cstheme="minorHAnsi"/>
        </w:rPr>
      </w:pPr>
    </w:p>
    <w:p w:rsidR="00FF1356" w:rsidRPr="00770732" w:rsidRDefault="00FF1356" w:rsidP="0091719C">
      <w:pPr>
        <w:spacing w:line="360" w:lineRule="auto"/>
        <w:rPr>
          <w:rFonts w:cstheme="minorHAnsi"/>
          <w:b/>
        </w:rPr>
      </w:pPr>
    </w:p>
    <w:p w:rsidR="00FF1356" w:rsidRPr="00770732" w:rsidRDefault="00FF1356" w:rsidP="0091719C">
      <w:pPr>
        <w:spacing w:line="360" w:lineRule="auto"/>
        <w:rPr>
          <w:rFonts w:cstheme="minorHAnsi"/>
          <w:b/>
        </w:rPr>
      </w:pPr>
    </w:p>
    <w:p w:rsidR="003F09B3" w:rsidRPr="00770732" w:rsidRDefault="00E378DB">
      <w:pPr>
        <w:rPr>
          <w:rFonts w:cstheme="minorHAnsi"/>
        </w:rPr>
      </w:pPr>
      <w:r w:rsidRPr="00770732">
        <w:rPr>
          <w:rFonts w:cstheme="minorHAnsi"/>
        </w:rPr>
        <w:fldChar w:fldCharType="begin"/>
      </w:r>
      <w:r w:rsidR="00B05308" w:rsidRPr="00770732">
        <w:rPr>
          <w:rFonts w:cstheme="minorHAnsi"/>
        </w:rPr>
        <w:instrText xml:space="preserve"> ADDIN EN.REFLIST </w:instrText>
      </w:r>
      <w:r w:rsidRPr="00770732">
        <w:rPr>
          <w:rFonts w:cstheme="minorHAnsi"/>
        </w:rPr>
        <w:fldChar w:fldCharType="end"/>
      </w:r>
    </w:p>
    <w:sectPr w:rsidR="003F09B3" w:rsidRPr="00770732" w:rsidSect="00B65F7D">
      <w:footerReference w:type="default" r:id="rId14"/>
      <w:pgSz w:w="11906" w:h="16838"/>
      <w:pgMar w:top="1440" w:right="1296" w:bottom="1440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33" w:rsidRDefault="00162133" w:rsidP="001B1B81">
      <w:pPr>
        <w:spacing w:after="0" w:line="240" w:lineRule="auto"/>
      </w:pPr>
      <w:r>
        <w:separator/>
      </w:r>
    </w:p>
  </w:endnote>
  <w:endnote w:type="continuationSeparator" w:id="0">
    <w:p w:rsidR="00162133" w:rsidRDefault="00162133" w:rsidP="001B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127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4E2" w:rsidRDefault="00E378DB">
        <w:pPr>
          <w:pStyle w:val="Footer"/>
          <w:jc w:val="right"/>
        </w:pPr>
        <w:r>
          <w:fldChar w:fldCharType="begin"/>
        </w:r>
        <w:r w:rsidR="003374E2">
          <w:instrText xml:space="preserve"> PAGE   \* MERGEFORMAT </w:instrText>
        </w:r>
        <w:r>
          <w:fldChar w:fldCharType="separate"/>
        </w:r>
        <w:r w:rsidR="003873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74E2" w:rsidRDefault="00337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33" w:rsidRDefault="00162133" w:rsidP="001B1B81">
      <w:pPr>
        <w:spacing w:after="0" w:line="240" w:lineRule="auto"/>
      </w:pPr>
      <w:r>
        <w:separator/>
      </w:r>
    </w:p>
  </w:footnote>
  <w:footnote w:type="continuationSeparator" w:id="0">
    <w:p w:rsidR="00162133" w:rsidRDefault="00162133" w:rsidP="001B1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B93"/>
    <w:multiLevelType w:val="hybridMultilevel"/>
    <w:tmpl w:val="735280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027FB"/>
    <w:multiLevelType w:val="hybridMultilevel"/>
    <w:tmpl w:val="211CA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vrfvz5m2ppshe02rnvzp24xpfttf2fxrtd&quot;&gt;PD1_paper&lt;record-ids&gt;&lt;item&gt;48&lt;/item&gt;&lt;item&gt;57&lt;/item&gt;&lt;item&gt;58&lt;/item&gt;&lt;item&gt;59&lt;/item&gt;&lt;item&gt;60&lt;/item&gt;&lt;item&gt;61&lt;/item&gt;&lt;item&gt;62&lt;/item&gt;&lt;/record-ids&gt;&lt;/item&gt;&lt;/Libraries&gt;"/>
  </w:docVars>
  <w:rsids>
    <w:rsidRoot w:val="003F09B3"/>
    <w:rsid w:val="000567EC"/>
    <w:rsid w:val="000633B2"/>
    <w:rsid w:val="00094B88"/>
    <w:rsid w:val="000E6746"/>
    <w:rsid w:val="0013602E"/>
    <w:rsid w:val="00162133"/>
    <w:rsid w:val="00167369"/>
    <w:rsid w:val="001B1B81"/>
    <w:rsid w:val="00232C5E"/>
    <w:rsid w:val="00255C11"/>
    <w:rsid w:val="00284777"/>
    <w:rsid w:val="00317972"/>
    <w:rsid w:val="003374E2"/>
    <w:rsid w:val="00385120"/>
    <w:rsid w:val="00387372"/>
    <w:rsid w:val="003E0339"/>
    <w:rsid w:val="003F09B3"/>
    <w:rsid w:val="00476C34"/>
    <w:rsid w:val="004B33AC"/>
    <w:rsid w:val="004C3898"/>
    <w:rsid w:val="0050698D"/>
    <w:rsid w:val="00515C03"/>
    <w:rsid w:val="0054075B"/>
    <w:rsid w:val="00556CE3"/>
    <w:rsid w:val="0056267D"/>
    <w:rsid w:val="00626F4C"/>
    <w:rsid w:val="00651587"/>
    <w:rsid w:val="00660575"/>
    <w:rsid w:val="00671298"/>
    <w:rsid w:val="00672D85"/>
    <w:rsid w:val="006D4625"/>
    <w:rsid w:val="00730ABA"/>
    <w:rsid w:val="00755D94"/>
    <w:rsid w:val="00770732"/>
    <w:rsid w:val="008346C7"/>
    <w:rsid w:val="0084708B"/>
    <w:rsid w:val="008669D9"/>
    <w:rsid w:val="008D3F01"/>
    <w:rsid w:val="0091719C"/>
    <w:rsid w:val="00977E35"/>
    <w:rsid w:val="00984A8B"/>
    <w:rsid w:val="009B02DE"/>
    <w:rsid w:val="009B0573"/>
    <w:rsid w:val="00A01581"/>
    <w:rsid w:val="00A108FC"/>
    <w:rsid w:val="00AC57E9"/>
    <w:rsid w:val="00AD4803"/>
    <w:rsid w:val="00AE39B2"/>
    <w:rsid w:val="00B05308"/>
    <w:rsid w:val="00B65F7D"/>
    <w:rsid w:val="00B903E2"/>
    <w:rsid w:val="00C17F64"/>
    <w:rsid w:val="00C610EA"/>
    <w:rsid w:val="00C80B3C"/>
    <w:rsid w:val="00CC36AD"/>
    <w:rsid w:val="00D03454"/>
    <w:rsid w:val="00D72884"/>
    <w:rsid w:val="00D81C0F"/>
    <w:rsid w:val="00D87CE4"/>
    <w:rsid w:val="00DB6EC2"/>
    <w:rsid w:val="00DC2A04"/>
    <w:rsid w:val="00DC310B"/>
    <w:rsid w:val="00E378DB"/>
    <w:rsid w:val="00E43FBB"/>
    <w:rsid w:val="00E52E10"/>
    <w:rsid w:val="00EC20D1"/>
    <w:rsid w:val="00FF0487"/>
    <w:rsid w:val="00FF1356"/>
    <w:rsid w:val="00FF6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B077E-F0ED-485F-99E9-383A975F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9B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0B3C"/>
    <w:rPr>
      <w:color w:val="808080"/>
    </w:rPr>
  </w:style>
  <w:style w:type="paragraph" w:styleId="ListParagraph">
    <w:name w:val="List Paragraph"/>
    <w:basedOn w:val="Normal"/>
    <w:uiPriority w:val="34"/>
    <w:qFormat/>
    <w:rsid w:val="00C80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3C"/>
  </w:style>
  <w:style w:type="paragraph" w:styleId="Footer">
    <w:name w:val="footer"/>
    <w:basedOn w:val="Normal"/>
    <w:link w:val="FooterChar"/>
    <w:uiPriority w:val="99"/>
    <w:unhideWhenUsed/>
    <w:rsid w:val="00C80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3C"/>
  </w:style>
  <w:style w:type="paragraph" w:customStyle="1" w:styleId="EndNoteBibliographyTitle">
    <w:name w:val="EndNote Bibliography Title"/>
    <w:basedOn w:val="Normal"/>
    <w:link w:val="EndNoteBibliographyTitleChar"/>
    <w:rsid w:val="00B0530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0530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0530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0530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EC2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ariksc@uohyd.ac.in" TargetMode="External"/><Relationship Id="rId13" Type="http://schemas.openxmlformats.org/officeDocument/2006/relationships/image" Target="media/image5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79835-B92A-4EBC-8A08-02EC2D0C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</dc:creator>
  <cp:keywords/>
  <dc:description/>
  <cp:lastModifiedBy>dbarik</cp:lastModifiedBy>
  <cp:revision>5</cp:revision>
  <dcterms:created xsi:type="dcterms:W3CDTF">2018-10-08T10:57:00Z</dcterms:created>
  <dcterms:modified xsi:type="dcterms:W3CDTF">2018-10-15T04:43:00Z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User Name_1">
    <vt:lpwstr>theinmozhi.2910@gmail.com@www.mendeley.com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