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80"/>
        <w:jc w:val="left"/>
      </w:pPr>
      <w:r>
        <w:drawing>
          <wp:inline xmlns:a="http://schemas.openxmlformats.org/drawingml/2006/main" xmlns:pic="http://schemas.openxmlformats.org/drawingml/2006/picture">
            <wp:extent cx="3063240" cy="750181"/>
            <wp:docPr id="1" name="Picture 1" descr="Marca de Casa del Rulimán y CDR PIM en la portada del documento técn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marc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750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Diseño técnico de la plataforma CDR PIM</w:t>
      </w:r>
    </w:p>
    <w:p>
      <w:pPr>
        <w:spacing w:after="840"/>
      </w:pPr>
      <w:r>
        <w:rPr>
          <w:rFonts w:ascii="Arial" w:hAnsi="Arial"/>
          <w:b/>
          <w:color w:val="4B5563"/>
          <w:sz w:val="32"/>
        </w:rPr>
        <w:t>Catálogo Maestro de Productos con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20"/>
            <w:vAlign w:val="center"/>
            <w:shd w:fill="F265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7128"/>
            <w:vAlign w:val="center"/>
            <w:shd w:fill="F2652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Cliente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Casa del Rulimán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Proyecto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PYP 000062 Catálogo Maestro con IA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Versión del documento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Fecha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9 de octubre de 2026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Base técnica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Commit daf6dc8 en feature/pim-operational-ui</w:t>
            </w:r>
          </w:p>
        </w:tc>
      </w:tr>
      <w:tr>
        <w:tc>
          <w:tcPr>
            <w:tcW w:type="dxa" w:w="25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Clasificación</w:t>
            </w:r>
          </w:p>
        </w:tc>
        <w:tc>
          <w:tcPr>
            <w:tcW w:type="dxa" w:w="71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9"/>
              </w:rPr>
              <w:t>Uso interno del proyecto</w:t>
            </w:r>
          </w:p>
        </w:tc>
      </w:tr>
    </w:tbl>
    <w:p>
      <w:pPr>
        <w:spacing w:after="20"/>
      </w:pPr>
    </w:p>
    <w:p>
      <w:pPr>
        <w:spacing w:before="440" w:after="0"/>
      </w:pPr>
      <w:r>
        <w:rPr>
          <w:rFonts w:ascii="Arial" w:hAnsi="Arial"/>
          <w:i/>
          <w:color w:val="4B5563"/>
          <w:sz w:val="20"/>
        </w:rPr>
        <w:t>Documento de arquitectura y diseño de la solución implementada, con sus límites, decisiones y dependencias pendientes de confirmación.</w:t>
      </w:r>
    </w:p>
    <w:p>
      <w:r>
        <w:br w:type="page"/>
      </w:r>
    </w:p>
    <w:p>
      <w:pPr>
        <w:pStyle w:val="Heading1"/>
        <w:keepNext/>
      </w:pPr>
      <w:r>
        <w:t>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51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51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Base</w:t>
            </w:r>
          </w:p>
        </w:tc>
        <w:tc>
          <w:tcPr>
            <w:tcW w:type="dxa" w:w="547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1.0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09 oct 2026</w:t>
            </w:r>
          </w:p>
        </w:tc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daf6dc8</w:t>
            </w:r>
          </w:p>
        </w:tc>
        <w:tc>
          <w:tcPr>
            <w:tcW w:type="dxa" w:w="54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Primera línea base del diseño técnico conforme a la implementación vigente y al manifiesto real del cliente.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Propósito y audiencia</w:t>
      </w:r>
    </w:p>
    <w:p>
      <w:r>
        <w:rPr>
          <w:rFonts w:ascii="Arial" w:hAnsi="Arial"/>
          <w:i w:val="0"/>
        </w:rPr>
        <w:t>Este documento describe cómo está construida la plataforma CDR PIM, cómo se distribuyen sus responsabilidades, qué datos gobierna, cómo protege y audita la información y cómo debe desplegarse. Está dirigido a los equipos de desarrollo, arquitectura, seguridad, infraestructura, soporte y a los responsables técnicos de Casa del Rulimán.</w:t>
      </w:r>
    </w:p>
    <w:p>
      <w:r>
        <w:rPr>
          <w:rFonts w:ascii="Arial" w:hAnsi="Arial"/>
          <w:i w:val="0"/>
        </w:rPr>
        <w:t>La conclusión principal es que la solución ya dispone de un núcleo PIM operativo y persistente, diseñado como monolito modular con límites hexagonales. Las integraciones empresariales y algunos controles de producción permanecen deliberadamente desacoplados y bloqueados hasta contar con contratos, accesos y decisiones del cliente.</w:t>
      </w:r>
    </w:p>
    <w:p>
      <w:pPr>
        <w:pStyle w:val="Heading2"/>
        <w:keepNext/>
      </w:pPr>
      <w:r>
        <w:t>Contenido</w:t>
      </w:r>
    </w:p>
    <w:p>
      <w:pPr>
        <w:pStyle w:val="ListBullet"/>
        <w:spacing w:after="60"/>
      </w:pPr>
      <w:r>
        <w:rPr>
          <w:rFonts w:ascii="Arial" w:hAnsi="Arial"/>
        </w:rPr>
        <w:t>1 Resumen ejecutivo y alcance</w:t>
      </w:r>
    </w:p>
    <w:p>
      <w:pPr>
        <w:pStyle w:val="ListBullet"/>
        <w:spacing w:after="60"/>
      </w:pPr>
      <w:r>
        <w:rPr>
          <w:rFonts w:ascii="Arial" w:hAnsi="Arial"/>
        </w:rPr>
        <w:t>2 Principios y decisiones de arquitectura</w:t>
      </w:r>
    </w:p>
    <w:p>
      <w:pPr>
        <w:pStyle w:val="ListBullet"/>
        <w:spacing w:after="60"/>
      </w:pPr>
      <w:r>
        <w:rPr>
          <w:rFonts w:ascii="Arial" w:hAnsi="Arial"/>
        </w:rPr>
        <w:t>3 Contexto del sistema</w:t>
      </w:r>
    </w:p>
    <w:p>
      <w:pPr>
        <w:pStyle w:val="ListBullet"/>
        <w:spacing w:after="60"/>
      </w:pPr>
      <w:r>
        <w:rPr>
          <w:rFonts w:ascii="Arial" w:hAnsi="Arial"/>
        </w:rPr>
        <w:t>4 Arquitectura lógica y de contenedores</w:t>
      </w:r>
    </w:p>
    <w:p>
      <w:pPr>
        <w:pStyle w:val="ListBullet"/>
        <w:spacing w:after="60"/>
      </w:pPr>
      <w:r>
        <w:rPr>
          <w:rFonts w:ascii="Arial" w:hAnsi="Arial"/>
        </w:rPr>
        <w:t>5 Diseño de componentes y módulos</w:t>
      </w:r>
    </w:p>
    <w:p>
      <w:pPr>
        <w:pStyle w:val="ListBullet"/>
        <w:spacing w:after="60"/>
      </w:pPr>
      <w:r>
        <w:rPr>
          <w:rFonts w:ascii="Arial" w:hAnsi="Arial"/>
        </w:rPr>
        <w:t>6 Diseño de datos</w:t>
      </w:r>
    </w:p>
    <w:p>
      <w:pPr>
        <w:pStyle w:val="ListBullet"/>
        <w:spacing w:after="60"/>
      </w:pPr>
      <w:r>
        <w:rPr>
          <w:rFonts w:ascii="Arial" w:hAnsi="Arial"/>
        </w:rPr>
        <w:t>7 Flujos técnicos principales</w:t>
      </w:r>
    </w:p>
    <w:p>
      <w:pPr>
        <w:pStyle w:val="ListBullet"/>
        <w:spacing w:after="60"/>
      </w:pPr>
      <w:r>
        <w:rPr>
          <w:rFonts w:ascii="Arial" w:hAnsi="Arial"/>
        </w:rPr>
        <w:t>8 Diseño de APIs y contratos</w:t>
      </w:r>
    </w:p>
    <w:p>
      <w:pPr>
        <w:pStyle w:val="ListBullet"/>
        <w:spacing w:after="60"/>
      </w:pPr>
      <w:r>
        <w:rPr>
          <w:rFonts w:ascii="Arial" w:hAnsi="Arial"/>
        </w:rPr>
        <w:t>9 Diseño de IA y búsqueda semántica</w:t>
      </w:r>
    </w:p>
    <w:p>
      <w:pPr>
        <w:pStyle w:val="ListBullet"/>
        <w:spacing w:after="60"/>
      </w:pPr>
      <w:r>
        <w:rPr>
          <w:rFonts w:ascii="Arial" w:hAnsi="Arial"/>
        </w:rPr>
        <w:t>10 Integraciones y procesamiento asíncrono</w:t>
      </w:r>
    </w:p>
    <w:p>
      <w:pPr>
        <w:pStyle w:val="ListBullet"/>
        <w:spacing w:after="60"/>
      </w:pPr>
      <w:r>
        <w:rPr>
          <w:rFonts w:ascii="Arial" w:hAnsi="Arial"/>
        </w:rPr>
        <w:t>11 Seguridad y auditoría</w:t>
      </w:r>
    </w:p>
    <w:p>
      <w:pPr>
        <w:pStyle w:val="ListBullet"/>
        <w:spacing w:after="60"/>
      </w:pPr>
      <w:r>
        <w:rPr>
          <w:rFonts w:ascii="Arial" w:hAnsi="Arial"/>
        </w:rPr>
        <w:t>12 Observabilidad y operación</w:t>
      </w:r>
    </w:p>
    <w:p>
      <w:pPr>
        <w:pStyle w:val="ListBullet"/>
        <w:spacing w:after="60"/>
      </w:pPr>
      <w:r>
        <w:rPr>
          <w:rFonts w:ascii="Arial" w:hAnsi="Arial"/>
        </w:rPr>
        <w:t>13 Despliegue e infraestructura objetivo</w:t>
      </w:r>
    </w:p>
    <w:p>
      <w:pPr>
        <w:pStyle w:val="ListBullet"/>
        <w:spacing w:after="60"/>
      </w:pPr>
      <w:r>
        <w:rPr>
          <w:rFonts w:ascii="Arial" w:hAnsi="Arial"/>
        </w:rPr>
        <w:t>14 Calidad, pruebas y entrega continua</w:t>
      </w:r>
    </w:p>
    <w:p>
      <w:pPr>
        <w:pStyle w:val="ListBullet"/>
        <w:spacing w:after="60"/>
      </w:pPr>
      <w:r>
        <w:rPr>
          <w:rFonts w:ascii="Arial" w:hAnsi="Arial"/>
        </w:rPr>
        <w:t>15 Requisitos no funcionales</w:t>
      </w:r>
    </w:p>
    <w:p>
      <w:pPr>
        <w:pStyle w:val="ListBullet"/>
        <w:spacing w:after="60"/>
      </w:pPr>
      <w:r>
        <w:rPr>
          <w:rFonts w:ascii="Arial" w:hAnsi="Arial"/>
        </w:rPr>
        <w:t>16 Riesgos, brechas y hoja de ruta</w:t>
      </w:r>
    </w:p>
    <w:p>
      <w:pPr>
        <w:pStyle w:val="ListBullet"/>
        <w:spacing w:after="60"/>
      </w:pPr>
      <w:r>
        <w:rPr>
          <w:rFonts w:ascii="Arial" w:hAnsi="Arial"/>
        </w:rPr>
        <w:t>17 Registro de decisiones técnicas</w:t>
      </w:r>
    </w:p>
    <w:p>
      <w:pPr>
        <w:pStyle w:val="ListBullet"/>
        <w:spacing w:after="60"/>
      </w:pPr>
      <w:r>
        <w:rPr>
          <w:rFonts w:ascii="Arial" w:hAnsi="Arial"/>
        </w:rPr>
        <w:t>18 Apéndices</w:t>
      </w:r>
    </w:p>
    <w:p>
      <w:pPr>
        <w:pStyle w:val="Heading1"/>
        <w:keepNext/>
        <w:pageBreakBefore/>
      </w:pPr>
      <w:r>
        <w:t>1 Resumen ejecutivo y alcance</w:t>
      </w:r>
    </w:p>
    <w:p>
      <w:r>
        <w:rPr>
          <w:rFonts w:ascii="Arial" w:hAnsi="Arial"/>
          <w:i w:val="0"/>
        </w:rPr>
        <w:t>CDR PIM es el sistema maestro para la información enriquecida de productos. Centraliza descripciones, atributos técnicos, categorías, plantillas, aplicaciones, equivalencias, homólogos, códigos OEM, imágenes, documentos, calidad y trazabilidad. Dynamics AX conserva la autoridad sobre ítems, precios e inventario; el PIM no reemplaza esas funciones ni captura pedidos.</w:t>
      </w:r>
    </w:p>
    <w:p>
      <w:pPr>
        <w:pStyle w:val="Heading2"/>
        <w:keepNext/>
      </w:pPr>
      <w:r>
        <w:t>1.1 Estado de la solución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144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  <w:tc>
          <w:tcPr>
            <w:tcW w:type="dxa" w:w="381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Resultado actual</w:t>
            </w:r>
          </w:p>
        </w:tc>
        <w:tc>
          <w:tcPr>
            <w:tcW w:type="dxa" w:w="2951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Pendiente principal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Catálogo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Listado, detalle, edición dinámica y ficha técnica persistidos.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Reglas finales de calidad y publicación.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Plantillas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Versiones, atributos tipados, obligatoriedad, permisos y replicabilidad.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Creación y publicación completa desde UI.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Equivalencias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Grupos, código unificador, homólogos, OEM y búsqueda elegible.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Flujo final de aprobación y curación.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Aplicaciones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Herencia por código unificador, edición e importación controlada.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Diccionario definitivo de campos.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Activos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Carga, descarga, reemplazo, ZIP parcial y almacenamiento privado.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Antimalware y lifecycle en plataforma.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IA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Fundación operativa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Adaptadores OpenAI, proveedores fake y candidatos sin persistencia automática.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Presupuesto, cuotas y revisión humana completa.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Integraciones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Contratos y stubs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Puertos para AX, PrestaShop y pedidos; fallan de forma explícita.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Accesos, mapeos, VPN y adapters reales.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Infraestructura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Diseñada</w:t>
            </w:r>
          </w:p>
        </w:tc>
        <w:tc>
          <w:tcPr>
            <w:tcW w:type="dxa" w:w="381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Topología AWS e IaC separados del código de aplicación.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Plan y aplicación en cuentas QAS y PRD.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1.2 Alcance funcional</w:t>
      </w:r>
    </w:p>
    <w:p>
      <w:pPr>
        <w:pStyle w:val="ListBullet"/>
        <w:spacing w:after="60"/>
      </w:pPr>
      <w:r>
        <w:rPr>
          <w:rFonts w:ascii="Arial" w:hAnsi="Arial"/>
        </w:rPr>
        <w:t>Dashboard operativo y navegación protegida por capacidades.</w:t>
      </w:r>
    </w:p>
    <w:p>
      <w:pPr>
        <w:pStyle w:val="ListBullet"/>
        <w:spacing w:after="60"/>
      </w:pPr>
      <w:r>
        <w:rPr>
          <w:rFonts w:ascii="Arial" w:hAnsi="Arial"/>
        </w:rPr>
        <w:t>Catálogo maestro con búsqueda, filtros, vistas de tabla y detalle de producto.</w:t>
      </w:r>
    </w:p>
    <w:p>
      <w:pPr>
        <w:pStyle w:val="ListBullet"/>
        <w:spacing w:after="60"/>
      </w:pPr>
      <w:r>
        <w:rPr>
          <w:rFonts w:ascii="Arial" w:hAnsi="Arial"/>
        </w:rPr>
        <w:t>Gobierno de categorías, plantillas, atributos y permisos por rol.</w:t>
      </w:r>
    </w:p>
    <w:p>
      <w:pPr>
        <w:pStyle w:val="ListBullet"/>
        <w:spacing w:after="60"/>
      </w:pPr>
      <w:r>
        <w:rPr>
          <w:rFonts w:ascii="Arial" w:hAnsi="Arial"/>
        </w:rPr>
        <w:t>Aplicaciones heredadas dentro del mismo código unificador.</w:t>
      </w:r>
    </w:p>
    <w:p>
      <w:pPr>
        <w:pStyle w:val="ListBullet"/>
        <w:spacing w:after="60"/>
      </w:pPr>
      <w:r>
        <w:rPr>
          <w:rFonts w:ascii="Arial" w:hAnsi="Arial"/>
        </w:rPr>
        <w:t>Equivalencias, homólogos y códigos OEM con elegibilidad activa y aprobada.</w:t>
      </w:r>
    </w:p>
    <w:p>
      <w:pPr>
        <w:pStyle w:val="ListBullet"/>
        <w:spacing w:after="60"/>
      </w:pPr>
      <w:r>
        <w:rPr>
          <w:rFonts w:ascii="Arial" w:hAnsi="Arial"/>
        </w:rPr>
        <w:t>Documentos e imágenes por SKU, importaciones con staging y trazabilidad.</w:t>
      </w:r>
    </w:p>
    <w:p>
      <w:pPr>
        <w:pStyle w:val="ListBullet"/>
        <w:spacing w:after="60"/>
      </w:pPr>
      <w:r>
        <w:rPr>
          <w:rFonts w:ascii="Arial" w:hAnsi="Arial"/>
        </w:rPr>
        <w:t>Calidad, propuestas comerciales y extracción de candidatos mediante IA.</w:t>
      </w:r>
    </w:p>
    <w:p>
      <w:pPr>
        <w:pStyle w:val="ListBullet"/>
        <w:spacing w:after="60"/>
      </w:pPr>
      <w:r>
        <w:rPr>
          <w:rFonts w:ascii="Arial" w:hAnsi="Arial"/>
        </w:rPr>
        <w:t>Publicación, integraciones, reportes y administración mediante workspaces autenticados.</w:t>
      </w:r>
    </w:p>
    <w:p>
      <w:pPr>
        <w:pStyle w:val="Heading2"/>
        <w:keepNext/>
      </w:pPr>
      <w:r>
        <w:t>1.3 Fuera de alcance actual</w:t>
      </w:r>
    </w:p>
    <w:p>
      <w:pPr>
        <w:pStyle w:val="ListBullet"/>
        <w:spacing w:after="60"/>
      </w:pPr>
      <w:r>
        <w:rPr>
          <w:rFonts w:ascii="Arial" w:hAnsi="Arial"/>
        </w:rPr>
        <w:t>Gestión de precios, inventario, ventas o pedidos dentro del PIM.</w:t>
      </w:r>
    </w:p>
    <w:p>
      <w:pPr>
        <w:pStyle w:val="ListBullet"/>
        <w:spacing w:after="60"/>
      </w:pPr>
      <w:r>
        <w:rPr>
          <w:rFonts w:ascii="Arial" w:hAnsi="Arial"/>
        </w:rPr>
        <w:t>Escritura de vuelta a Dynamics AX.</w:t>
      </w:r>
    </w:p>
    <w:p>
      <w:pPr>
        <w:pStyle w:val="ListBullet"/>
        <w:spacing w:after="60"/>
      </w:pPr>
      <w:r>
        <w:rPr>
          <w:rFonts w:ascii="Arial" w:hAnsi="Arial"/>
        </w:rPr>
        <w:t>Integraciones reales con TecDoc u otros fabricantes no contratados.</w:t>
      </w:r>
    </w:p>
    <w:p>
      <w:pPr>
        <w:pStyle w:val="ListBullet"/>
        <w:spacing w:after="60"/>
      </w:pPr>
      <w:r>
        <w:rPr>
          <w:rFonts w:ascii="Arial" w:hAnsi="Arial"/>
        </w:rPr>
        <w:t>Exposición pública de binarios o conexión directa del navegador a PostgreSQL.</w:t>
      </w:r>
    </w:p>
    <w:p>
      <w:pPr>
        <w:pStyle w:val="ListBullet"/>
        <w:spacing w:after="60"/>
      </w:pPr>
      <w:r>
        <w:rPr>
          <w:rFonts w:ascii="Arial" w:hAnsi="Arial"/>
        </w:rPr>
        <w:t>Despliegue productivo sin identidad empresarial, revisión de seguridad e infraestructura aprobada.</w:t>
      </w:r>
    </w:p>
    <w:p>
      <w:pPr>
        <w:pStyle w:val="Heading1"/>
        <w:keepNext/>
        <w:pageBreakBefore/>
      </w:pPr>
      <w:r>
        <w:t>2 Principios y decisiones de arquitectura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73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691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Aplicación en la solución</w:t>
            </w:r>
          </w:p>
        </w:tc>
      </w:tr>
      <w:tr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Fuente de verdad separada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AX gobierna datos comerciales; el PIM gobierna información enriquecida.</w:t>
            </w:r>
          </w:p>
        </w:tc>
      </w:tr>
      <w:tr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Dependencias hacia adentro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Dominio y aplicación dependen de puertos, no de PostgreSQL, AWS u OpenAI.</w:t>
            </w:r>
          </w:p>
        </w:tc>
      </w:tr>
      <w:tr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Monolito modular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Los contextos se despliegan juntos, pero conservan superficies públicas y límites verificables.</w:t>
            </w:r>
          </w:p>
        </w:tc>
      </w:tr>
      <w:tr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Privado por defecto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Toda ruta requiere actor y capacidades salvo login y health.</w:t>
            </w:r>
          </w:p>
        </w:tc>
      </w:tr>
      <w:tr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Configuración por ambiente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Proveedores, drivers y secretos se seleccionan fuera del código y se validan al arrancar.</w:t>
            </w:r>
          </w:p>
        </w:tc>
      </w:tr>
      <w:tr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Automatización auditable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Las mutaciones sensibles registran actor, origen, correlación y cambios de campo.</w:t>
            </w:r>
          </w:p>
        </w:tc>
      </w:tr>
      <w:tr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Construir una vez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El mismo artefacto y digest se promueve de QAS a PRD.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2" name="Picture 2" descr="Capas de la arquitectura hexagonal y dirección de dependenci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hexag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B7280"/>
          <w:sz w:val="17"/>
        </w:rPr>
        <w:t>Figura 1. Capas y dirección de dependencias</w:t>
      </w:r>
    </w:p>
    <w:p>
      <w:pPr>
        <w:pStyle w:val="Heading1"/>
        <w:keepNext/>
        <w:pageBreakBefore/>
      </w:pPr>
      <w:r>
        <w:t>3 Contexto del sistema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107944"/>
            <wp:docPr id="3" name="Picture 3" descr="Contexto del CDR PIM con usuarios, fuentes, canales y platafor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10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B7280"/>
          <w:sz w:val="17"/>
        </w:rPr>
        <w:t>Figura 2. Contexto funcional de la plataforma</w:t>
      </w:r>
    </w:p>
    <w:p>
      <w:pPr>
        <w:pStyle w:val="Heading2"/>
        <w:keepNext/>
      </w:pPr>
      <w:r>
        <w:t>3.1 Actores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727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Editor de catálogo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Enriquece productos, revisa atributos, documentos y candidatos de IA.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Ventas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Consulta productos, aplicaciones y sustitutos elegibles.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Compras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Mantiene información técnica, equivalencias e importaciones.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Administrador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Gobierna taxonomía, plantillas, roles, configuración y auditoría.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Sistemas externos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Suministran o reciben información mediante adapters controlados.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Límites de autoridad</w:t>
      </w:r>
    </w:p>
    <w:p>
      <w:r>
        <w:rPr>
          <w:rFonts w:ascii="Arial" w:hAnsi="Arial"/>
          <w:i w:val="0"/>
        </w:rPr>
        <w:t>El PIM puede enriquecer y publicar datos técnicos, pero no modifica precios, stock ni transacciones comerciales. Los valores de atributo conservan fuente, confianza y vigencia para evitar que información generada o importada se confunda con una decisión humana aprobada.</w:t>
      </w:r>
    </w:p>
    <w:p>
      <w:pPr>
        <w:pStyle w:val="Heading1"/>
        <w:keepNext/>
      </w:pPr>
      <w:r>
        <w:t>4 Arquitectura lógica y de contenedores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648456"/>
            <wp:docPr id="4" name="Picture 4" descr="Contenedores web API worker y servicios de datos y plataform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edo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648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B7280"/>
          <w:sz w:val="17"/>
        </w:rPr>
        <w:t>Figura 3. Contenedores y dependencias principales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Contenedor</w:t>
            </w:r>
          </w:p>
        </w:tc>
        <w:tc>
          <w:tcPr>
            <w:tcW w:type="dxa" w:w="180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Tecnología</w:t>
            </w:r>
          </w:p>
        </w:tc>
        <w:tc>
          <w:tcPr>
            <w:tcW w:type="dxa" w:w="489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Responsabilidad</w:t>
            </w:r>
          </w:p>
        </w:tc>
        <w:tc>
          <w:tcPr>
            <w:tcW w:type="dxa" w:w="187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Escalamiento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web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Next.js 15, React 19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Interfaz, render server side y BFF. No posee credenciales de base de datos.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Volumen de solicitudes.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api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NestJS 11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Reglas de negocio, HTTP, persistencia, autenticación y publicación de trabajos.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Volumen de solicitudes.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worker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Node.js 24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Consumo de SQS, reintentos, DLQ y procesos pesados.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Profundidad de cola.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PostgreSQL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PostgreSQL 16 y pgvector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Datos transaccionales, auditoría y vectores semánticos.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Escala vertical y réplicas.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S3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AWS S3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Binarios privados, versionados y cifrados.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Administrado.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SQS</w:t>
            </w:r>
          </w:p>
        </w:tc>
        <w:tc>
          <w:tcPr>
            <w:tcW w:type="dxa" w:w="18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AWS SQS y DLQ</w:t>
            </w:r>
          </w:p>
        </w:tc>
        <w:tc>
          <w:tcPr>
            <w:tcW w:type="dxa" w:w="48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Distribución de trabajo al menos una vez.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Administrado.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4.1 Reglas de comunicación</w:t>
      </w:r>
    </w:p>
    <w:p>
      <w:pPr>
        <w:pStyle w:val="ListBullet"/>
        <w:spacing w:after="60"/>
      </w:pPr>
      <w:r>
        <w:rPr>
          <w:rFonts w:ascii="Arial" w:hAnsi="Arial"/>
        </w:rPr>
        <w:t>El navegador usa la web y sus route handlers; la web consume la API mediante API_BASE_URL en runtime.</w:t>
      </w:r>
    </w:p>
    <w:p>
      <w:pPr>
        <w:pStyle w:val="ListBullet"/>
        <w:spacing w:after="60"/>
      </w:pPr>
      <w:r>
        <w:rPr>
          <w:rFonts w:ascii="Arial" w:hAnsi="Arial"/>
        </w:rPr>
        <w:t>La web nunca accede directamente a PostgreSQL y no recibe credenciales de base de datos.</w:t>
      </w:r>
    </w:p>
    <w:p>
      <w:pPr>
        <w:pStyle w:val="ListBullet"/>
        <w:spacing w:after="60"/>
      </w:pPr>
      <w:r>
        <w:rPr>
          <w:rFonts w:ascii="Arial" w:hAnsi="Arial"/>
        </w:rPr>
        <w:t>La API transforma trabajo lento o masivo en mensajes; no debe bloquear solicitudes interactivas.</w:t>
      </w:r>
    </w:p>
    <w:p>
      <w:pPr>
        <w:pStyle w:val="ListBullet"/>
        <w:spacing w:after="60"/>
      </w:pPr>
      <w:r>
        <w:rPr>
          <w:rFonts w:ascii="Arial" w:hAnsi="Arial"/>
        </w:rPr>
        <w:t>El worker solo expone health y procesa un trabajo por vez; la concurrencia aumenta agregando tareas ECS.</w:t>
      </w:r>
    </w:p>
    <w:p>
      <w:pPr>
        <w:pStyle w:val="ListBullet"/>
        <w:spacing w:after="60"/>
      </w:pPr>
      <w:r>
        <w:rPr>
          <w:rFonts w:ascii="Arial" w:hAnsi="Arial"/>
        </w:rPr>
        <w:t>Solo el worker debe recibir salida VPN hacia la red interna de Casa del Rulimán.</w:t>
      </w:r>
    </w:p>
    <w:p>
      <w:pPr>
        <w:pStyle w:val="Heading1"/>
        <w:keepNext/>
        <w:pageBreakBefore/>
      </w:pPr>
      <w:r>
        <w:t>5 Diseño de componentes y módulos</w:t>
      </w:r>
    </w:p>
    <w:p>
      <w:r>
        <w:rPr>
          <w:rFonts w:ascii="Arial" w:hAnsi="Arial"/>
          <w:i w:val="0"/>
        </w:rPr>
        <w:t>Cada contexto aplica la estructura domain, application, infrastructure y presentation. Las reglas de frontera se validan con ESLint y pruebas de arquitectura; una modificación de esas reglas se trata como una decisión técnica, no como una corrección local.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1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Contexto</w:t>
            </w:r>
          </w:p>
        </w:tc>
        <w:tc>
          <w:tcPr>
            <w:tcW w:type="dxa" w:w="144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Estado</w:t>
            </w:r>
          </w:p>
        </w:tc>
        <w:tc>
          <w:tcPr>
            <w:tcW w:type="dxa" w:w="460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Responsabilidad</w:t>
            </w:r>
          </w:p>
        </w:tc>
        <w:tc>
          <w:tcPr>
            <w:tcW w:type="dxa" w:w="208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4"/>
              </w:rPr>
              <w:t>Superficie principal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identity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 local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Login, JWT, roles y capacidades.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auth/login, auth/me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catalog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Identidad y ciclo base del producto.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products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catalog-schema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Categorías, plantillas, grid, atributos y permisos.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catalog, catalog/admin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applications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Aplicaciones asociadas al grupo unificador.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applications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equivalences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Grupos, homólogos y códigos OEM.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equivalences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code-affixes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Reglas de prefijos y sufijos para interpretación de códigos.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code-affixes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product-assets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Metadatos, binarios, ZIP, descarga y borrado lógico.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assets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imports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Preview, validación, staging, confirmación y jobs.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imports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search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Búsqueda directa, por atributos, relaciones y vectores.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search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ai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Fundación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Embeddings, generación y extracción por puertos.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ai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audit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Historial append only y exportación.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audit/changes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workspaces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Read model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Proyecciones autenticadas para pantallas transversales.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workspaces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integrations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Stubs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Contratos para ERP, comercio y pedidos.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Puertos internos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health</w:t>
            </w:r>
          </w:p>
        </w:tc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Operativo</w:t>
            </w:r>
          </w:p>
        </w:tc>
        <w:tc>
          <w:tcPr>
            <w:tcW w:type="dxa" w:w="460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Liveness y readiness.</w:t>
            </w:r>
          </w:p>
        </w:tc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4"/>
              </w:rPr>
              <w:t>health/live, health/ready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Paquetes compartidos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59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Paquete</w:t>
            </w:r>
          </w:p>
        </w:tc>
        <w:tc>
          <w:tcPr>
            <w:tcW w:type="dxa" w:w="705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@cdr/contracts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Esquemas Zod compartidos para HTTP y mensajes.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@cdr/shared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Errores de dominio, Result, UUID, reloj, logging y correlación.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@cdr/config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Esquemas de entorno validados para cada aplicación.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@cdr/messaging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QueuePort y adapters SQS o memoria.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@cdr/storage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ObjectStoragePort y adapters S3 o memoria.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@cdr/eslint-config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Reglas comunes y fronteras hexagonales.</w:t>
            </w:r>
          </w:p>
        </w:tc>
      </w:tr>
      <w:tr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@cdr/tsconfig</w:t>
            </w:r>
          </w:p>
        </w:tc>
        <w:tc>
          <w:tcPr>
            <w:tcW w:type="dxa" w:w="70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Configuración TypeScript uniforme.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 Diseño de datos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986276"/>
            <wp:docPr id="5" name="Picture 5" descr="Grupos de entidades del modelo de datos y sus relacio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a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86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B7280"/>
          <w:sz w:val="17"/>
        </w:rPr>
        <w:t>Figura 4. Modelo conceptual simplificado</w:t>
      </w:r>
    </w:p>
    <w:p>
      <w:pPr>
        <w:pStyle w:val="Heading2"/>
        <w:keepNext/>
      </w:pPr>
      <w:r>
        <w:t>6.1 Núcleo persistente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74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Tablas o conceptos</w:t>
            </w:r>
          </w:p>
        </w:tc>
        <w:tc>
          <w:tcPr>
            <w:tcW w:type="dxa" w:w="432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Regla de diseño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Producto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products, product_identifiers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UUID de aplicación y códigos externos únicos por tipo y valor.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Plantillas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catalog_categories, attribute_templates, attribute_definitions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Una plantilla activa por categoría y definiciones estables.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Valores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product_template_assignments, product_attribute_values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Valor tipado, versión optimista, fuente, confianza y vigencia.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Equivalencias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equivalence_groups, members, homologs, OEM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El código unificador gobierna pertenencia e herencia.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Aplicaciones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group_applications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Las aplicaciones pertenecen al grupo, no al SKU aislado.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Búsqueda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product_embeddings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Un vector por producto y modelo, dimensión 1536 e índice HNSW.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Activos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product_assets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PostgreSQL conserva metadatos; los bytes se guardan en storage privado.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Importación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import_batches, import_rows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Staging durable con idempotencia, preview y confirmación.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Auditoría</w:t>
            </w:r>
          </w:p>
        </w:tc>
        <w:tc>
          <w:tcPr>
            <w:tcW w:type="dxa" w:w="37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audit_entries, audit_change_items</w:t>
            </w:r>
          </w:p>
        </w:tc>
        <w:tc>
          <w:tcPr>
            <w:tcW w:type="dxa" w:w="432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Append only; UPDATE, DELETE y TRUNCATE rechazados.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6.2 Reglas de plantilla y atributos</w:t>
      </w:r>
    </w:p>
    <w:p>
      <w:pPr>
        <w:pStyle w:val="ListBullet"/>
        <w:spacing w:after="60"/>
      </w:pPr>
      <w:r>
        <w:rPr>
          <w:rFonts w:ascii="Arial" w:hAnsi="Arial"/>
        </w:rPr>
        <w:t>Los tipos soportados se almacenan en familias físicas text, numeric, boolean, date y jsonb.</w:t>
      </w:r>
    </w:p>
    <w:p>
      <w:pPr>
        <w:pStyle w:val="ListBullet"/>
        <w:spacing w:after="60"/>
      </w:pPr>
      <w:r>
        <w:rPr>
          <w:rFonts w:ascii="Arial" w:hAnsi="Arial"/>
        </w:rPr>
        <w:t>La API humana modifica únicamente atributos cuya autoridad es PIM y cuyo rol permite edición.</w:t>
      </w:r>
    </w:p>
    <w:p>
      <w:pPr>
        <w:pStyle w:val="ListBullet"/>
        <w:spacing w:after="60"/>
      </w:pPr>
      <w:r>
        <w:rPr>
          <w:rFonts w:ascii="Arial" w:hAnsi="Arial"/>
        </w:rPr>
        <w:t>Desactivar una asignación conserva definiciones y valores históricos.</w:t>
      </w:r>
    </w:p>
    <w:p>
      <w:pPr>
        <w:pStyle w:val="ListBullet"/>
        <w:spacing w:after="60"/>
      </w:pPr>
      <w:r>
        <w:rPr>
          <w:rFonts w:ascii="Arial" w:hAnsi="Arial"/>
        </w:rPr>
        <w:t>Los atributos replicables se propagan de forma atómica a los productos elegibles del código unificador.</w:t>
      </w:r>
    </w:p>
    <w:p>
      <w:pPr>
        <w:pStyle w:val="ListBullet"/>
        <w:spacing w:after="60"/>
      </w:pPr>
      <w:r>
        <w:rPr>
          <w:rFonts w:ascii="Arial" w:hAnsi="Arial"/>
        </w:rPr>
        <w:t>Cada propagación registra auditoría por producto y utiliza control de versión optimista.</w:t>
      </w:r>
    </w:p>
    <w:p>
      <w:pPr>
        <w:pStyle w:val="Heading2"/>
        <w:keepNext/>
      </w:pPr>
      <w:r>
        <w:t>6.3 Manifiesto de datos del cliente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88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94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Cantidad</w:t>
            </w:r>
          </w:p>
        </w:tc>
        <w:tc>
          <w:tcPr>
            <w:tcW w:type="dxa" w:w="482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Hojas de origen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Lectura estructurada del libro PLANTILLAS PIM.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Categorías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Taxonomía inicial del catálogo.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Plantillas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Estructura por familia de producto.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Definiciones de atributo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Diccionario técnico tipado.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Productos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Carga determinista para el catálogo vigente.</w:t>
            </w:r>
          </w:p>
        </w:tc>
      </w:tr>
      <w:tr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Relaciones</w:t>
            </w:r>
          </w:p>
        </w:tc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OEM 3, homólogos 3, aplicaciones 1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Semilla inicial de relaciones confirmadas.</w:t>
            </w:r>
          </w:p>
        </w:tc>
      </w:tr>
    </w:tbl>
    <w:p>
      <w:pPr>
        <w:spacing w:after="20"/>
      </w:pPr>
    </w:p>
    <w:p>
      <w:r>
        <w:rPr>
          <w:rFonts w:ascii="Arial" w:hAnsi="Arial"/>
          <w:i w:val="0"/>
        </w:rPr>
        <w:t>El seed utiliza UUID v5 deterministas y es idempotente para la misma versión del manifiesto. Una ausencia futura no se interpreta como orden de borrado; las bajas requieren reconciliación explícita para proteger la curación manual.</w:t>
      </w:r>
    </w:p>
    <w:p>
      <w:pPr>
        <w:pStyle w:val="Heading1"/>
        <w:keepNext/>
        <w:pageBreakBefore/>
      </w:pPr>
      <w:r>
        <w:t>7 Flujos técnicos principales</w:t>
      </w:r>
    </w:p>
    <w:p>
      <w:pPr>
        <w:pStyle w:val="Heading2"/>
        <w:keepNext/>
      </w:pPr>
      <w:r>
        <w:t>7.1 Autenticación y sesión</w:t>
      </w:r>
    </w:p>
    <w:p>
      <w:pPr>
        <w:spacing w:after="60"/>
        <w:ind w:left="288" w:hanging="288"/>
      </w:pPr>
      <w:r>
        <w:rPr>
          <w:rFonts w:ascii="Arial" w:hAnsi="Arial"/>
        </w:rPr>
        <w:t>1. La web valida el origen y envía credenciales al BFF de login.</w:t>
      </w:r>
    </w:p>
    <w:p>
      <w:pPr>
        <w:spacing w:after="60"/>
        <w:ind w:left="288" w:hanging="288"/>
      </w:pPr>
      <w:r>
        <w:rPr>
          <w:rFonts w:ascii="Arial" w:hAnsi="Arial"/>
        </w:rPr>
        <w:t>2. La API verifica la cuenta configurada para local o test y emite un JWT corto con roles y capacidades.</w:t>
      </w:r>
    </w:p>
    <w:p>
      <w:pPr>
        <w:spacing w:after="60"/>
        <w:ind w:left="288" w:hanging="288"/>
      </w:pPr>
      <w:r>
        <w:rPr>
          <w:rFonts w:ascii="Arial" w:hAnsi="Arial"/>
        </w:rPr>
        <w:t>3. La web conserva el token en una cookie HttpOnly, SameSite Lax y Secure en producción.</w:t>
      </w:r>
    </w:p>
    <w:p>
      <w:pPr>
        <w:spacing w:after="60"/>
        <w:ind w:left="288" w:hanging="288"/>
      </w:pPr>
      <w:r>
        <w:rPr>
          <w:rFonts w:ascii="Arial" w:hAnsi="Arial"/>
        </w:rPr>
        <w:t>4. Cada solicitud protegida pasa por autenticación, autorización por capacidades y limitación de tasa.</w:t>
      </w:r>
    </w:p>
    <w:p>
      <w:pPr>
        <w:spacing w:after="60"/>
        <w:ind w:left="288" w:hanging="288"/>
      </w:pPr>
      <w:r>
        <w:rPr>
          <w:rFonts w:ascii="Arial" w:hAnsi="Arial"/>
        </w:rPr>
        <w:t>5. Logout invalida la sesión del navegador; no existe refresh token en la fase local.</w:t>
      </w:r>
    </w:p>
    <w:p>
      <w:pPr>
        <w:pStyle w:val="Heading2"/>
        <w:keepNext/>
      </w:pPr>
      <w:r>
        <w:t>7.2 Consulta y edición de producto</w:t>
      </w:r>
    </w:p>
    <w:p>
      <w:pPr>
        <w:spacing w:after="60"/>
        <w:ind w:left="288" w:hanging="288"/>
      </w:pPr>
      <w:r>
        <w:rPr>
          <w:rFonts w:ascii="Arial" w:hAnsi="Arial"/>
        </w:rPr>
        <w:t>1. La pantalla solicita esquema, filas o ficha mediante el BFF y una sesión autenticada.</w:t>
      </w:r>
    </w:p>
    <w:p>
      <w:pPr>
        <w:spacing w:after="60"/>
        <w:ind w:left="288" w:hanging="288"/>
      </w:pPr>
      <w:r>
        <w:rPr>
          <w:rFonts w:ascii="Arial" w:hAnsi="Arial"/>
        </w:rPr>
        <w:t>2. El caso de uso obtiene producto, plantilla activa y atributos visibles para el actor.</w:t>
      </w:r>
    </w:p>
    <w:p>
      <w:pPr>
        <w:spacing w:after="60"/>
        <w:ind w:left="288" w:hanging="288"/>
      </w:pPr>
      <w:r>
        <w:rPr>
          <w:rFonts w:ascii="Arial" w:hAnsi="Arial"/>
        </w:rPr>
        <w:t>3. Una edición valida tipo, autoridad, permiso y versión esperada.</w:t>
      </w:r>
    </w:p>
    <w:p>
      <w:pPr>
        <w:spacing w:after="60"/>
        <w:ind w:left="288" w:hanging="288"/>
      </w:pPr>
      <w:r>
        <w:rPr>
          <w:rFonts w:ascii="Arial" w:hAnsi="Arial"/>
        </w:rPr>
        <w:t>4. Si el atributo es replicable, la misma transacción actualiza los miembros elegibles del grupo.</w:t>
      </w:r>
    </w:p>
    <w:p>
      <w:pPr>
        <w:spacing w:after="60"/>
        <w:ind w:left="288" w:hanging="288"/>
      </w:pPr>
      <w:r>
        <w:rPr>
          <w:rFonts w:ascii="Arial" w:hAnsi="Arial"/>
        </w:rPr>
        <w:t>5. Dato, historial y auditoría confirman juntos o se revierten juntos.</w:t>
      </w:r>
    </w:p>
    <w:p>
      <w:pPr>
        <w:pStyle w:val="Heading2"/>
        <w:keepNext/>
      </w:pPr>
      <w:r>
        <w:t>7.3 Búsqueda por homólogos</w:t>
      </w:r>
    </w:p>
    <w:p>
      <w:pPr>
        <w:spacing w:after="60"/>
        <w:ind w:left="288" w:hanging="288"/>
      </w:pPr>
      <w:r>
        <w:rPr>
          <w:rFonts w:ascii="Arial" w:hAnsi="Arial"/>
        </w:rPr>
        <w:t>1. La consulta combina texto, atributos, códigos, afijos, relaciones OEM y similitud semántica.</w:t>
      </w:r>
    </w:p>
    <w:p>
      <w:pPr>
        <w:spacing w:after="60"/>
        <w:ind w:left="288" w:hanging="288"/>
      </w:pPr>
      <w:r>
        <w:rPr>
          <w:rFonts w:ascii="Arial" w:hAnsi="Arial"/>
        </w:rPr>
        <w:t>2. Solo homólogos active=true y approval_status=approved son elegibles.</w:t>
      </w:r>
    </w:p>
    <w:p>
      <w:pPr>
        <w:spacing w:after="60"/>
        <w:ind w:left="288" w:hanging="288"/>
      </w:pPr>
      <w:r>
        <w:rPr>
          <w:rFonts w:ascii="Arial" w:hAnsi="Arial"/>
        </w:rPr>
        <w:t>3. Los resultados se deduplican antes de mostrarse en la experiencia web.</w:t>
      </w:r>
    </w:p>
    <w:p>
      <w:pPr>
        <w:spacing w:after="60"/>
        <w:ind w:left="288" w:hanging="288"/>
      </w:pPr>
      <w:r>
        <w:rPr>
          <w:rFonts w:ascii="Arial" w:hAnsi="Arial"/>
        </w:rPr>
        <w:t>4. La relevancia semántica utiliza el modelo configurado; vectores de modelos distintos no se comparan.</w:t>
      </w:r>
    </w:p>
    <w:p>
      <w:pPr>
        <w:pStyle w:val="Heading2"/>
        <w:keepNext/>
      </w:pPr>
      <w:r>
        <w:t>7.4 Importación controlada</w:t>
      </w:r>
    </w:p>
    <w:p>
      <w:pPr>
        <w:spacing w:after="60"/>
        <w:ind w:left="288" w:hanging="288"/>
      </w:pPr>
      <w:r>
        <w:rPr>
          <w:rFonts w:ascii="Arial" w:hAnsi="Arial"/>
        </w:rPr>
        <w:t>1. El usuario carga CSV, XLSX o JSON dentro de los límites de tamaño.</w:t>
      </w:r>
    </w:p>
    <w:p>
      <w:pPr>
        <w:spacing w:after="60"/>
        <w:ind w:left="288" w:hanging="288"/>
      </w:pPr>
      <w:r>
        <w:rPr>
          <w:rFonts w:ascii="Arial" w:hAnsi="Arial"/>
        </w:rPr>
        <w:t>2. La web normaliza el archivo y la API valida cada fila antes de persistir el preview.</w:t>
      </w:r>
    </w:p>
    <w:p>
      <w:pPr>
        <w:spacing w:after="60"/>
        <w:ind w:left="288" w:hanging="288"/>
      </w:pPr>
      <w:r>
        <w:rPr>
          <w:rFonts w:ascii="Arial" w:hAnsi="Arial"/>
        </w:rPr>
        <w:t>3. El lote conserva checksum, clave de idempotencia, errores y totales.</w:t>
      </w:r>
    </w:p>
    <w:p>
      <w:pPr>
        <w:spacing w:after="60"/>
        <w:ind w:left="288" w:hanging="288"/>
      </w:pPr>
      <w:r>
        <w:rPr>
          <w:rFonts w:ascii="Arial" w:hAnsi="Arial"/>
        </w:rPr>
        <w:t>4. La confirmación aplica únicamente filas válidas mediante los casos de uso propietarios.</w:t>
      </w:r>
    </w:p>
    <w:p>
      <w:pPr>
        <w:spacing w:after="60"/>
        <w:ind w:left="288" w:hanging="288"/>
      </w:pPr>
      <w:r>
        <w:rPr>
          <w:rFonts w:ascii="Arial" w:hAnsi="Arial"/>
        </w:rPr>
        <w:t>5. Los archivos que excedan el flujo síncrono acordado deben migrar a un job asíncrono.</w:t>
      </w:r>
    </w:p>
    <w:p>
      <w:pPr>
        <w:pStyle w:val="Heading2"/>
        <w:keepNext/>
      </w:pPr>
      <w:r>
        <w:t>7.5 Candidatos de IA</w:t>
      </w:r>
    </w:p>
    <w:p>
      <w:pPr>
        <w:spacing w:after="60"/>
        <w:ind w:left="288" w:hanging="288"/>
      </w:pPr>
      <w:r>
        <w:rPr>
          <w:rFonts w:ascii="Arial" w:hAnsi="Arial"/>
        </w:rPr>
        <w:t>1. La API selecciona únicamente datos y atributos visibles para el actor.</w:t>
      </w:r>
    </w:p>
    <w:p>
      <w:pPr>
        <w:spacing w:after="60"/>
        <w:ind w:left="288" w:hanging="288"/>
      </w:pPr>
      <w:r>
        <w:rPr>
          <w:rFonts w:ascii="Arial" w:hAnsi="Arial"/>
        </w:rPr>
        <w:t>2. El adapter configurado genera texto o extrae candidatos desde PDF o imagen verificada.</w:t>
      </w:r>
    </w:p>
    <w:p>
      <w:pPr>
        <w:spacing w:after="60"/>
        <w:ind w:left="288" w:hanging="288"/>
      </w:pPr>
      <w:r>
        <w:rPr>
          <w:rFonts w:ascii="Arial" w:hAnsi="Arial"/>
        </w:rPr>
        <w:t>3. La respuesta declara persisted=false y requiresHumanReview=true.</w:t>
      </w:r>
    </w:p>
    <w:p>
      <w:pPr>
        <w:spacing w:after="60"/>
        <w:ind w:left="288" w:hanging="288"/>
      </w:pPr>
      <w:r>
        <w:rPr>
          <w:rFonts w:ascii="Arial" w:hAnsi="Arial"/>
        </w:rPr>
        <w:t>4. La aceptación exige una acción separada del catálogo; el modelo nunca modifica datos por sí solo.</w:t>
      </w:r>
    </w:p>
    <w:p>
      <w:pPr>
        <w:spacing w:after="60"/>
        <w:ind w:left="288" w:hanging="288"/>
      </w:pPr>
      <w:r>
        <w:rPr>
          <w:rFonts w:ascii="Arial" w:hAnsi="Arial"/>
        </w:rPr>
        <w:t>5. La auditoría registra modelo, conteos y uso disponible, sin guardar prompts, bytes o valores candidatos.</w:t>
      </w:r>
    </w:p>
    <w:p>
      <w:pPr>
        <w:pStyle w:val="Heading1"/>
        <w:keepNext/>
      </w:pPr>
      <w:r>
        <w:t>8 Diseño de APIs y contratos</w:t>
      </w:r>
    </w:p>
    <w:p>
      <w:r>
        <w:rPr>
          <w:rFonts w:ascii="Arial" w:hAnsi="Arial"/>
          <w:i w:val="0"/>
        </w:rPr>
        <w:t>La API utiliza el prefijo /api/v1, contratos Zod compartidos y respuestas de error uniformes con code, message, details y correlationId. Swagger puede habilitarse solo en entornos permitidos y se rechaza en QAS y PRD.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496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Operaciones principales</w:t>
            </w:r>
          </w:p>
        </w:tc>
        <w:tc>
          <w:tcPr>
            <w:tcW w:type="dxa" w:w="2951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Capacidad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auth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POST login, GET me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Público solo para login; me exige sesión.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products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GET lista y detalle, POST creación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Lectura o edición de catálogo.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catalog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Categorías, esquema, grid, workbook, ficha y atributos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Lectura o edición de catálogo.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catalog/admin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Categorías, plantillas y asignaciones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Administración de catálogo.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applications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Consulta, creación, edición y baja lógica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Aplicaciones.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equivalences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Homólogos, OEM y búsquedas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Equivalencias.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assets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Listado, carga, ZIP, descarga y baja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Documentos y activos.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imports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Preview, estado, confirmación y jobs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Importaciones.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search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Búsqueda semántica e indexación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Búsqueda y operación controlada.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ai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Propuesta comercial y extracción de candidatos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Ejecución de IA.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audit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Consulta y exportación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Auditoría.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workspaces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Proyección por slug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Capacidad del módulo solicitado.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health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live y ready</w:t>
            </w:r>
          </w:p>
        </w:tc>
        <w:tc>
          <w:tcPr>
            <w:tcW w:type="dxa" w:w="295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Público y sin datos sensibles.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Convenciones HTTP</w:t>
      </w:r>
    </w:p>
    <w:p>
      <w:pPr>
        <w:pStyle w:val="ListBullet"/>
        <w:spacing w:after="60"/>
      </w:pPr>
      <w:r>
        <w:rPr>
          <w:rFonts w:ascii="Arial" w:hAnsi="Arial"/>
        </w:rPr>
        <w:t>Mutaciones idempotentes mediante claves de negocio cuando el flujo puede repetirse.</w:t>
      </w:r>
    </w:p>
    <w:p>
      <w:pPr>
        <w:pStyle w:val="ListBullet"/>
        <w:spacing w:after="60"/>
      </w:pPr>
      <w:r>
        <w:rPr>
          <w:rFonts w:ascii="Arial" w:hAnsi="Arial"/>
        </w:rPr>
        <w:t>PATCH para modificaciones parciales y DELETE para bajas lógicas donde existe historial.</w:t>
      </w:r>
    </w:p>
    <w:p>
      <w:pPr>
        <w:pStyle w:val="ListBullet"/>
        <w:spacing w:after="60"/>
      </w:pPr>
      <w:r>
        <w:rPr>
          <w:rFonts w:ascii="Arial" w:hAnsi="Arial"/>
        </w:rPr>
        <w:t>Cache-Control private, no-store para respuestas de la API y del BFF autenticado.</w:t>
      </w:r>
    </w:p>
    <w:p>
      <w:pPr>
        <w:pStyle w:val="ListBullet"/>
        <w:spacing w:after="60"/>
      </w:pPr>
      <w:r>
        <w:rPr>
          <w:rFonts w:ascii="Arial" w:hAnsi="Arial"/>
        </w:rPr>
        <w:t>x-correlation-id propagado entre web, API, mensajes y logs.</w:t>
      </w:r>
    </w:p>
    <w:p>
      <w:pPr>
        <w:pStyle w:val="ListBullet"/>
        <w:spacing w:after="60"/>
      </w:pPr>
      <w:r>
        <w:rPr>
          <w:rFonts w:ascii="Arial" w:hAnsi="Arial"/>
        </w:rPr>
        <w:t>Límites de cuerpo de 100 KB por defecto y 2 MB para preview de importación.</w:t>
      </w:r>
    </w:p>
    <w:p>
      <w:pPr>
        <w:pStyle w:val="ListBullet"/>
        <w:spacing w:after="60"/>
      </w:pPr>
      <w:r>
        <w:rPr>
          <w:rFonts w:ascii="Arial" w:hAnsi="Arial"/>
        </w:rPr>
        <w:t>Timeout del BFF menor al tiempo máximo de infraestructura para evitar trabajos huérfanos prolongados.</w:t>
      </w:r>
    </w:p>
    <w:p>
      <w:pPr>
        <w:pStyle w:val="Heading1"/>
        <w:keepNext/>
      </w:pPr>
      <w:r>
        <w:t>9 Diseño de IA y búsqueda semántica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23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230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Proveedor objetivo</w:t>
            </w:r>
          </w:p>
        </w:tc>
        <w:tc>
          <w:tcPr>
            <w:tcW w:type="dxa" w:w="237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Uso</w:t>
            </w:r>
          </w:p>
        </w:tc>
        <w:tc>
          <w:tcPr>
            <w:tcW w:type="dxa" w:w="273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Salvaguarda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EmbeddingProviderPort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text-embedding-3-small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Indexación y consulta semántica.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Hash de fuente, dimensión 1536 y reindexación por modelo.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TextGenerationProviderPort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gpt-6-luna configurable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Propuesta de descripción comercial.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Candidato sin persistencia y revisión humana.</w:t>
            </w:r>
          </w:p>
        </w:tc>
      </w:tr>
      <w:tr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DocumentExtractionProviderPort</w:t>
            </w:r>
          </w:p>
        </w:tc>
        <w:tc>
          <w:tcPr>
            <w:tcW w:type="dxa" w:w="230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gpt-6-luna configurable</w:t>
            </w:r>
          </w:p>
        </w:tc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Extracción desde PDF o imagen.</w:t>
            </w:r>
          </w:p>
        </w:tc>
        <w:tc>
          <w:tcPr>
            <w:tcW w:type="dxa" w:w="273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MIME, firma, hash, tamaño, esquema estricto y atributos autorizados.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Selección por configuración</w:t>
      </w:r>
    </w:p>
    <w:p>
      <w:r>
        <w:rPr>
          <w:rFonts w:ascii="Arial" w:hAnsi="Arial"/>
          <w:i w:val="0"/>
        </w:rPr>
        <w:t>Cada capacidad selecciona fake u OpenAI de forma independiente. El valor predeterminado es fake para que desarrollo y CI funcionen sin clave ni consumo. OPENAI_API_KEY solo se exige cuando una capacidad activa OpenAI y nunca se acepta por HTTP ni se almacena en la base de datos.</w:t>
      </w:r>
    </w:p>
    <w:p>
      <w:pPr>
        <w:pStyle w:val="Heading2"/>
        <w:keepNext/>
      </w:pPr>
      <w:r>
        <w:t>9.2 Costos y versionado</w:t>
      </w:r>
    </w:p>
    <w:p>
      <w:pPr>
        <w:pStyle w:val="ListBullet"/>
        <w:spacing w:after="60"/>
      </w:pPr>
      <w:r>
        <w:rPr>
          <w:rFonts w:ascii="Arial" w:hAnsi="Arial"/>
        </w:rPr>
        <w:t>El hash SHA 256 del texto evita regenerar embeddings sin cambios.</w:t>
      </w:r>
    </w:p>
    <w:p>
      <w:pPr>
        <w:pStyle w:val="ListBullet"/>
        <w:spacing w:after="60"/>
      </w:pPr>
      <w:r>
        <w:rPr>
          <w:rFonts w:ascii="Arial" w:hAnsi="Arial"/>
        </w:rPr>
        <w:t>Los vectores se versionan por producto y modelo; modelos antiguos y nuevos pueden coexistir durante una migración.</w:t>
      </w:r>
    </w:p>
    <w:p>
      <w:pPr>
        <w:pStyle w:val="ListBullet"/>
        <w:spacing w:after="60"/>
      </w:pPr>
      <w:r>
        <w:rPr>
          <w:rFonts w:ascii="Arial" w:hAnsi="Arial"/>
        </w:rPr>
        <w:t>Cambiar dimensión exige migración de esquema y reindexación completa.</w:t>
      </w:r>
    </w:p>
    <w:p>
      <w:pPr>
        <w:pStyle w:val="ListBullet"/>
        <w:spacing w:after="60"/>
      </w:pPr>
      <w:r>
        <w:rPr>
          <w:rFonts w:ascii="Arial" w:hAnsi="Arial"/>
        </w:rPr>
        <w:t>La generación masiva debe ejecutarse mediante jobs y cuotas antes de habilitarse en producción.</w:t>
      </w:r>
    </w:p>
    <w:p>
      <w:pPr>
        <w:pStyle w:val="ListBullet"/>
        <w:spacing w:after="60"/>
      </w:pPr>
      <w:r>
        <w:rPr>
          <w:rFonts w:ascii="Arial" w:hAnsi="Arial"/>
        </w:rPr>
        <w:t>Los prompts deberán versionarse cuando sus resultados se conviertan en una funcionalidad operativa estable.</w:t>
      </w:r>
    </w:p>
    <w:p>
      <w:pPr>
        <w:pStyle w:val="Heading1"/>
        <w:keepNext/>
      </w:pPr>
      <w:r>
        <w:t>10 Integraciones y procesamiento asíncrono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Integración</w:t>
            </w:r>
          </w:p>
        </w:tc>
        <w:tc>
          <w:tcPr>
            <w:tcW w:type="dxa" w:w="223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Puerto</w:t>
            </w:r>
          </w:p>
        </w:tc>
        <w:tc>
          <w:tcPr>
            <w:tcW w:type="dxa" w:w="1655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17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Dependencia pendiente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Dynamics AX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ErpProductSourcePort</w:t>
            </w:r>
          </w:p>
        </w:tc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Stub explícito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Superficie, autenticación, delta, mapeo y VPN.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PrestaShop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CommercePublisherPort</w:t>
            </w:r>
          </w:p>
        </w:tc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Stub explícito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Versión, API, mapeo y red.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Pedidos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OrderChannelPublisherPort</w:t>
            </w:r>
          </w:p>
        </w:tc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Stub explícito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Sistema destino y contrato.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OpenAI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Tres puertos de IA</w:t>
            </w:r>
          </w:p>
        </w:tc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Implementado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Clave, presupuesto y política de uso.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S3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ObjectStoragePort</w:t>
            </w:r>
          </w:p>
        </w:tc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Implementado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Bucket, IAM y lifecycle por ambiente.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SQS</w:t>
            </w:r>
          </w:p>
        </w:tc>
        <w:tc>
          <w:tcPr>
            <w:tcW w:type="dxa" w:w="22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QueuePort</w:t>
            </w:r>
          </w:p>
        </w:tc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Implementado</w:t>
            </w:r>
          </w:p>
        </w:tc>
        <w:tc>
          <w:tcPr>
            <w:tcW w:type="dxa" w:w="41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Cola, DLQ y alarmas por ambiente.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Contrato de trabajo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727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schemaVersion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Permite rechazar mensajes incompatibles.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jobId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Identidad técnica única del mensaje.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type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AX_SYNC, AI_EMBEDDING, DOCUMENT_EXTRACTION, IMPORT_BATCH o CHANNEL_PUBLISH.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correlationId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Une solicitud, logs y procesamiento asíncrono.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idempotencyKey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Identidad de negocio para redelivery segura.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occurredAt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Fecha UTC de publicación.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source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Productor del trabajo.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payload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Datos validados específicos del tipo.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10.2 Política de fallos</w:t>
      </w:r>
    </w:p>
    <w:p>
      <w:pPr>
        <w:pStyle w:val="ListBullet"/>
        <w:spacing w:after="60"/>
      </w:pPr>
      <w:r>
        <w:rPr>
          <w:rFonts w:ascii="Arial" w:hAnsi="Arial"/>
        </w:rPr>
        <w:t>Éxito: reconocer y eliminar el mensaje.</w:t>
      </w:r>
    </w:p>
    <w:p>
      <w:pPr>
        <w:pStyle w:val="ListBullet"/>
        <w:spacing w:after="60"/>
      </w:pPr>
      <w:r>
        <w:rPr>
          <w:rFonts w:ascii="Arial" w:hAnsi="Arial"/>
        </w:rPr>
        <w:t>Error permanente: registrar y reconocer; reintentar no puede corregirlo.</w:t>
      </w:r>
    </w:p>
    <w:p>
      <w:pPr>
        <w:pStyle w:val="ListBullet"/>
        <w:spacing w:after="60"/>
      </w:pPr>
      <w:r>
        <w:rPr>
          <w:rFonts w:ascii="Arial" w:hAnsi="Arial"/>
        </w:rPr>
        <w:t>Error transitorio: liberar con backoff exponencial para redelivery.</w:t>
      </w:r>
    </w:p>
    <w:p>
      <w:pPr>
        <w:pStyle w:val="ListBullet"/>
        <w:spacing w:after="60"/>
      </w:pPr>
      <w:r>
        <w:rPr>
          <w:rFonts w:ascii="Arial" w:hAnsi="Arial"/>
        </w:rPr>
        <w:t>Intentos agotados o tipo desconocido: dejar que la política de redrive de SQS lo mueva a la DLQ.</w:t>
      </w:r>
    </w:p>
    <w:p>
      <w:pPr>
        <w:pStyle w:val="ListBullet"/>
        <w:spacing w:after="60"/>
      </w:pPr>
      <w:r>
        <w:rPr>
          <w:rFonts w:ascii="Arial" w:hAnsi="Arial"/>
        </w:rPr>
        <w:t>Todos los handlers deben ser idempotentes porque SQS entrega al menos una vez.</w:t>
      </w:r>
    </w:p>
    <w:p>
      <w:pPr>
        <w:pStyle w:val="Heading1"/>
        <w:keepNext/>
        <w:pageBreakBefore/>
      </w:pPr>
      <w:r>
        <w:t>11 Seguridad y auditoría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Control</w:t>
            </w:r>
          </w:p>
        </w:tc>
        <w:tc>
          <w:tcPr>
            <w:tcW w:type="dxa" w:w="604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187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Estado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Autenticación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JWT HS256 con issuer, audience, jti y TTL corto.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 local y test.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Autorización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Capacidades explícitas y matriz por atributo; API como autoridad.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Sesión web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Cookie HttpOnly, SameSite Lax y __Host Secure en producción.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CSRF y origen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Login y logout aceptan únicamente PUBLIC_APP_ORIGIN exacto.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Rate limiting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Global, ruta, login por cuenta e IP, IA e indexación por actor.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 por tarea.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Errores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Filtro único sin stack trace ni mensajes del driver.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Secretos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Sin secretos en git; Secrets Manager en QAS y PRD.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Diseñado; despliegue pendiente.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Logs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Redacción recursiva de password, token, API key, cookie, PSK y similares.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 y probado.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Auditoría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Evento y cambios de campo append only con triggers anti modificación.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Operativo.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Transporte</w:t>
            </w:r>
          </w:p>
        </w:tc>
        <w:tc>
          <w:tcPr>
            <w:tcW w:type="dxa" w:w="604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TLS, HSTS en QAS y PRD, verify full para RDS.</w:t>
            </w:r>
          </w:p>
        </w:tc>
        <w:tc>
          <w:tcPr>
            <w:tcW w:type="dxa" w:w="18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Requisito de despliegue.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Roles de negocio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Rol</w:t>
            </w:r>
          </w:p>
        </w:tc>
        <w:tc>
          <w:tcPr>
            <w:tcW w:type="dxa" w:w="727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Capacidades representativas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VENTAS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Consultar catálogo, aplicaciones, equivalencias y ejecutar flujos permitidos de publicación.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COMPRAS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Editar atributos, aplicaciones y equivalencias; ejecutar importaciones e IA.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ADMINISTRADOR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Todas las capacidades, auditoría, integraciones, administración y operación.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Identidad pendiente</w:t>
      </w:r>
    </w:p>
    <w:p>
      <w:r>
        <w:rPr>
          <w:rFonts w:ascii="Arial" w:hAnsi="Arial"/>
          <w:i w:val="0"/>
        </w:rPr>
        <w:t>La autenticación local es un puente de desarrollo. PRD rechaza AUTH_MODE=local y QAS solo lo permite con una habilitación temporal explícita. Antes de producción, Casa del Rulimán debe decidir entre cuentas gestionadas por el PIM o integración con Active Directory o Microsoft 365 mediante OIDC; esa decisión define refresh, revocación, deshabilitación y SSO.</w:t>
      </w:r>
    </w:p>
    <w:p>
      <w:pPr>
        <w:pStyle w:val="Heading1"/>
        <w:keepNext/>
        <w:pageBreakBefore/>
      </w:pPr>
      <w:r>
        <w:t>12 Observabilidad y operación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15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Señal</w:t>
            </w:r>
          </w:p>
        </w:tc>
        <w:tc>
          <w:tcPr>
            <w:tcW w:type="dxa" w:w="763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Diseño</w:t>
            </w:r>
          </w:p>
        </w:tc>
      </w:tr>
      <w:tr>
        <w:tc>
          <w:tcPr>
            <w:tcW w:type="dxa" w:w="20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Logs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JSON estructurado por servicio, ambiente, versión y correlationId.</w:t>
            </w:r>
          </w:p>
        </w:tc>
      </w:tr>
      <w:tr>
        <w:tc>
          <w:tcPr>
            <w:tcW w:type="dxa" w:w="20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API health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Liveness del proceso y readiness con verificación de PostgreSQL.</w:t>
            </w:r>
          </w:p>
        </w:tc>
      </w:tr>
      <w:tr>
        <w:tc>
          <w:tcPr>
            <w:tcW w:type="dxa" w:w="20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Worker health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Estado del bucle consumidor y contadores received, completed, failed, retried, DLQ candidate y unhandled.</w:t>
            </w:r>
          </w:p>
        </w:tc>
      </w:tr>
      <w:tr>
        <w:tc>
          <w:tcPr>
            <w:tcW w:type="dxa" w:w="20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Métricas AWS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CPU, memoria, latencia y 5xx del ALB, conexiones de RDS, profundidad de SQS y DLQ.</w:t>
            </w:r>
          </w:p>
        </w:tc>
      </w:tr>
      <w:tr>
        <w:tc>
          <w:tcPr>
            <w:tcW w:type="dxa" w:w="20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Alarmas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SNS por ambiente; PRD notifica responsables y QAS un canal operativo.</w:t>
            </w:r>
          </w:p>
        </w:tc>
      </w:tr>
      <w:tr>
        <w:tc>
          <w:tcPr>
            <w:tcW w:type="dxa" w:w="20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Trazabilidad</w:t>
            </w:r>
          </w:p>
        </w:tc>
        <w:tc>
          <w:tcPr>
            <w:tcW w:type="dxa" w:w="763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correlationId en HTTP, mensajes y logs; OpenTelemetry y X Ray quedan como evolución.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12.1 Runbooks requeridos</w:t>
      </w:r>
    </w:p>
    <w:p>
      <w:pPr>
        <w:pStyle w:val="ListBullet"/>
        <w:spacing w:after="60"/>
      </w:pPr>
      <w:r>
        <w:rPr>
          <w:rFonts w:ascii="Arial" w:hAnsi="Arial"/>
        </w:rPr>
        <w:t>Reprocesamiento seguro de mensajes en DLQ.</w:t>
      </w:r>
    </w:p>
    <w:p>
      <w:pPr>
        <w:pStyle w:val="ListBullet"/>
        <w:spacing w:after="60"/>
      </w:pPr>
      <w:r>
        <w:rPr>
          <w:rFonts w:ascii="Arial" w:hAnsi="Arial"/>
        </w:rPr>
        <w:t>Rotación de secretos y reinicio controlado de servicios.</w:t>
      </w:r>
    </w:p>
    <w:p>
      <w:pPr>
        <w:pStyle w:val="ListBullet"/>
        <w:spacing w:after="60"/>
      </w:pPr>
      <w:r>
        <w:rPr>
          <w:rFonts w:ascii="Arial" w:hAnsi="Arial"/>
        </w:rPr>
        <w:t>Restauración de RDS a una instancia nueva y validación de integridad.</w:t>
      </w:r>
    </w:p>
    <w:p>
      <w:pPr>
        <w:pStyle w:val="ListBullet"/>
        <w:spacing w:after="60"/>
      </w:pPr>
      <w:r>
        <w:rPr>
          <w:rFonts w:ascii="Arial" w:hAnsi="Arial"/>
        </w:rPr>
        <w:t>Reindexación del catálogo al cambiar el modelo de embeddings.</w:t>
      </w:r>
    </w:p>
    <w:p>
      <w:pPr>
        <w:pStyle w:val="ListBullet"/>
        <w:spacing w:after="60"/>
      </w:pPr>
      <w:r>
        <w:rPr>
          <w:rFonts w:ascii="Arial" w:hAnsi="Arial"/>
        </w:rPr>
        <w:t>Rollback por digest y roll forward de migraciones incompatibles.</w:t>
      </w:r>
    </w:p>
    <w:p>
      <w:pPr>
        <w:pStyle w:val="ListBullet"/>
        <w:spacing w:after="60"/>
      </w:pPr>
      <w:r>
        <w:rPr>
          <w:rFonts w:ascii="Arial" w:hAnsi="Arial"/>
        </w:rPr>
        <w:t>Atención de importaciones parciales y reconciliación de objetos S3.</w:t>
      </w:r>
    </w:p>
    <w:p>
      <w:pPr>
        <w:pStyle w:val="Heading1"/>
        <w:keepNext/>
        <w:pageBreakBefore/>
      </w:pPr>
      <w:r>
        <w:t>13 Despliegue e infraestructura objetivo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3749802"/>
            <wp:docPr id="6" name="Picture 6" descr="Topología AWS con subredes públicas privadas y de dat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pliegu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749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/>
          <w:i/>
          <w:color w:val="6B7280"/>
          <w:sz w:val="17"/>
        </w:rPr>
        <w:t>Figura 5. Topología objetivo por ambiente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45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Componentes</w:t>
            </w:r>
          </w:p>
        </w:tc>
        <w:tc>
          <w:tcPr>
            <w:tcW w:type="dxa" w:w="446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Pública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ALB y NAT Gateway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Solo HTTPS de entrada; salida controlada.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Aplicación privada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ECS web, API y worker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Entrada únicamente desde ALB; worker con egress VPN.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Datos privada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RDS PostgreSQL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Sin ruta a internet; 5432 solo desde tareas ECS.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Servicios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S3, SQS, DLQ, EventBridge, Secrets Manager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Cifrado, IAM mínimo y acceso por rol de tarea.</w:t>
            </w:r>
          </w:p>
        </w:tc>
      </w:tr>
      <w:tr>
        <w:tc>
          <w:tcPr>
            <w:tcW w:type="dxa" w:w="172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Operación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CloudWatch y SNS</w:t>
            </w:r>
          </w:p>
        </w:tc>
        <w:tc>
          <w:tcPr>
            <w:tcW w:type="dxa" w:w="446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Logs, métricas, alarmas y retención por ambiente.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13.1 Separación de ambientes</w:t>
      </w:r>
    </w:p>
    <w:p>
      <w:r>
        <w:rPr>
          <w:rFonts w:ascii="Arial" w:hAnsi="Arial"/>
          <w:i w:val="0"/>
        </w:rPr>
        <w:t>QAS y PRD deben usar VPC, RDS, S3, SQS, secretos, clústeres, grupos de seguridad y estado Terraform separados. PRD agrega Multi AZ, protección contra borrado, retención mayor, al menos dos tareas API y aprobación manual de promoción.</w:t>
      </w:r>
    </w:p>
    <w:p>
      <w:pPr>
        <w:pStyle w:val="Heading2"/>
        <w:keepNext/>
      </w:pPr>
      <w:r>
        <w:t>13.2 Construcción y promoción</w:t>
      </w:r>
    </w:p>
    <w:p>
      <w:pPr>
        <w:spacing w:after="60"/>
        <w:ind w:left="288" w:hanging="288"/>
      </w:pPr>
      <w:r>
        <w:rPr>
          <w:rFonts w:ascii="Arial" w:hAnsi="Arial"/>
        </w:rPr>
        <w:t>1. CI construye imágenes linux amd64 con tag de SHA completo, provenance y SBOM.</w:t>
      </w:r>
    </w:p>
    <w:p>
      <w:pPr>
        <w:spacing w:after="60"/>
        <w:ind w:left="288" w:hanging="288"/>
      </w:pPr>
      <w:r>
        <w:rPr>
          <w:rFonts w:ascii="Arial" w:hAnsi="Arial"/>
        </w:rPr>
        <w:t>2. La imagen se publica una sola vez y se despliega por digest inmutable.</w:t>
      </w:r>
    </w:p>
    <w:p>
      <w:pPr>
        <w:spacing w:after="60"/>
        <w:ind w:left="288" w:hanging="288"/>
      </w:pPr>
      <w:r>
        <w:rPr>
          <w:rFonts w:ascii="Arial" w:hAnsi="Arial"/>
        </w:rPr>
        <w:t>3. QAS valida el artefacto; PRD recibe exactamente el mismo digest tras aprobación.</w:t>
      </w:r>
    </w:p>
    <w:p>
      <w:pPr>
        <w:spacing w:after="60"/>
        <w:ind w:left="288" w:hanging="288"/>
      </w:pPr>
      <w:r>
        <w:rPr>
          <w:rFonts w:ascii="Arial" w:hAnsi="Arial"/>
        </w:rPr>
        <w:t>4. Las migraciones corren como tarea ECS única antes de actualizar servicios.</w:t>
      </w:r>
    </w:p>
    <w:p>
      <w:pPr>
        <w:spacing w:after="60"/>
        <w:ind w:left="288" w:hanging="288"/>
      </w:pPr>
      <w:r>
        <w:rPr>
          <w:rFonts w:ascii="Arial" w:hAnsi="Arial"/>
        </w:rPr>
        <w:t>5. Las migraciones siguen expandir, migrar y contraer para conservar compatibilidad hacia atrás.</w:t>
      </w:r>
    </w:p>
    <w:p>
      <w:pPr>
        <w:pStyle w:val="Heading1"/>
        <w:keepNext/>
      </w:pPr>
      <w:r>
        <w:t>14 Calidad, pruebas y entrega continua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37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Capa de control</w:t>
            </w:r>
          </w:p>
        </w:tc>
        <w:tc>
          <w:tcPr>
            <w:tcW w:type="dxa" w:w="727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Cobertura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Formato y lint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Prettier, ESLint y reglas de dependencia hexagonal.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Typecheck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TypeScript sin emisión en todos los workspaces.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Pruebas unitarias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Dominio, casos de uso, adapters, contratos y componentes web.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Pruebas de arquitectura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Importaciones permitidas, process.env y ubicación del SDK OpenAI.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Pruebas de integración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PostgreSQL real, migraciones, pgvector, triggers, transacciones y rutas.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Build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Compilación de API, web, worker y paquetes compartidos.</w:t>
            </w:r>
          </w:p>
        </w:tc>
      </w:tr>
      <w:tr>
        <w:tc>
          <w:tcPr>
            <w:tcW w:type="dxa" w:w="23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Seguridad de suministro</w:t>
            </w:r>
          </w:p>
        </w:tc>
        <w:tc>
          <w:tcPr>
            <w:tcW w:type="dxa" w:w="72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pnpm audit, gitleaks, actions e imágenes fijadas y validación antes de OIDC.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14.1 Línea base verificada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45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619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Resultado en daf6dc8</w:t>
            </w:r>
          </w:p>
        </w:tc>
      </w:tr>
      <w:tr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Pruebas unitarias y de arquitectura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596 aprobadas.</w:t>
            </w:r>
          </w:p>
        </w:tc>
      </w:tr>
      <w:tr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Pruebas de integración PostgreSQL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86 aprobadas en 14 archivos.</w:t>
            </w:r>
          </w:p>
        </w:tc>
      </w:tr>
      <w:tr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Total automatizado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682 pruebas aprobadas.</w:t>
            </w:r>
          </w:p>
        </w:tc>
      </w:tr>
      <w:tr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Formato, lint y typecheck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Aprobados.</w:t>
            </w:r>
          </w:p>
        </w:tc>
      </w:tr>
      <w:tr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Build completo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Aprobado.</w:t>
            </w:r>
          </w:p>
        </w:tc>
      </w:tr>
      <w:tr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Escaneo previo a commit</w:t>
            </w:r>
          </w:p>
        </w:tc>
        <w:tc>
          <w:tcPr>
            <w:tcW w:type="dxa" w:w="61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8"/>
              </w:rPr>
              <w:t>Sin claves OpenAI ni material de llave privada versionado.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15 Requisitos no funcionales</w:t>
      </w:r>
    </w:p>
    <w:p>
      <w:r>
        <w:rPr>
          <w:rFonts w:ascii="Arial" w:hAnsi="Arial"/>
          <w:i w:val="0"/>
        </w:rPr>
        <w:t>La arquitectura implementa mecanismos para disponibilidad, seguridad y escalabilidad, pero los objetivos contractuales todavía deben acordarse con el cliente. El diseño no presenta como SLA valores que aún no han sido aprobados.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Atributo</w:t>
            </w:r>
          </w:p>
        </w:tc>
        <w:tc>
          <w:tcPr>
            <w:tcW w:type="dxa" w:w="496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Mecanismo actual</w:t>
            </w:r>
          </w:p>
        </w:tc>
        <w:tc>
          <w:tcPr>
            <w:tcW w:type="dxa" w:w="309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Definición pendiente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Disponibilidad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ECS, health checks, circuit breaker, RDS Multi AZ objetivo y servicios administrados.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SLA, horario de soporte y RTO.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Recuperación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Backups RDS, point in time recovery y objetos versionados.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RPO, pruebas y frecuencia de restauración.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Rendimiento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Índice HNSW, paginación, límites de cuerpo, procesamiento asíncrono.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P95 por operación y volumen concurrente.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Escalabilidad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Web y API por solicitudes; worker por profundidad de cola.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Umbrales y límites de costo.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Seguridad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JWT, capacidades, cifrado objetivo, secretos, rate limits y auditoría.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Identidad empresarial, WAF y pentest.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Mantenibilidad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Monorepo, contratos compartidos, ADR y pruebas de frontera.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Modelo de soporte y propietarios.</w:t>
            </w:r>
          </w:p>
        </w:tc>
      </w:tr>
      <w:tr>
        <w:tc>
          <w:tcPr>
            <w:tcW w:type="dxa" w:w="158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Trazabilidad</w:t>
            </w:r>
          </w:p>
        </w:tc>
        <w:tc>
          <w:tcPr>
            <w:tcW w:type="dxa" w:w="49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correlationId y auditoría por campo.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6"/>
              </w:rPr>
              <w:t>Retención y archivo inmutable.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16 Riesgos brechas y hoja de ruta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08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Prioridad</w:t>
            </w:r>
          </w:p>
        </w:tc>
        <w:tc>
          <w:tcPr>
            <w:tcW w:type="dxa" w:w="259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Brecha</w:t>
            </w:r>
          </w:p>
        </w:tc>
        <w:tc>
          <w:tcPr>
            <w:tcW w:type="dxa" w:w="288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09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Acción recomendada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Alta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Identidad empresarial no definida.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PRD no puede iniciar de forma segura.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Acordar OIDC o cuentas PIM y diseñar revocación.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Alta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Adapter Dynamics AX pendiente.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No existe sincronización real de productos.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Definir superficie, delta, mapeo, cuenta y VPN.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Alta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Infraestructura aún no aplicada.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Controles AWS no están verificados.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Plan de Terraform en QAS y validación de red e IAM.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Media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Worker de embeddings no conectado al catálogo.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Reindexación masiva no operativa.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Extraer persistencia compartida y completar handler.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Media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PrestaShop y pedidos son stubs.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No hay publicación real a canales.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Acordar contratos y pruebas de sandbox.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Media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Sin antimalware ni reconciliación S3.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Riesgo operativo sobre archivos.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Incorporar escaneo y lifecycle antes de PRD.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Media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Cuotas y presupuesto de IA no agregados.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Riesgo de costo y abuso.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Definir presupuesto, métricas y límites distribuidos.</w:t>
            </w:r>
          </w:p>
        </w:tc>
      </w:tr>
      <w:tr>
        <w:tc>
          <w:tcPr>
            <w:tcW w:type="dxa" w:w="10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Baja</w:t>
            </w:r>
          </w:p>
        </w:tc>
        <w:tc>
          <w:tcPr>
            <w:tcW w:type="dxa" w:w="25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Sin trazas distribuidas ni reporte frontend.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Diagnóstico más lento.</w:t>
            </w:r>
          </w:p>
        </w:tc>
        <w:tc>
          <w:tcPr>
            <w:tcW w:type="dxa" w:w="309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Adoptar OpenTelemetry X Ray y captura de errores.</w:t>
            </w:r>
          </w:p>
        </w:tc>
      </w:tr>
    </w:tbl>
    <w:p>
      <w:pPr>
        <w:spacing w:after="20"/>
      </w:pPr>
    </w:p>
    <w:p>
      <w:pPr>
        <w:pStyle w:val="Heading2"/>
        <w:keepNext/>
        <w:pageBreakBefore/>
      </w:pPr>
      <w:r>
        <w:t>16.1 Secuencia propuesta</w:t>
      </w:r>
    </w:p>
    <w:p>
      <w:pPr>
        <w:spacing w:after="60"/>
        <w:ind w:left="288" w:hanging="288"/>
      </w:pPr>
      <w:r>
        <w:rPr>
          <w:rFonts w:ascii="Arial" w:hAnsi="Arial"/>
        </w:rPr>
        <w:t>1. Cerrar decisiones del cliente: identidad, AX, PrestaShop, pedidos, retención de auditoría y diccionario de aplicaciones.</w:t>
      </w:r>
    </w:p>
    <w:p>
      <w:pPr>
        <w:spacing w:after="60"/>
        <w:ind w:left="288" w:hanging="288"/>
      </w:pPr>
      <w:r>
        <w:rPr>
          <w:rFonts w:ascii="Arial" w:hAnsi="Arial"/>
        </w:rPr>
        <w:t>2. Completar adapters e identidad empresarial con pruebas contractuales y de sandbox.</w:t>
      </w:r>
    </w:p>
    <w:p>
      <w:pPr>
        <w:spacing w:after="60"/>
        <w:ind w:left="288" w:hanging="288"/>
      </w:pPr>
      <w:r>
        <w:rPr>
          <w:rFonts w:ascii="Arial" w:hAnsi="Arial"/>
        </w:rPr>
        <w:t>3. Aplicar infraestructura de QAS, cargar secretos y ejecutar migraciones y seed controlado.</w:t>
      </w:r>
    </w:p>
    <w:p>
      <w:pPr>
        <w:spacing w:after="60"/>
        <w:ind w:left="288" w:hanging="288"/>
      </w:pPr>
      <w:r>
        <w:rPr>
          <w:rFonts w:ascii="Arial" w:hAnsi="Arial"/>
        </w:rPr>
        <w:t>4. Realizar UAT, pruebas de carga, restauración, seguridad y operación.</w:t>
      </w:r>
    </w:p>
    <w:p>
      <w:pPr>
        <w:spacing w:after="60"/>
        <w:ind w:left="288" w:hanging="288"/>
      </w:pPr>
      <w:r>
        <w:rPr>
          <w:rFonts w:ascii="Arial" w:hAnsi="Arial"/>
        </w:rPr>
        <w:t>5. Corregir hallazgos, promover el mismo digest a PRD y activar monitoreo y runbooks.</w:t>
      </w:r>
    </w:p>
    <w:p>
      <w:pPr>
        <w:pStyle w:val="Heading2"/>
        <w:keepNext/>
      </w:pPr>
      <w:r>
        <w:t>16.2 Entregables y criterios de salida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5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Fase</w:t>
            </w:r>
          </w:p>
        </w:tc>
        <w:tc>
          <w:tcPr>
            <w:tcW w:type="dxa" w:w="439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360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Criterio de salida</w:t>
            </w:r>
          </w:p>
        </w:tc>
      </w:tr>
      <w:tr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1. Decisiones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Acta de identidad, integraciones, retención y datos.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Responsables y contratos aprobados.</w:t>
            </w:r>
          </w:p>
        </w:tc>
      </w:tr>
      <w:tr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2. Construcción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Adapters reales, OIDC y pruebas contractuales.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Sandbox estable y seguridad automatizada aprobada.</w:t>
            </w:r>
          </w:p>
        </w:tc>
      </w:tr>
      <w:tr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3. QAS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Terraform aplicado, secretos, migraciones y seed.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Readiness operativo y catálogo reconciliado.</w:t>
            </w:r>
          </w:p>
        </w:tc>
      </w:tr>
      <w:tr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4. Validación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UAT, carga, restauración y pruebas de operación.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Hallazgos críticos cerrados y aceptación registrada.</w:t>
            </w:r>
          </w:p>
        </w:tc>
      </w:tr>
      <w:tr>
        <w:tc>
          <w:tcPr>
            <w:tcW w:type="dxa" w:w="165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5. Producción</w:t>
            </w:r>
          </w:p>
        </w:tc>
        <w:tc>
          <w:tcPr>
            <w:tcW w:type="dxa" w:w="43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Promoción por digest, monitoreo, rollback y runbooks.</w:t>
            </w:r>
          </w:p>
        </w:tc>
        <w:tc>
          <w:tcPr>
            <w:tcW w:type="dxa" w:w="360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Smoke test aprobado y soporte activo.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</w:pPr>
      <w:r>
        <w:t>17 Registro de decisiones técnicas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2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Decisión</w:t>
            </w:r>
          </w:p>
        </w:tc>
        <w:tc>
          <w:tcPr>
            <w:tcW w:type="dxa" w:w="288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Tema</w:t>
            </w:r>
          </w:p>
        </w:tc>
        <w:tc>
          <w:tcPr>
            <w:tcW w:type="dxa" w:w="5544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Motivo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001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Monolito modular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Evita complejidad prematura y conserva límites extraíbles.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002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Arquitectura hexagonal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Aísla dominio y casos de uso de proveedores.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003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Monorepo y repositorio de infraestructura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Coordina contratos y separa cadencias y permisos.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004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AWS ECS Fargate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Operación administrada sin gestionar clústeres.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005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PostgreSQL y pgvector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Transacción, flexibilidad y búsqueda semántica en una plataforma.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006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SQS y EventBridge sin Redis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Mensajería administrada con DLQ y programación.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007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OpenAI detrás de puertos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Permite fakes, cambio de proveedor y activación por capacidad.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008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VPN Site to Site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Conectividad privada hacia AX y servicios internos.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009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Drizzle y SQL manual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Tipado en código con migraciones explícitas y auditables.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010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Terraform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Infraestructura reproducible y revisable.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011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Herencia por código unificador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Atributos y aplicaciones se comparten en el grupo.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012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Datos gobernados por plantillas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Esquema dinámico sin tablas por categoría.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013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Capacidad y autorización por atributo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Control server side fino por rol y campo.</w:t>
            </w:r>
          </w:p>
        </w:tc>
      </w:tr>
      <w:tr>
        <w:tc>
          <w:tcPr>
            <w:tcW w:type="dxa" w:w="12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ADR 014</w:t>
            </w:r>
          </w:p>
        </w:tc>
        <w:tc>
          <w:tcPr>
            <w:tcW w:type="dxa" w:w="28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Propagación ejecutable y auditable</w:t>
            </w:r>
          </w:p>
        </w:tc>
        <w:tc>
          <w:tcPr>
            <w:tcW w:type="dxa" w:w="55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Replica cambios de forma atómica y trazable.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18 Apéndices</w:t>
      </w:r>
    </w:p>
    <w:p>
      <w:pPr>
        <w:pStyle w:val="Heading2"/>
        <w:keepNext/>
      </w:pPr>
      <w:r>
        <w:t>18.1 Configuración por categorías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Categoría</w:t>
            </w:r>
          </w:p>
        </w:tc>
        <w:tc>
          <w:tcPr>
            <w:tcW w:type="dxa" w:w="468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Variables representativas</w:t>
            </w:r>
          </w:p>
        </w:tc>
        <w:tc>
          <w:tcPr>
            <w:tcW w:type="dxa" w:w="3456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Runtime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APP_ENV, APP_VERSION, PORT, LOG_LEVEL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Validadas al arrancar.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Base de datos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DATABASE_URL, DATABASE_SSL, DATABASE_SSL_CA_FILE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TLS verify full obligatorio en QAS y PRD.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Identidad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AUTH_MODE, JWT_SECRET, JWT_ISSUER, JWT_AUDIENCE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Local prohibido en PRD.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Web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API_BASE_URL, PUBLIC_APP_ORIGIN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API interna resuelta en runtime; origen exacto.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IA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AI_*_PROVIDER, modelos, dimensiones, OPENAI_API_KEY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Fake por defecto; secreto solo por ambiente.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Mensajería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QUEUE_DRIVER, SQS_JOBS_QUEUE_URL, AWS_REGION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Memory solo local; SQS en ambientes.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Storage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STORAGE_DRIVER, S3_BUCKET_ASSETS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Memory local; S3 privado por ambiente.</w:t>
            </w:r>
          </w:p>
        </w:tc>
      </w:tr>
      <w:tr>
        <w:tc>
          <w:tcPr>
            <w:tcW w:type="dxa" w:w="15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Límites</w:t>
            </w:r>
          </w:p>
        </w:tc>
        <w:tc>
          <w:tcPr>
            <w:tcW w:type="dxa" w:w="468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RATE_LIMIT_*, AI_DOCUMENT_MAX_BYTES, OPENAI_TIMEOUT_MS</w:t>
            </w:r>
          </w:p>
        </w:tc>
        <w:tc>
          <w:tcPr>
            <w:tcW w:type="dxa" w:w="345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5"/>
              </w:rPr>
              <w:t>Valores validados y sin exposición de secretos.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18.2 Glosario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Término</w:t>
            </w:r>
          </w:p>
        </w:tc>
        <w:tc>
          <w:tcPr>
            <w:tcW w:type="dxa" w:w="7560"/>
            <w:vAlign w:val="center"/>
            <w:shd w:fill="27313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Definición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PIM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Product Information Management; sistema maestro de información enriquecida de productos.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Código unificador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Identidad del grupo que relaciona SKU equivalentes y gobierna herencia.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Homólogo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Código externo relacionado; solo participa en búsqueda si está activo y aprobado.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OEM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Código del fabricante de equipo original asociado al grupo.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BFF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Backend for Frontend implementado por route handlers de Next.js.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Puerto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Contrato de capacidad que desacopla aplicación y proveedor técnico.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Adapter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Implementación concreta de un puerto para PostgreSQL, AWS, OpenAI o un sistema externo.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DLQ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Cola de mensajes que agotaron la política de redelivery.</w:t>
            </w:r>
          </w:p>
        </w:tc>
      </w:tr>
      <w:tr>
        <w:tc>
          <w:tcPr>
            <w:tcW w:type="dxa" w:w="208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ADR</w:t>
            </w:r>
          </w:p>
        </w:tc>
        <w:tc>
          <w:tcPr>
            <w:tcW w:type="dxa" w:w="75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color w:val="000000"/>
                <w:sz w:val="17"/>
              </w:rPr>
              <w:t>Registro de una decisión de arquitectura y su justificación.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18.3 Fuentes técnicas de la línea base</w:t>
      </w:r>
    </w:p>
    <w:p>
      <w:pPr>
        <w:pStyle w:val="ListBullet"/>
        <w:spacing w:after="60"/>
      </w:pPr>
      <w:r>
        <w:rPr>
          <w:rFonts w:ascii="Arial" w:hAnsi="Arial"/>
        </w:rPr>
        <w:t>README.md y CLAUDE.md del repositorio cdr-pim-platform.</w:t>
      </w:r>
    </w:p>
    <w:p>
      <w:pPr>
        <w:pStyle w:val="ListBullet"/>
        <w:spacing w:after="60"/>
      </w:pPr>
      <w:r>
        <w:rPr>
          <w:rFonts w:ascii="Arial" w:hAnsi="Arial"/>
        </w:rPr>
        <w:t>docs/architecture: contexto, módulos, datos, IA, integraciones, seguridad, observabilidad y despliegue.</w:t>
      </w:r>
    </w:p>
    <w:p>
      <w:pPr>
        <w:pStyle w:val="ListBullet"/>
        <w:spacing w:after="60"/>
      </w:pPr>
      <w:r>
        <w:rPr>
          <w:rFonts w:ascii="Arial" w:hAnsi="Arial"/>
        </w:rPr>
        <w:t>docs/adr: ADR 001 a ADR 014.</w:t>
      </w:r>
    </w:p>
    <w:p>
      <w:pPr>
        <w:pStyle w:val="ListBullet"/>
        <w:spacing w:after="60"/>
      </w:pPr>
      <w:r>
        <w:rPr>
          <w:rFonts w:ascii="Arial" w:hAnsi="Arial"/>
        </w:rPr>
        <w:t>apps/api, apps/web, apps/worker y packages compartidos en el commit daf6dc8.</w:t>
      </w:r>
    </w:p>
    <w:p>
      <w:pPr>
        <w:pStyle w:val="ListBullet"/>
        <w:spacing w:after="60"/>
      </w:pPr>
      <w:r>
        <w:rPr>
          <w:rFonts w:ascii="Arial" w:hAnsi="Arial"/>
        </w:rPr>
        <w:t>apps/api/drizzle: migraciones 0000 a 0018.</w:t>
      </w:r>
    </w:p>
    <w:p>
      <w:pPr>
        <w:pStyle w:val="ListBullet"/>
        <w:spacing w:after="60"/>
      </w:pPr>
      <w:r>
        <w:rPr>
          <w:rFonts w:ascii="Arial" w:hAnsi="Arial"/>
        </w:rPr>
        <w:t>client-template-manifest.json generado desde PLANTILLAS PIM(1) (1).xlsx.</w:t>
      </w:r>
    </w:p>
    <w:p>
      <w:r>
        <w:rPr>
          <w:rFonts w:ascii="Arial" w:hAnsi="Arial"/>
          <w:i/>
        </w:rPr>
        <w:t>Fin del documento.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6B7280"/>
        <w:sz w:val="17"/>
      </w:rPr>
      <w:t xml:space="preserve">Casa del Rulimán   •   PYP 000062   •   Página </w:t>
    </w:r>
    <w:r>
      <w:rPr>
        <w:rFonts w:ascii="Arial" w:hAnsi="Arial"/>
        <w:color w:val="6B7280"/>
        <w:sz w:val="17"/>
      </w:rPr>
      <w:fldChar w:fldCharType="begin"/>
      <w:instrText xml:space="preserve">PAGE</w:instrText>
      <w:fldChar w:fldCharType="end"/>
    </w:r>
    <w:r>
      <w:rPr>
        <w:rFonts w:ascii="Arial" w:hAnsi="Arial"/>
        <w:color w:val="6B7280"/>
        <w:sz w:val="17"/>
      </w:rPr>
      <w:t xml:space="preserve"> de </w:t>
    </w:r>
    <w:r>
      <w:rPr>
        <w:rFonts w:ascii="Arial" w:hAnsi="Arial"/>
        <w:color w:val="6B7280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4B5563"/>
        <w:sz w:val="17"/>
      </w:rPr>
      <w:t>Diseño técnico  |  CDR PIM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técnico de la plataforma CDR PIM</dc:title>
  <dc:subject>Arquitectura y diseño técnico del Catálogo Maestro de Productos con IA</dc:subject>
  <dc:creator>Equipo del proyecto CDR PIM</dc:creator>
  <cp:keywords>PIM, arquitectura, diseño técnico, Casa del Rulimán</cp:keywords>
  <dc:description>Línea base técnica commit daf6dc8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