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Subvastus</w:t>
      </w:r>
      <w:r>
        <w:t xml:space="preserve"> </w:t>
      </w:r>
      <w:r>
        <w:t xml:space="preserve">cohort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Corey</w:t>
      </w:r>
      <w:r>
        <w:t xml:space="preserve"> </w:t>
      </w:r>
      <w:r>
        <w:t xml:space="preserve">Scholes</w:t>
      </w:r>
    </w:p>
    <w:p>
      <w:pPr>
        <w:pStyle w:val="Date"/>
      </w:pPr>
      <w:r>
        <w:t xml:space="preserve">2026-03-10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eamble"/>
    <w:p>
      <w:pPr>
        <w:pStyle w:val="Heading1"/>
      </w:pPr>
      <w:r>
        <w:t xml:space="preserve">1. Preamble</w:t>
      </w:r>
    </w:p>
    <w:p>
      <w:pPr>
        <w:pStyle w:val="FirstParagraph"/>
      </w:pPr>
      <w:r>
        <w:t xml:space="preserve">The following analysis is a report on the activity, quality and data contained in the AORA registry.</w:t>
      </w:r>
    </w:p>
    <w:p>
      <w:pPr>
        <w:pStyle w:val="BodyText"/>
      </w:pPr>
      <w:r>
        <w:t xml:space="preserve">Access to the AORA datasets was pre-authorised.</w:t>
      </w:r>
    </w:p>
    <w:p>
      <w:pPr>
        <w:pStyle w:val="BodyText"/>
      </w:pPr>
      <w:r>
        <w:t xml:space="preserve">A function was generated to retrieve files to call on later in the analysis for processing data imports.</w:t>
      </w:r>
    </w:p>
    <w:p>
      <w:pPr>
        <w:pStyle w:val="BodyText"/>
      </w:pPr>
      <w:r>
        <w:t xml:space="preserve">Data was retrieved from live database tables. Source files were specified and stored as global variables to call on in further functions.</w:t>
      </w:r>
    </w:p>
    <w:bookmarkStart w:id="20" w:name="retrieve-mmm"/>
    <w:p>
      <w:pPr>
        <w:pStyle w:val="Heading2"/>
      </w:pPr>
      <w:r>
        <w:t xml:space="preserve">1.1 Retrieve MMM</w:t>
      </w:r>
    </w:p>
    <w:p>
      <w:pPr>
        <w:pStyle w:val="SourceCode"/>
      </w:pPr>
      <w:r>
        <w:rPr>
          <w:rStyle w:val="VerbatimChar"/>
        </w:rPr>
        <w:t xml:space="preserve">Rows: 3,420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`POA 2021 Code`                   &lt;dbl&gt; 800, 810, 812, 820, 822, 822, 822, 8…</w:t>
      </w:r>
      <w:r>
        <w:br/>
      </w:r>
      <w:r>
        <w:rPr>
          <w:rStyle w:val="VerbatimChar"/>
        </w:rPr>
        <w:t xml:space="preserve">$ `POA 2021 Area (km2)`             &lt;dbl&gt; 3.1731, 24.4283, 35.8899, 39.0642, 1…</w:t>
      </w:r>
      <w:r>
        <w:br/>
      </w:r>
      <w:r>
        <w:rPr>
          <w:rStyle w:val="VerbatimChar"/>
        </w:rPr>
        <w:t xml:space="preserve">$ `MMM 2023`                        &lt;dbl&gt; 2, 2, 2, 2, 2, 5, 6, 7, 2, 2, 2, 5, …</w:t>
      </w:r>
      <w:r>
        <w:br/>
      </w:r>
      <w:r>
        <w:rPr>
          <w:rStyle w:val="VerbatimChar"/>
        </w:rPr>
        <w:t xml:space="preserve">$ `MMM 2023 Area in POA 2021 (km2)` &lt;dbl&gt; 3.173800e+00, 2.442859e+01, 3.588975…</w:t>
      </w:r>
    </w:p>
    <w:p>
      <w:pPr>
        <w:pStyle w:val="FirstParagraph"/>
      </w:pPr>
      <w:r>
        <w:t xml:space="preserve">A static registry snapshot was retrieved and formatted based on the fixed date of preparation of the snapshot (01-Dec-2025).</w:t>
      </w:r>
    </w:p>
    <w:bookmarkEnd w:id="20"/>
    <w:bookmarkEnd w:id="21"/>
    <w:bookmarkStart w:id="23" w:name="context"/>
    <w:p>
      <w:pPr>
        <w:pStyle w:val="Heading1"/>
      </w:pPr>
      <w:r>
        <w:t xml:space="preserve">2. Context</w:t>
      </w:r>
    </w:p>
    <w:p>
      <w:pPr>
        <w:pStyle w:val="FirstParagraph"/>
      </w:pPr>
      <w:r>
        <w:t xml:space="preserve">The Arthroplasty Outcomes in Regional Australia (AORA) registry has been in operation since June 2020, collecting KneeArthritis and HipArthritis presentations to a private clinic in Grafton, NSW. The setup of the registry is detailed on the</w:t>
      </w:r>
      <w:r>
        <w:t xml:space="preserve"> </w:t>
      </w:r>
      <w:hyperlink r:id="rId22">
        <w:r>
          <w:rPr>
            <w:rStyle w:val="Hyperlink"/>
          </w:rPr>
          <w:t xml:space="preserve">registry wiki</w:t>
        </w:r>
      </w:hyperlink>
      <w:r>
        <w:t xml:space="preserve">. The registry started with two surgeons contributing with one surgeon stopping participation in December 2022.</w:t>
      </w:r>
    </w:p>
    <w:bookmarkEnd w:id="23"/>
    <w:bookmarkStart w:id="32" w:name="recruitment-flow"/>
    <w:p>
      <w:pPr>
        <w:pStyle w:val="Heading1"/>
      </w:pPr>
      <w:r>
        <w:t xml:space="preserve">3. Recruitment Flow</w:t>
      </w:r>
    </w:p>
    <w:p>
      <w:pPr>
        <w:pStyle w:val="FirstParagraph"/>
      </w:pPr>
      <w:r>
        <w:t xml:space="preserve">Flowcharts as per STROBE</w:t>
      </w:r>
      <w:r>
        <w:t xml:space="preserve"> </w:t>
      </w:r>
      <w:r>
        <w:t xml:space="preserve">(Vandenbroucke et al. 2007)</w:t>
      </w:r>
      <w:r>
        <w:t xml:space="preserve"> </w:t>
      </w:r>
      <w:r>
        <w:t xml:space="preserve">and RECORD</w:t>
      </w:r>
      <w:r>
        <w:t xml:space="preserve"> </w:t>
      </w:r>
      <w:r>
        <w:t xml:space="preserve">(Benchimol et al. 2015)</w:t>
      </w:r>
      <w:r>
        <w:t xml:space="preserve"> </w:t>
      </w:r>
      <w:r>
        <w:t xml:space="preserve">guidelines were generated for treatments enrolled into the Registry. Followup was set to eligibility at 6months followup.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strobe-cohort1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AORASubvastus_files/figure-docx/fig-strobe-cohort1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Flowchart of extraction and followup of surgical sample from the Registry</w:t>
            </w:r>
          </w:p>
          <w:bookmarkEnd w:id="27"/>
        </w:tc>
      </w:tr>
    </w:tbl>
    <w:p>
      <w:pPr>
        <w:pStyle w:val="BodyText"/>
      </w:pPr>
      <w:r>
        <w:t xml:space="preserve">Cumulative recruitment over time was plotted from Registry inception to the present.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1" w:name="fig-progres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AORASubvastus_files/figure-docx/fig-progress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Cumulative cohort recruitment within the registry from inception to present</w:t>
            </w:r>
          </w:p>
          <w:bookmarkEnd w:id="31"/>
        </w:tc>
      </w:tr>
    </w:tbl>
    <w:bookmarkEnd w:id="32"/>
    <w:bookmarkStart w:id="34" w:name="baseline-and-demographics"/>
    <w:p>
      <w:pPr>
        <w:pStyle w:val="Heading1"/>
      </w:pPr>
      <w:r>
        <w:t xml:space="preserve">4. Baseline and Demographics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tbl-subvas-demographic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Summary of demographics of subvastus cohort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526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AgeAtTreatment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68 (63, 75)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262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EducationLevel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Post-secondary trade certificate or diploma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100 (29%)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Postgraduate degree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Secondary - Year 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Undergraduate degree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40 (12%)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Up to Secondary Year 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mmm_label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Large rural town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(5.7%)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Metropolitan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(0.2%)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Regional centre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(0.4%)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Remote community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142 (29%)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Small rural town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162 (33%)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Very remote community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158 (32%)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SACQ_score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4.0 (3.0, 7.0)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MODEMExp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18.0 (15.0, 21.0)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KOOS12_Pain_TotalScore_Preop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(25, 50)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VR12_Physical_TotalScore_Preop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(24, 35)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VR12_Mental_TotalScore_Preop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57 (49, 62)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TreatmentStatus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Failed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(0.8%)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further followup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(1.5%)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Ongoing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514 (98%)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DateTreatment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2021-01-28 - 2025-11-10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(%); Min - Max</w:t>
                  </w:r>
                </w:p>
              </w:tc>
            </w:tr>
          </w:tbl>
          <w:bookmarkEnd w:id="33"/>
        </w:tc>
      </w:tr>
    </w:tbl>
    <w:bookmarkEnd w:id="34"/>
    <w:bookmarkStart w:id="36" w:name="complications"/>
    <w:p>
      <w:pPr>
        <w:pStyle w:val="Heading1"/>
      </w:pPr>
      <w:r>
        <w:t xml:space="preserve">5. Complications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tbl-com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of complications incidence after surgery separated by group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526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ComplicationOccur2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433 (82%)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Possible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60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 - Surgeon Confirmed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 (6.3%)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OccurDelay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(5, 61)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Followup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778 (395, 1,321)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(%); Median (Q1, Q3)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Days</w:t>
                  </w:r>
                </w:p>
              </w:tc>
            </w:tr>
          </w:tbl>
          <w:bookmarkEnd w:id="35"/>
        </w:tc>
      </w:tr>
    </w:tbl>
    <w:p>
      <w:pPr>
        <w:pStyle w:val="BodyText"/>
      </w:pPr>
      <w:r>
        <w:t xml:space="preserve">Adverse events were detected in 16% of surgical cases performed by SM over the life of the registry as shown in</w:t>
      </w:r>
      <w:r>
        <w:t xml:space="preserve"> </w:t>
      </w:r>
      <w:hyperlink w:anchor="tbl-comp">
        <w:r>
          <w:rPr>
            <w:rStyle w:val="Hyperlink"/>
          </w:rPr>
          <w:t xml:space="preserve">Table 2</w:t>
        </w:r>
      </w:hyperlink>
      <w:r>
        <w:t xml:space="preserve">, with an average detection with 30 days of surgery.</w:t>
      </w:r>
    </w:p>
    <w:p>
      <w:pPr>
        <w:pStyle w:val="BodyText"/>
      </w:pPr>
      <w:r>
        <w:t xml:space="preserve">Write complications table for SM review</w:t>
      </w:r>
    </w:p>
    <w:bookmarkEnd w:id="36"/>
    <w:bookmarkStart w:id="47" w:name="patient-reported-outcomes"/>
    <w:p>
      <w:pPr>
        <w:pStyle w:val="Heading1"/>
      </w:pPr>
      <w:r>
        <w:t xml:space="preserve">6. Patient reported outcomes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tbl-ko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Summary of KOOS subscales at 6 weeks and 6months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4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Weeks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gridSpan w:val="4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Months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Pain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ADL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Quality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Pain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ADL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Quality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62.5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59.7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68.8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75.0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66.7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71.5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p50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62.5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75.0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66.7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70.1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87.5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87.5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81.2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84.0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p75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68.8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87.5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81.2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77.1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93.8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93.8</w:t>
                  </w:r>
                </w:p>
              </w:tc>
            </w:tr>
          </w:tbl>
          <w:bookmarkEnd w:id="37"/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ORASubvastus_files/figure-docx/unnamed-chunk-1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6" w:name="monitoring-module"/>
    <w:p>
      <w:pPr>
        <w:pStyle w:val="Heading2"/>
      </w:pPr>
      <w:r>
        <w:t xml:space="preserve">6.1 Monitoring Module</w:t>
      </w:r>
    </w:p>
    <w:p>
      <w:pPr>
        <w:pStyle w:val="FirstParagraph"/>
      </w:pPr>
      <w:r>
        <w:t xml:space="preserve">Patients reported a median worst pain score of 6 (IQR 4 - 7) at a median of 4 days after surgery (IQR 2 - 9).</w:t>
      </w:r>
    </w:p>
    <w:bookmarkStart w:id="45" w:name="refs"/>
    <w:bookmarkStart w:id="42" w:name="ref-Benchimol2015"/>
    <w:p>
      <w:pPr>
        <w:pStyle w:val="Bibliography"/>
      </w:pPr>
      <w:r>
        <w:t xml:space="preserve">Benchimol, Eric I., Liam Smeeth, Astrid Guttmann, Katie Harron, David Moher, Irene Petersen, Henrik T. Sørensen, Erik von Elm, and Sinéad M. Langan. 2015.</w:t>
      </w:r>
      <w:r>
        <w:t xml:space="preserve"> </w:t>
      </w:r>
      <w:r>
        <w:t xml:space="preserve">“The REporting of Studies Conducted Using Observational Routinely-Collected Health Data (RECORD) Statement.”</w:t>
      </w:r>
      <w:r>
        <w:t xml:space="preserve"> </w:t>
      </w:r>
      <w:r>
        <w:rPr>
          <w:iCs/>
          <w:i/>
        </w:rPr>
        <w:t xml:space="preserve">PLOS Medicine</w:t>
      </w:r>
      <w:r>
        <w:t xml:space="preserve"> </w:t>
      </w:r>
      <w:r>
        <w:t xml:space="preserve">12 (10): e1001885.</w:t>
      </w:r>
      <w:r>
        <w:t xml:space="preserve"> </w:t>
      </w:r>
      <w:hyperlink r:id="rId41">
        <w:r>
          <w:rPr>
            <w:rStyle w:val="Hyperlink"/>
          </w:rPr>
          <w:t xml:space="preserve">https://doi.org/10.1371/journal.pmed.1001885</w:t>
        </w:r>
      </w:hyperlink>
      <w:r>
        <w:t xml:space="preserve">.</w:t>
      </w:r>
    </w:p>
    <w:bookmarkEnd w:id="42"/>
    <w:bookmarkStart w:id="44" w:name="ref-Vandenbroucke2007"/>
    <w:p>
      <w:pPr>
        <w:pStyle w:val="Bibliography"/>
      </w:pPr>
      <w:r>
        <w:t xml:space="preserve">Vandenbroucke, Jan P, Erik von Elm, Douglas G Altman, Peter C Gøtzsche, Cynthia D Mulrow, Stuart J Pocock, Charles Poole, James J Schlesselman, and Matthias Egger. 2007.</w:t>
      </w:r>
      <w:r>
        <w:t xml:space="preserve"> </w:t>
      </w:r>
      <w:r>
        <w:t xml:space="preserve">“Strengthening the Reporting of Observational Studies in Epidemiology (STROBE): Explanation and Elaboration.”</w:t>
      </w:r>
      <w:r>
        <w:t xml:space="preserve"> </w:t>
      </w:r>
      <w:r>
        <w:rPr>
          <w:iCs/>
          <w:i/>
        </w:rPr>
        <w:t xml:space="preserve">PLoS Medicine</w:t>
      </w:r>
      <w:r>
        <w:t xml:space="preserve"> </w:t>
      </w:r>
      <w:r>
        <w:t xml:space="preserve">4 (10): e297.</w:t>
      </w:r>
      <w:r>
        <w:t xml:space="preserve"> </w:t>
      </w:r>
      <w:hyperlink r:id="rId43">
        <w:r>
          <w:rPr>
            <w:rStyle w:val="Hyperlink"/>
          </w:rPr>
          <w:t xml:space="preserve">https://doi.org/10.1371/journal.pmed.0040297</w:t>
        </w:r>
      </w:hyperlink>
      <w:r>
        <w:t xml:space="preserve">.</w:t>
      </w:r>
    </w:p>
    <w:bookmarkEnd w:id="44"/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  <w:b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  <w:b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8" Target="media/rId38.png" /><Relationship Type="http://schemas.openxmlformats.org/officeDocument/2006/relationships/hyperlink" Id="rId43" Target="https://doi.org/10.1371/journal.pmed.0040297" TargetMode="External" /><Relationship Type="http://schemas.openxmlformats.org/officeDocument/2006/relationships/hyperlink" Id="rId41" Target="https://doi.org/10.1371/journal.pmed.1001885" TargetMode="External" /><Relationship Type="http://schemas.openxmlformats.org/officeDocument/2006/relationships/hyperlink" Id="rId22" Target="https://sites.google.com/ebma.com.au/aora-registry-wiki/ho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371/journal.pmed.0040297" TargetMode="External" /><Relationship Type="http://schemas.openxmlformats.org/officeDocument/2006/relationships/hyperlink" Id="rId41" Target="https://doi.org/10.1371/journal.pmed.1001885" TargetMode="External" /><Relationship Type="http://schemas.openxmlformats.org/officeDocument/2006/relationships/hyperlink" Id="rId22" Target="https://sites.google.com/ebma.com.au/aora-registry-wiki/h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Subvastus cohort analysis</dc:title>
  <dc:creator>Corey Scholes</dc:creator>
  <cp:keywords/>
  <dcterms:created xsi:type="dcterms:W3CDTF">2026-03-16T22:16:37Z</dcterms:created>
  <dcterms:modified xsi:type="dcterms:W3CDTF">2026-03-16T22:16:37Z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EBM Analytics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AORAGov references.bib</vt:lpwstr>
  </property>
  <property fmtid="{D5CDD505-2E9C-101B-9397-08002B2CF9AE}" pid="6" name="by-author">
    <vt:lpwstr/>
  </property>
  <property fmtid="{D5CDD505-2E9C-101B-9397-08002B2CF9AE}" pid="7" name="date">
    <vt:lpwstr>2026-03-10</vt:lpwstr>
  </property>
  <property fmtid="{D5CDD505-2E9C-101B-9397-08002B2CF9AE}" pid="8" name="date-modified">
    <vt:lpwstr>2026-03-10</vt:lpwstr>
  </property>
  <property fmtid="{D5CDD505-2E9C-101B-9397-08002B2CF9AE}" pid="9" name="editor">
    <vt:lpwstr>visual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  <property fmtid="{D5CDD505-2E9C-101B-9397-08002B2CF9AE}" pid="17" name="type">
    <vt:lpwstr>website</vt:lpwstr>
  </property>
  <property fmtid="{D5CDD505-2E9C-101B-9397-08002B2CF9AE}" pid="18" name="version">
    <vt:lpwstr>1</vt:lpwstr>
  </property>
</Properties>
</file>