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extBody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9"/>
        <w:gridCol w:w="1350"/>
        <w:gridCol w:w="901"/>
        <w:gridCol w:w="1350"/>
        <w:gridCol w:w="1364"/>
        <w:gridCol w:w="975"/>
        <w:gridCol w:w="811"/>
        <w:gridCol w:w="1260"/>
        <w:gridCol w:w="989"/>
      </w:tblGrid>
      <w:tr>
        <w:trPr>
          <w:trHeight w:val="2300" w:hRule="atLeast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fals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4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9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|to_float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* item.quantity}}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LibreOffice/6.3.4.2.0$Linux_X86_64 LibreOffice_project/30$Build-2</Application>
  <Pages>2</Pages>
  <Words>157</Words>
  <Characters>1533</Characters>
  <CharactersWithSpaces>1668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2020-03-30T16:50:50Z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