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kern w:val="2"/>
          <w:sz w:val="24"/>
          <w:szCs w:val="24"/>
          <w:u w:val="none"/>
          <w:effect w:val="none"/>
          <w:lang w:val="en-US" w:eastAsia="zh-CN" w:bidi="hi-IN"/>
        </w:rPr>
        <w:t>contract.contractNumber</w:t>
      </w:r>
      <w:r>
        <w:rPr>
          <w:rFonts w:ascii="Times New Roman" w:hAnsi="Times New Roman"/>
          <w:b/>
          <w:i w:val="false"/>
          <w:caps w:val="false"/>
          <w:smallCaps w:val="false"/>
          <w:strike w:val="false"/>
          <w:dstrike w:val="false"/>
          <w:color w:val="000000"/>
          <w:sz w:val="24"/>
          <w:u w:val="none"/>
          <w:effect w:val="none"/>
        </w:rPr>
        <w:t>}}</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r>
      <w:r>
        <w:rPr>
          <w:b w:val="false"/>
          <w:caps w:val="false"/>
          <w:smallCaps w:val="false"/>
          <w:strike w:val="false"/>
          <w:dstrike w:val="false"/>
          <w:color w:val="000000"/>
          <w:sz w:val="24"/>
          <w:szCs w:val="24"/>
          <w:u w:val="none"/>
          <w:effect w:val="none"/>
        </w:rPr>
        <w:tab/>
        <w:tab/>
        <w:tab/>
        <w:tab/>
        <w:tab/>
        <w:tab/>
        <w:tab/>
        <w:tab/>
        <w:tab/>
      </w:r>
      <w:r>
        <w:rPr>
          <w:b w:val="false"/>
          <w:caps w:val="false"/>
          <w:smallCaps w:val="false"/>
          <w:strike w:val="false"/>
          <w:dstrike w:val="false"/>
          <w:color w:val="000000"/>
          <w:sz w:val="22"/>
          <w:szCs w:val="22"/>
          <w:u w:val="none"/>
          <w:effect w:val="none"/>
        </w:rPr>
        <w:tab/>
      </w:r>
      <w:r>
        <w:rPr>
          <w:b w:val="false"/>
          <w:caps w:val="false"/>
          <w:smallCaps w:val="false"/>
          <w:strike w:val="false"/>
          <w:dstrike w:val="false"/>
          <w:color w:val="000000"/>
          <w:u w:val="none"/>
          <w:effect w:val="none"/>
        </w:rPr>
        <w:t>{{ contract.</w:t>
      </w:r>
      <w:r>
        <w:rPr>
          <w:rFonts w:eastAsia="Droid Sans Fallback" w:cs="Droid Sans Devanagari"/>
          <w:b w:val="false"/>
          <w:caps w:val="false"/>
          <w:smallCaps w:val="false"/>
          <w:strike w:val="false"/>
          <w:dstrike w:val="false"/>
          <w:color w:val="000000"/>
          <w:kern w:val="2"/>
          <w:sz w:val="24"/>
          <w:szCs w:val="24"/>
          <w:u w:val="none"/>
          <w:effect w:val="none"/>
          <w:lang w:val="en-US" w:eastAsia="zh-CN" w:bidi="hi-IN"/>
        </w:rPr>
        <w:t>dateSigned</w:t>
      </w:r>
      <w:r>
        <w:rPr>
          <w:rStyle w:val="SourceText"/>
          <w:rFonts w:eastAsia="Droid Sans Fallback" w:cs="Droid Sans Devanagari"/>
          <w:b w:val="false"/>
          <w:caps w:val="false"/>
          <w:smallCaps w:val="false"/>
          <w:strike w:val="false"/>
          <w:dstrike w:val="false"/>
          <w:color w:val="000000"/>
          <w:kern w:val="2"/>
          <w:sz w:val="24"/>
          <w:szCs w:val="24"/>
          <w:u w:val="none"/>
          <w:effect w:val="none"/>
          <w:lang w:val="en-US" w:eastAsia="zh-CN" w:bidi="hi-IN"/>
        </w:rPr>
        <w:t xml:space="preserve"> | format_date</w:t>
      </w:r>
      <w:r>
        <w:rPr>
          <w:rFonts w:eastAsia="Droid Sans Fallback" w:cs="Droid Sans Devanagari"/>
          <w:b w:val="false"/>
          <w:caps w:val="false"/>
          <w:smallCaps w:val="false"/>
          <w:strike w:val="false"/>
          <w:dstrike w:val="false"/>
          <w:color w:val="000000"/>
          <w:kern w:val="2"/>
          <w:sz w:val="24"/>
          <w:szCs w:val="24"/>
          <w:u w:val="none"/>
          <w:effect w:val="none"/>
          <w:lang w:val="en-US" w:eastAsia="zh-CN" w:bidi="hi-IN"/>
        </w:rPr>
        <w:t>}}</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signer.position }} {{ </w:t>
      </w:r>
      <w:r>
        <w:rPr>
          <w:rFonts w:ascii="Times New Roman" w:hAnsi="Times New Roman"/>
          <w:b w:val="false"/>
          <w:bCs/>
          <w:i w:val="false"/>
          <w:caps w:val="false"/>
          <w:smallCaps w:val="false"/>
          <w:strike w:val="false"/>
          <w:dstrike w:val="false"/>
          <w:color w:val="000000"/>
          <w:sz w:val="24"/>
          <w:u w:val="none"/>
          <w:effect w:val="none"/>
        </w:rPr>
        <w:t>procuringEntity.</w:t>
      </w:r>
      <w:r>
        <w:rPr>
          <w:rFonts w:eastAsia="Droid Sans Fallback" w:cs="Droid Sans Devanagari" w:ascii="Times New Roman" w:hAnsi="Times New Roman"/>
          <w:b w:val="false"/>
          <w:bCs/>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bCs/>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 що діє на підставі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6"/>
          <w:szCs w:val="24"/>
          <w:u w:val="none"/>
          <w:effect w:val="none"/>
          <w:lang w:val="en-US" w:eastAsia="zh-CN" w:bidi="hi-IN"/>
        </w:rPr>
        <w:t>.</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documentType }}</w:t>
      </w:r>
      <w:r>
        <w:rPr>
          <w:rFonts w:ascii="Times New Roman" w:hAnsi="Times New Roman"/>
          <w:b w:val="false"/>
          <w:i w:val="false"/>
          <w:caps w:val="false"/>
          <w:smallCaps w:val="false"/>
          <w:strike w:val="false"/>
          <w:dstrike w:val="false"/>
          <w:color w:val="000000"/>
          <w:sz w:val="24"/>
          <w:u w:val="none"/>
          <w:effect w:val="none"/>
        </w:rPr>
        <w:t>, з однієї сторони,</w:t>
      </w:r>
    </w:p>
    <w:p>
      <w:pPr>
        <w:pStyle w:val="TextBody"/>
        <w:bidi w:val="0"/>
        <w:spacing w:lineRule="auto" w:line="331" w:before="0" w:after="120"/>
        <w:ind w:left="0" w:right="0" w:firstLine="567"/>
        <w:jc w:val="both"/>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та {{ contract.supplier.name }}, далі – Постачальник, в особі {{ contract.supplier.signer.position }} {{ contract.supplier.signer.name }}, що діє на підставі {{contract</w:t>
      </w:r>
      <w:r>
        <w:rPr>
          <w:rFonts w:eastAsia="Droid Sans Fallback" w:cs="Droid Sans Devanagari" w:ascii="Times New Roman" w:hAnsi="Times New Roman"/>
          <w:b w:val="false"/>
          <w:i w:val="false"/>
          <w:caps w:val="false"/>
          <w:smallCaps w:val="false"/>
          <w:strike w:val="false"/>
          <w:dstrike w:val="false"/>
          <w:color w:val="000000"/>
          <w:kern w:val="2"/>
          <w:sz w:val="26"/>
          <w:szCs w:val="24"/>
          <w:u w:val="none"/>
          <w:effect w:val="none"/>
          <w:lang w:val="en-US" w:eastAsia="zh-CN" w:bidi="hi-IN"/>
        </w:rPr>
        <w: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documentType }},</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 xml:space="preserve">Постачальник зобов’язується поставити Покупцю у власність “ {{ </w:t>
      </w:r>
      <w:bookmarkStart w:id="1" w:name="__DdeLink__3050_360783441"/>
      <w:bookmarkStart w:id="2" w:name="__DdeLink__367_360783441"/>
      <w:r>
        <w:rPr>
          <w:rFonts w:ascii="Times New Roman" w:hAnsi="Times New Roman"/>
          <w:b w:val="false"/>
          <w:i w:val="false"/>
          <w:caps w:val="false"/>
          <w:smallCaps w:val="false"/>
          <w:strike w:val="false"/>
          <w:dstrike w:val="false"/>
          <w:color w:val="000000"/>
          <w:sz w:val="24"/>
          <w:u w:val="none"/>
          <w:effect w:val="none"/>
        </w:rPr>
        <w:t>contract</w:t>
      </w:r>
      <w:bookmarkEnd w:id="2"/>
      <w:r>
        <w:rPr>
          <w:rFonts w:ascii="Times New Roman" w:hAnsi="Times New Roman"/>
          <w:b w:val="false"/>
          <w:i w:val="false"/>
          <w:caps w:val="false"/>
          <w:smallCaps w:val="false"/>
          <w:strike w:val="false"/>
          <w:dstrike w:val="false"/>
          <w:color w:val="000000"/>
          <w:sz w:val="24"/>
          <w:u w:val="none"/>
          <w:effect w:val="none"/>
        </w:rPr>
        <w:t>[</w:t>
      </w:r>
      <w:bookmarkEnd w:id="1"/>
      <w:r>
        <w:rPr>
          <w:rFonts w:ascii="Times New Roman" w:hAnsi="Times New Roman"/>
          <w:b w:val="false"/>
          <w:i w:val="false"/>
          <w:caps w:val="false"/>
          <w:smallCaps w:val="false"/>
          <w:strike w:val="false"/>
          <w:dstrike w:val="false"/>
          <w:color w:val="000000"/>
          <w:sz w:val="24"/>
          <w:u w:val="none"/>
          <w:effect w:val="none"/>
        </w:rPr>
        <w:t>'items'].cpv }}</w:t>
      </w:r>
      <w:r>
        <w:rPr>
          <w:rFonts w:ascii="Times New Roman" w:hAnsi="Times New Roman"/>
          <w:b w:val="false"/>
          <w:i w:val="false"/>
          <w:caps w:val="false"/>
          <w:smallCaps w:val="false"/>
          <w:strike w:val="false"/>
          <w:dstrike w:val="false"/>
          <w:color w:val="000000"/>
          <w:sz w:val="26"/>
          <w:u w:val="none"/>
          <w:effect w:val="none"/>
        </w:rPr>
        <w:t>, {{</w:t>
      </w:r>
      <w:bookmarkStart w:id="3" w:name="__DdeLink__367_3607834413"/>
      <w:r>
        <w:rPr>
          <w:rFonts w:ascii="Times New Roman" w:hAnsi="Times New Roman"/>
          <w:b w:val="false"/>
          <w:i w:val="false"/>
          <w:caps w:val="false"/>
          <w:smallCaps w:val="false"/>
          <w:strike w:val="false"/>
          <w:dstrike w:val="false"/>
          <w:color w:val="000000"/>
          <w:sz w:val="24"/>
          <w:u w:val="none"/>
          <w:effect w:val="none"/>
        </w:rPr>
        <w:t>contract</w:t>
      </w:r>
      <w:bookmarkEnd w:id="3"/>
      <w:r>
        <w:rPr>
          <w:rFonts w:ascii="Times New Roman" w:hAnsi="Times New Roman"/>
          <w:b w:val="false"/>
          <w:i w:val="false"/>
          <w:caps w:val="false"/>
          <w:smallCaps w:val="false"/>
          <w:strike w:val="false"/>
          <w:dstrike w:val="false"/>
          <w:color w:val="000000"/>
          <w:sz w:val="24"/>
          <w:u w:val="none"/>
          <w:effect w:val="none"/>
        </w:rPr>
        <w:t>['items'].name</w:t>
      </w:r>
      <w:r>
        <w:rPr>
          <w:rFonts w:ascii="Times New Roman" w:hAnsi="Times New Roman"/>
          <w:b w:val="false"/>
          <w:i w:val="false"/>
          <w:caps w:val="false"/>
          <w:smallCaps w:val="false"/>
          <w:strike w:val="false"/>
          <w:dstrike w:val="false"/>
          <w:color w:val="000000"/>
          <w:sz w:val="26"/>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специфікpації,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pPr>
      <w:r>
        <w:rPr>
          <w:rFonts w:ascii="Times New Roman" w:hAnsi="Times New Roman"/>
          <w:b w:val="false"/>
          <w:i w:val="false"/>
          <w:caps w:val="false"/>
          <w:smallCaps w:val="false"/>
          <w:strike w:val="false"/>
          <w:dstrike w:val="false"/>
          <w:color w:val="000000"/>
          <w:sz w:val="24"/>
          <w:u w:val="none"/>
          <w:effect w:val="none"/>
        </w:rPr>
        <w:t xml:space="preserve">Ціна цього Договору становить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contract.value.amount }}</w:t>
      </w:r>
      <w:r>
        <w:rPr>
          <w:rFonts w:ascii="Times New Roman" w:hAnsi="Times New Roman"/>
          <w:b w:val="false"/>
          <w:i w:val="false"/>
          <w:caps w:val="false"/>
          <w:smallCaps w:val="false"/>
          <w:strike w:val="false"/>
          <w:dstrike w:val="false"/>
          <w:color w:val="000000"/>
          <w:sz w:val="24"/>
          <w:u w:val="none"/>
          <w:effect w:val="none"/>
        </w:rPr>
        <w:t xml:space="preserve"> грн. ( {{ contract.value.amount | convert_amount_to_words }} ) {{ contract['items'].valueAddedTaxIncluded }}.</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Постачальником за наступною адресою: {{ deliveryAddress }}.</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11.4 Покупець має статус  {{ procuringEntity.taxStatus }}.</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7" w:type="dxa"/>
        <w:jc w:val="left"/>
        <w:tblInd w:w="0" w:type="dxa"/>
        <w:tblCellMar>
          <w:top w:w="0" w:type="dxa"/>
          <w:left w:w="0" w:type="dxa"/>
          <w:bottom w:w="0" w:type="dxa"/>
          <w:right w:w="0" w:type="dxa"/>
        </w:tblCellMar>
      </w:tblPr>
      <w:tblGrid>
        <w:gridCol w:w="4660"/>
        <w:gridCol w:w="4606"/>
      </w:tblGrid>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p>
            <w:pPr>
              <w:pStyle w:val="TableContents"/>
              <w:bidi w:val="0"/>
              <w:spacing w:lineRule="auto" w:line="331" w:before="0" w:after="0"/>
              <w:rPr>
                <w:rFonts w:ascii="Times New Roman" w:hAnsi="Times New Roman" w:eastAsia="Droid Sans Fallback" w:cs="Droid Sans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МФО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contract.supplier.financialData.mfo }}</w:t>
            </w:r>
          </w:p>
          <w:p>
            <w:pPr>
              <w:pStyle w:val="TableContents"/>
              <w:rPr/>
            </w:pPr>
            <w:r>
              <w:rPr/>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Покупець:</w:t>
              <w:br/>
              <w:t>{{ procuringEntity.name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МФО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procuringEntity.financialData.mfo }}</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contract.supplier.signer.position }} </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contract.supplier.signer.name }}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w:t>
            </w: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signer.position</w:t>
            </w:r>
            <w:r>
              <w:rPr>
                <w:rFonts w:ascii="Times New Roman" w:hAnsi="Times New Roman"/>
                <w:b w:val="false"/>
                <w:i w:val="false"/>
                <w:caps w:val="false"/>
                <w:smallCaps w:val="false"/>
                <w:strike w:val="false"/>
                <w:dstrike w:val="false"/>
                <w:color w:val="000000"/>
                <w:sz w:val="24"/>
                <w:u w:val="none"/>
                <w:effect w:val="none"/>
              </w:rPr>
              <w:t xml:space="preserve"> }}</w:t>
            </w:r>
          </w:p>
          <w:p>
            <w:pPr>
              <w:pStyle w:val="TextBody"/>
              <w:bidi w:val="0"/>
              <w:spacing w:lineRule="auto" w:line="331" w:before="0" w:after="120"/>
              <w:ind w:left="0" w:right="0" w:hanging="0"/>
              <w:jc w:val="both"/>
              <w:rPr/>
            </w:pP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i w:val="false"/>
                <w:caps w:val="false"/>
                <w:smallCaps w:val="false"/>
                <w:strike w:val="false"/>
                <w:dstrike w:val="false"/>
                <w:color w:val="000000"/>
                <w:sz w:val="24"/>
                <w:u w:val="none"/>
                <w:effect w:val="none"/>
              </w:rPr>
              <w:t xml:space="preserv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pPr>
      <w:r>
        <w:rPr>
          <w:rFonts w:ascii="Times New Roman" w:hAnsi="Times New Roman"/>
          <w:b w:val="false"/>
          <w:i w:val="false"/>
          <w:caps w:val="false"/>
          <w:smallCaps w:val="false"/>
          <w:strike w:val="false"/>
          <w:dstrike w:val="false"/>
          <w:color w:val="000000"/>
          <w:sz w:val="24"/>
          <w:u w:val="none"/>
          <w:effect w:val="none"/>
        </w:rPr>
        <w:t>до Договору постачанн</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я № {{ contract.contractNumber}}</w:t>
      </w:r>
    </w:p>
    <w:p>
      <w:pPr>
        <w:pStyle w:val="TextBody"/>
        <w:bidi w:val="0"/>
        <w:spacing w:lineRule="auto" w:line="331" w:before="0" w:after="0"/>
        <w:ind w:left="0" w:right="140" w:firstLine="567"/>
        <w:jc w:val="right"/>
        <w:rPr/>
      </w:pPr>
      <w:r>
        <w:rPr>
          <w:rFonts w:ascii="Times New Roman" w:hAnsi="Times New Roman"/>
          <w:b w:val="false"/>
          <w:i w:val="false"/>
          <w:caps w:val="false"/>
          <w:smallCaps w:val="false"/>
          <w:strike w:val="false"/>
          <w:dstrike w:val="false"/>
          <w:color w:val="000000"/>
          <w:sz w:val="24"/>
          <w:u w:val="none"/>
          <w:effect w:val="none"/>
        </w:rPr>
        <w:t>від {{ contract.</w:t>
      </w:r>
      <w:r>
        <w:rPr>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dateSigned</w:t>
      </w:r>
      <w:r>
        <w:rPr>
          <w:rStyle w:val="SourceText"/>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 xml:space="preserve"> | format_date</w:t>
      </w:r>
      <w:r>
        <w:rPr>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w:t>
      </w:r>
    </w:p>
    <w:p>
      <w:pPr>
        <w:pStyle w:val="TextBody"/>
        <w:bidi w:val="0"/>
        <w:spacing w:lineRule="auto" w:line="331" w:before="0" w:after="0"/>
        <w:ind w:left="0" w:right="140" w:firstLine="567"/>
        <w:jc w:val="right"/>
        <w:rPr>
          <w:rFonts w:eastAsia="Droid Sans Fallback" w:cs="Droid Sans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
    </w:p>
    <w:p>
      <w:pPr>
        <w:pStyle w:val="TextBody"/>
        <w:bidi w:val="0"/>
        <w:spacing w:lineRule="auto" w:line="331" w:before="0" w:after="0"/>
        <w:ind w:left="0" w:right="0" w:firstLine="567"/>
        <w:jc w:val="center"/>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bidi w:val="0"/>
        <w:spacing w:lineRule="auto" w:line="331" w:before="0" w:after="0"/>
        <w:ind w:left="0" w:right="0" w:firstLine="567"/>
        <w:jc w:val="center"/>
        <w:rPr/>
      </w:pPr>
      <w:r>
        <w:rPr/>
      </w:r>
    </w:p>
    <w:tbl>
      <w:tblPr>
        <w:tblStyle w:val="Table2"/>
        <w:tblW w:w="10290" w:type="dxa"/>
        <w:jc w:val="left"/>
        <w:tblInd w:w="-275" w:type="dxa"/>
        <w:tblCellMar>
          <w:top w:w="100" w:type="dxa"/>
          <w:left w:w="100" w:type="dxa"/>
          <w:bottom w:w="100" w:type="dxa"/>
          <w:right w:w="100" w:type="dxa"/>
        </w:tblCellMar>
        <w:tblLook w:val="0600"/>
      </w:tblPr>
      <w:tblGrid>
        <w:gridCol w:w="658"/>
        <w:gridCol w:w="1275"/>
        <w:gridCol w:w="1005"/>
        <w:gridCol w:w="1892"/>
        <w:gridCol w:w="1605"/>
        <w:gridCol w:w="915"/>
        <w:gridCol w:w="750"/>
        <w:gridCol w:w="1095"/>
        <w:gridCol w:w="1094"/>
      </w:tblGrid>
      <w:tr>
        <w:trPr>
          <w:trHeight w:val="2300" w:hRule="atLeast"/>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 xml:space="preserve">№ </w:t>
            </w:r>
            <w:r>
              <w:rPr>
                <w:rFonts w:eastAsia="Times New Roman" w:cs="Times New Roman" w:ascii="Times New Roman" w:hAnsi="Times New Roman"/>
              </w:rPr>
              <w:t>п/п</w:t>
            </w:r>
          </w:p>
        </w:tc>
        <w:tc>
          <w:tcPr>
            <w:tcW w:w="127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Найменування</w:t>
            </w:r>
          </w:p>
          <w:p>
            <w:pPr>
              <w:pStyle w:val="LOnormal"/>
              <w:ind w:left="0" w:hanging="0"/>
              <w:jc w:val="left"/>
              <w:rPr/>
            </w:pPr>
            <w:r>
              <w:rPr>
                <w:rFonts w:eastAsia="Times New Roman" w:cs="Times New Roman" w:ascii="Times New Roman" w:hAnsi="Times New Roman"/>
              </w:rPr>
              <w:t>Продукції</w:t>
            </w:r>
          </w:p>
        </w:tc>
        <w:tc>
          <w:tcPr>
            <w:tcW w:w="100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 xml:space="preserve"> </w:t>
            </w:r>
            <w:r>
              <w:rPr>
                <w:rFonts w:eastAsia="Times New Roman" w:cs="Times New Roman" w:ascii="Times New Roman" w:hAnsi="Times New Roman"/>
              </w:rPr>
              <w:t>Код</w:t>
            </w:r>
          </w:p>
          <w:p>
            <w:pPr>
              <w:pStyle w:val="LOnormal"/>
              <w:ind w:left="0" w:right="-55" w:hanging="0"/>
              <w:jc w:val="center"/>
              <w:rPr/>
            </w:pPr>
            <w:r>
              <w:rPr>
                <w:rFonts w:eastAsia="Times New Roman" w:cs="Times New Roman" w:ascii="Times New Roman" w:hAnsi="Times New Roman"/>
              </w:rPr>
              <w:t xml:space="preserve"> </w:t>
            </w:r>
            <w:r>
              <w:rPr>
                <w:rFonts w:eastAsia="Times New Roman" w:cs="Times New Roman" w:ascii="Times New Roman" w:hAnsi="Times New Roman"/>
              </w:rPr>
              <w:t>УКТЗЕД</w:t>
            </w:r>
          </w:p>
        </w:tc>
        <w:tc>
          <w:tcPr>
            <w:tcW w:w="1892"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Нормативно-технічні документи згідно яких виготовлено продукцію (ГОСТ, ДСТУ ТУ тощо - за наявності)</w:t>
            </w:r>
          </w:p>
        </w:tc>
        <w:tc>
          <w:tcPr>
            <w:tcW w:w="160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right="-22" w:hanging="0"/>
              <w:jc w:val="center"/>
              <w:rPr/>
            </w:pPr>
            <w:r>
              <w:rPr>
                <w:rFonts w:eastAsia="Times New Roman" w:cs="Times New Roman" w:ascii="Times New Roman" w:hAnsi="Times New Roman"/>
              </w:rPr>
              <w:t>Додаткові технічні характеристики/Виробник/ Країна виробника</w:t>
            </w:r>
          </w:p>
        </w:tc>
        <w:tc>
          <w:tcPr>
            <w:tcW w:w="91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Одиниця виміру</w:t>
            </w:r>
          </w:p>
        </w:tc>
        <w:tc>
          <w:tcPr>
            <w:tcW w:w="750"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Кількість одиниць</w:t>
            </w:r>
          </w:p>
        </w:tc>
        <w:tc>
          <w:tcPr>
            <w:tcW w:w="1095" w:type="dxa"/>
            <w:tcBorders>
              <w:top w:val="single" w:sz="8" w:space="0" w:color="000000"/>
              <w:left w:val="single" w:sz="6" w:space="0" w:color="000000"/>
              <w:bottom w:val="single" w:sz="8" w:space="0" w:color="000000"/>
              <w:right w:val="single" w:sz="8" w:space="0" w:color="000000"/>
            </w:tcBorders>
            <w:shd w:fill="auto" w:val="clear"/>
          </w:tcPr>
          <w:p>
            <w:pPr>
              <w:pStyle w:val="LOnormal"/>
              <w:ind w:left="0" w:right="-107" w:hanging="0"/>
              <w:jc w:val="center"/>
              <w:rPr/>
            </w:pPr>
            <w:r>
              <w:rPr>
                <w:rFonts w:eastAsia="Times New Roman" w:cs="Times New Roman" w:ascii="Times New Roman" w:hAnsi="Times New Roman"/>
              </w:rPr>
              <w:t>Ціна за одиницю, грн.</w:t>
            </w:r>
            <w:r>
              <w:rPr>
                <w:rFonts w:eastAsia="Times New Roman" w:cs="Times New Roman" w:ascii="Times New Roman" w:hAnsi="Times New Roman"/>
                <w:i/>
                <w:sz w:val="20"/>
                <w:szCs w:val="20"/>
              </w:rPr>
              <w:t>(без ПДВ)</w:t>
            </w:r>
          </w:p>
        </w:tc>
        <w:tc>
          <w:tcPr>
            <w:tcW w:w="1094" w:type="dxa"/>
            <w:tcBorders>
              <w:top w:val="single" w:sz="8" w:space="0" w:color="000000"/>
              <w:left w:val="single" w:sz="6" w:space="0" w:color="000000"/>
              <w:bottom w:val="single" w:sz="8" w:space="0" w:color="000000"/>
              <w:right w:val="single" w:sz="8" w:space="0" w:color="000000"/>
            </w:tcBorders>
            <w:shd w:fill="auto" w:val="clear"/>
          </w:tcPr>
          <w:p>
            <w:pPr>
              <w:pStyle w:val="LOnormal"/>
              <w:ind w:left="0" w:hanging="0"/>
              <w:jc w:val="center"/>
              <w:rPr/>
            </w:pPr>
            <w:r>
              <w:rPr>
                <w:rFonts w:eastAsia="Times New Roman" w:cs="Times New Roman" w:ascii="Times New Roman" w:hAnsi="Times New Roman"/>
              </w:rPr>
              <w:t>Загальна вартість, грн.</w:t>
            </w:r>
            <w:r>
              <w:rPr>
                <w:rFonts w:eastAsia="Times New Roman" w:cs="Times New Roman" w:ascii="Times New Roman" w:hAnsi="Times New Roman"/>
                <w:i/>
                <w:sz w:val="20"/>
                <w:szCs w:val="20"/>
              </w:rPr>
              <w:t>(без ПДВ)</w:t>
            </w:r>
          </w:p>
        </w:tc>
      </w:tr>
      <w:tr>
        <w:trPr>
          <w:trHeight w:val="840" w:hRule="atLeast"/>
        </w:trPr>
        <w:tc>
          <w:tcPr>
            <w:tcW w:w="658" w:type="dxa"/>
            <w:tcBorders>
              <w:top w:val="single" w:sz="6" w:space="0" w:color="000000"/>
              <w:left w:val="single" w:sz="8"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t>1</w:t>
            </w:r>
          </w:p>
        </w:tc>
        <w:tc>
          <w:tcPr>
            <w:tcW w:w="1275"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t>{{contract['items'].</w:t>
            </w:r>
            <w:r>
              <w:rPr>
                <w:rFonts w:eastAsia="Droid Sans Fallback" w:cs="Droid Sans Devanagari"/>
                <w:color w:val="auto"/>
                <w:kern w:val="2"/>
                <w:sz w:val="24"/>
                <w:szCs w:val="24"/>
                <w:lang w:val="en-US" w:eastAsia="zh-CN" w:bidi="hi-IN"/>
              </w:rPr>
              <w:t>name</w:t>
            </w:r>
            <w:r>
              <w:rPr/>
              <w:t>}}</w:t>
            </w:r>
          </w:p>
        </w:tc>
        <w:tc>
          <w:tcPr>
            <w:tcW w:w="1005"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t>{{</w:t>
            </w:r>
            <w:r>
              <w:rPr>
                <w:rFonts w:eastAsia="Droid Sans Fallback" w:cs="Droid Sans Devanagari"/>
                <w:color w:val="auto"/>
                <w:kern w:val="2"/>
                <w:sz w:val="24"/>
                <w:szCs w:val="24"/>
                <w:lang w:val="en-US" w:eastAsia="zh-CN" w:bidi="hi-IN"/>
              </w:rPr>
              <w:t>contract</w:t>
            </w:r>
            <w:r>
              <w:rPr/>
              <w:t>['items'].cpv}}</w:t>
            </w:r>
          </w:p>
        </w:tc>
        <w:tc>
          <w:tcPr>
            <w:tcW w:w="1892"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r>
          </w:p>
        </w:tc>
        <w:tc>
          <w:tcPr>
            <w:tcW w:w="1605"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ind w:left="0" w:right="0" w:hanging="0"/>
              <w:jc w:val="center"/>
              <w:rPr/>
            </w:pPr>
            <w:r>
              <w:rPr/>
            </w:r>
          </w:p>
        </w:tc>
        <w:tc>
          <w:tcPr>
            <w:tcW w:w="915"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r>
          </w:p>
        </w:tc>
        <w:tc>
          <w:tcPr>
            <w:tcW w:w="750"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r>
          </w:p>
        </w:tc>
        <w:tc>
          <w:tcPr>
            <w:tcW w:w="1095"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ind w:left="0" w:right="0" w:hanging="0"/>
              <w:jc w:val="center"/>
              <w:rPr/>
            </w:pPr>
            <w:r>
              <w:rPr/>
            </w:r>
          </w:p>
        </w:tc>
        <w:tc>
          <w:tcPr>
            <w:tcW w:w="1094" w:type="dxa"/>
            <w:tcBorders>
              <w:top w:val="single" w:sz="6" w:space="0" w:color="000000"/>
              <w:left w:val="single" w:sz="6" w:space="0" w:color="000000"/>
              <w:bottom w:val="single" w:sz="8" w:space="0" w:color="000000"/>
              <w:right w:val="single" w:sz="8" w:space="0" w:color="000000"/>
            </w:tcBorders>
            <w:shd w:fill="auto" w:val="clear"/>
          </w:tcPr>
          <w:p>
            <w:pPr>
              <w:pStyle w:val="TableContents"/>
              <w:bidi w:val="0"/>
              <w:spacing w:lineRule="auto" w:line="331" w:before="0" w:after="0"/>
              <w:jc w:val="center"/>
              <w:rPr/>
            </w:pPr>
            <w:r>
              <w:rPr/>
            </w:r>
          </w:p>
        </w:tc>
      </w:tr>
      <w:tr>
        <w:trPr>
          <w:trHeight w:val="520" w:hRule="atLeast"/>
        </w:trPr>
        <w:tc>
          <w:tcPr>
            <w:tcW w:w="7350" w:type="dxa"/>
            <w:gridSpan w:val="6"/>
            <w:tcBorders>
              <w:top w:val="single" w:sz="6" w:space="0" w:color="000000"/>
              <w:left w:val="single" w:sz="8" w:space="0" w:color="000000"/>
              <w:bottom w:val="single" w:sz="8" w:space="0" w:color="000000"/>
              <w:right w:val="single" w:sz="8" w:space="0" w:color="000000"/>
            </w:tcBorders>
            <w:shd w:fill="auto" w:val="clear"/>
          </w:tcPr>
          <w:p>
            <w:pPr>
              <w:pStyle w:val="LOnormal"/>
              <w:ind w:left="0" w:firstLine="566"/>
              <w:rPr/>
            </w:pPr>
            <w:r>
              <w:rPr>
                <w:rFonts w:eastAsia="Times New Roman" w:cs="Times New Roman" w:ascii="Times New Roman" w:hAnsi="Times New Roman"/>
                <w:b/>
                <w:sz w:val="24"/>
                <w:szCs w:val="24"/>
              </w:rPr>
              <w:t>Загальна вартість, грн. без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TableContents"/>
              <w:spacing w:before="0" w:after="283"/>
              <w:jc w:val="right"/>
              <w:rPr>
                <w:b/>
                <w:b/>
                <w:bCs/>
              </w:rPr>
            </w:pPr>
            <w:r>
              <w:rPr>
                <w:b/>
                <w:bCs/>
                <w:caps w:val="false"/>
                <w:smallCaps w:val="false"/>
                <w:strike w:val="false"/>
                <w:dstrike w:val="false"/>
                <w:color w:val="000000"/>
                <w:u w:val="none"/>
                <w:effect w:val="none"/>
              </w:rPr>
              <w:t>{{contract.value.amountNet}}</w:t>
            </w:r>
          </w:p>
        </w:tc>
      </w:tr>
      <w:tr>
        <w:trPr>
          <w:trHeight w:val="520" w:hRule="atLeast"/>
        </w:trPr>
        <w:tc>
          <w:tcPr>
            <w:tcW w:w="7350" w:type="dxa"/>
            <w:gridSpan w:val="6"/>
            <w:tcBorders>
              <w:top w:val="single" w:sz="6" w:space="0" w:color="000000"/>
              <w:left w:val="single" w:sz="8" w:space="0" w:color="000000"/>
              <w:bottom w:val="single" w:sz="8" w:space="0" w:color="000000"/>
              <w:right w:val="single" w:sz="8" w:space="0" w:color="000000"/>
            </w:tcBorders>
            <w:shd w:fill="auto" w:val="clear"/>
          </w:tcPr>
          <w:p>
            <w:pPr>
              <w:pStyle w:val="LOnormal"/>
              <w:ind w:left="0" w:firstLine="566"/>
              <w:rPr/>
            </w:pPr>
            <w:r>
              <w:rPr>
                <w:rFonts w:eastAsia="Times New Roman" w:cs="Times New Roman" w:ascii="Times New Roman" w:hAnsi="Times New Roman"/>
                <w:b/>
                <w:sz w:val="24"/>
                <w:szCs w:val="24"/>
              </w:rPr>
              <w:t>ПДВ, грн.</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PreformattedText"/>
              <w:bidi w:val="0"/>
              <w:spacing w:lineRule="auto" w:line="331" w:before="0" w:after="0"/>
              <w:ind w:left="0" w:right="0" w:hanging="0"/>
              <w:jc w:val="right"/>
              <w:rPr/>
            </w:pPr>
            <w:r>
              <w:rPr>
                <w:rFonts w:ascii="Times New Roman" w:hAnsi="Times New Roman"/>
                <w:b/>
                <w:i w:val="false"/>
                <w:caps w:val="false"/>
                <w:smallCaps w:val="false"/>
                <w:strike w:val="false"/>
                <w:dstrike w:val="false"/>
                <w:color w:val="000000"/>
                <w:sz w:val="24"/>
                <w:u w:val="none"/>
                <w:effect w:val="none"/>
              </w:rPr>
              <w:t>{{ contract.value.amount|</w:t>
            </w:r>
            <w:r>
              <w:rPr>
                <w:rFonts w:eastAsia="Liberation Mono" w:cs="Liberation Mono" w:ascii="Times New Roman" w:hAnsi="Times New Roman"/>
                <w:b/>
                <w:i w:val="false"/>
                <w:caps w:val="false"/>
                <w:smallCaps w:val="false"/>
                <w:strike w:val="false"/>
                <w:dstrike w:val="false"/>
                <w:color w:val="000000"/>
                <w:kern w:val="2"/>
                <w:sz w:val="24"/>
                <w:szCs w:val="20"/>
                <w:u w:val="none"/>
                <w:effect w:val="none"/>
                <w:lang w:val="en-US" w:eastAsia="zh-CN" w:bidi="hi-IN"/>
              </w:rPr>
              <w:t>to_float -</w:t>
            </w:r>
            <w:r>
              <w:rPr>
                <w:rFonts w:ascii="Times New Roman" w:hAnsi="Times New Roman"/>
                <w:b/>
                <w:i w:val="false"/>
                <w:caps w:val="false"/>
                <w:smallCaps w:val="false"/>
                <w:strike w:val="false"/>
                <w:dstrike w:val="false"/>
                <w:color w:val="000000"/>
                <w:sz w:val="24"/>
                <w:u w:val="none"/>
                <w:effect w:val="none"/>
              </w:rPr>
              <w:t xml:space="preserve"> </w:t>
            </w:r>
            <w:r>
              <w:rPr>
                <w:rFonts w:eastAsia="Liberation Mono" w:cs="Liberation Mono" w:ascii="Times New Roman" w:hAnsi="Times New Roman"/>
                <w:b/>
                <w:i w:val="false"/>
                <w:caps w:val="false"/>
                <w:smallCaps w:val="false"/>
                <w:strike w:val="false"/>
                <w:dstrike w:val="false"/>
                <w:color w:val="000000"/>
                <w:kern w:val="2"/>
                <w:sz w:val="24"/>
                <w:szCs w:val="20"/>
                <w:u w:val="none"/>
                <w:effect w:val="none"/>
                <w:lang w:val="en-US" w:eastAsia="zh-CN" w:bidi="hi-IN"/>
              </w:rPr>
              <w:t>contract.value.amountNet|to_float}}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tc>
      </w:tr>
      <w:tr>
        <w:trPr>
          <w:trHeight w:val="520" w:hRule="atLeast"/>
        </w:trPr>
        <w:tc>
          <w:tcPr>
            <w:tcW w:w="7350" w:type="dxa"/>
            <w:gridSpan w:val="6"/>
            <w:tcBorders>
              <w:top w:val="single" w:sz="6" w:space="0" w:color="000000"/>
              <w:left w:val="single" w:sz="8" w:space="0" w:color="000000"/>
              <w:bottom w:val="single" w:sz="8" w:space="0" w:color="000000"/>
              <w:right w:val="single" w:sz="8" w:space="0" w:color="000000"/>
            </w:tcBorders>
            <w:shd w:fill="auto" w:val="clear"/>
          </w:tcPr>
          <w:p>
            <w:pPr>
              <w:pStyle w:val="LOnormal"/>
              <w:ind w:firstLine="566"/>
              <w:rPr/>
            </w:pPr>
            <w:r>
              <w:rPr>
                <w:rFonts w:eastAsia="Times New Roman" w:cs="Times New Roman" w:ascii="Times New Roman" w:hAnsi="Times New Roman"/>
                <w:b/>
                <w:sz w:val="24"/>
                <w:szCs w:val="24"/>
              </w:rPr>
              <w:t>Загальна вартість, грн. з ПДВ:</w:t>
            </w:r>
          </w:p>
        </w:tc>
        <w:tc>
          <w:tcPr>
            <w:tcW w:w="2939" w:type="dxa"/>
            <w:gridSpan w:val="3"/>
            <w:tcBorders>
              <w:top w:val="single" w:sz="6" w:space="0" w:color="000000"/>
              <w:left w:val="single" w:sz="6" w:space="0" w:color="000000"/>
              <w:bottom w:val="single" w:sz="8" w:space="0" w:color="000000"/>
              <w:right w:val="single" w:sz="8" w:space="0" w:color="000000"/>
            </w:tcBorders>
            <w:shd w:fill="auto" w:val="clear"/>
          </w:tcPr>
          <w:p>
            <w:pPr>
              <w:pStyle w:val="TableContents"/>
              <w:spacing w:before="0" w:after="283"/>
              <w:jc w:val="right"/>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{{contract.value.amount}}</w:t>
            </w:r>
          </w:p>
        </w:tc>
      </w:tr>
    </w:tbl>
    <w:p>
      <w:pPr>
        <w:pStyle w:val="Normal"/>
        <w:rPr/>
      </w:pPr>
      <w:r>
        <w:rPr/>
      </w:r>
    </w:p>
    <w:p>
      <w:pPr>
        <w:pStyle w:val="TextBody"/>
        <w:bidi w:val="0"/>
        <w:spacing w:lineRule="auto" w:line="331" w:before="0" w:after="0"/>
        <w:ind w:left="0" w:right="0" w:firstLine="567"/>
        <w:jc w:val="both"/>
        <w:rPr/>
      </w:pPr>
      <w:r>
        <w:rPr>
          <w:caps w:val="false"/>
          <w:smallCaps w:val="false"/>
          <w:strike w:val="false"/>
          <w:dstrike w:val="false"/>
          <w:color w:val="000000"/>
          <w:u w:val="none"/>
          <w:effect w:val="none"/>
        </w:rPr>
        <w:t> </w:t>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procuringEntity.name }}</w:t>
            </w:r>
          </w:p>
        </w:tc>
      </w:tr>
      <w:tr>
        <w:trPr>
          <w:trHeight w:val="1594" w:hRule="atLeast"/>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__________________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contract.supplier.signer.position }} </w:t>
            </w:r>
          </w:p>
          <w:p>
            <w:pPr>
              <w:pStyle w:val="TextBody"/>
              <w:bidi w:val="0"/>
              <w:spacing w:lineRule="auto" w:line="331" w:before="0" w:after="120"/>
              <w:ind w:left="0" w:right="0" w:hanging="0"/>
              <w:jc w:val="both"/>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contract.supplier.signer.name }} </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__________________ </w:t>
            </w: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signer.position</w:t>
            </w:r>
            <w:r>
              <w:rPr>
                <w:rFonts w:ascii="Times New Roman" w:hAnsi="Times New Roman"/>
                <w:b w:val="false"/>
                <w:i w:val="false"/>
                <w:caps w:val="false"/>
                <w:smallCaps w:val="false"/>
                <w:strike w:val="false"/>
                <w:dstrike w:val="false"/>
                <w:color w:val="000000"/>
                <w:sz w:val="24"/>
                <w:u w:val="none"/>
                <w:effect w:val="none"/>
              </w:rPr>
              <w:t xml:space="preserv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i w:val="false"/>
                <w:caps w:val="false"/>
                <w:smallCaps w:val="false"/>
                <w:strike w:val="false"/>
                <w:dstrike w:val="false"/>
                <w:color w:val="000000"/>
                <w:sz w:val="24"/>
                <w:u w:val="none"/>
                <w:effect w:val="none"/>
              </w:rPr>
              <w:t xml:space="preserv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Onormal">
    <w:name w:val="LO-normal"/>
    <w:qFormat/>
    <w:pPr>
      <w:widowControl/>
      <w:bidi w:val="0"/>
      <w:spacing w:lineRule="auto" w:line="276" w:before="0" w:after="0"/>
      <w:jc w:val="left"/>
    </w:pPr>
    <w:rPr>
      <w:rFonts w:ascii="Liberation Serif" w:hAnsi="Liberation Serif" w:eastAsia="Droid Sans Fallback" w:cs="Droid Sans Devanagari"/>
      <w:color w:val="auto"/>
      <w:kern w:val="2"/>
      <w:sz w:val="20"/>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2212</TotalTime>
  <Application>LibreOffice/6.3.4.2.0$Linux_X86_64 LibreOffice_project/30$Build-2</Application>
  <Pages>11</Pages>
  <Words>2791</Words>
  <Characters>19224</Characters>
  <CharactersWithSpaces>21859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2020-03-30T15:44:47Z</dcterms:modified>
  <cp:revision>160</cp:revision>
  <dc:subject/>
  <dc:title/>
</cp:coreProperties>
</file>