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D03A" w14:textId="15DE30A5" w:rsidR="007006ED" w:rsidRDefault="007006ED"/>
    <w:p w14:paraId="0F777479" w14:textId="4D28097D" w:rsidR="005B2FDB" w:rsidRDefault="005B2FDB" w:rsidP="004F5F6D">
      <w:pPr>
        <w:rPr>
          <w:noProof/>
          <w:lang w:eastAsia="pt-BR"/>
        </w:rPr>
      </w:pPr>
    </w:p>
    <w:p w14:paraId="695D1481" w14:textId="2CD119C4" w:rsidR="005B2FDB" w:rsidRDefault="005B2FDB" w:rsidP="005B2FDB">
      <w:pPr>
        <w:jc w:val="center"/>
        <w:rPr>
          <w:noProof/>
          <w:lang w:eastAsia="pt-BR"/>
        </w:rPr>
      </w:pPr>
    </w:p>
    <w:p w14:paraId="1DAFD098" w14:textId="5B9FD257" w:rsidR="005B2FDB" w:rsidRDefault="005B2FDB" w:rsidP="005B2FDB">
      <w:pPr>
        <w:jc w:val="center"/>
        <w:rPr>
          <w:noProof/>
          <w:lang w:eastAsia="pt-BR"/>
        </w:rPr>
      </w:pPr>
    </w:p>
    <w:p w14:paraId="0AC0724D" w14:textId="77777777" w:rsidR="005B2FDB" w:rsidRDefault="005B2FDB" w:rsidP="005B2FDB">
      <w:pPr>
        <w:jc w:val="center"/>
        <w:rPr>
          <w:noProof/>
          <w:lang w:eastAsia="pt-BR"/>
        </w:rPr>
      </w:pPr>
    </w:p>
    <w:p w14:paraId="1DCDC901" w14:textId="6987745C" w:rsidR="005B2FDB" w:rsidRDefault="005B2FDB" w:rsidP="005B2FDB">
      <w:pPr>
        <w:jc w:val="center"/>
        <w:rPr>
          <w:noProof/>
          <w:lang w:eastAsia="pt-BR"/>
        </w:rPr>
      </w:pPr>
    </w:p>
    <w:p w14:paraId="7DB26719" w14:textId="11703CAE" w:rsidR="0089700D" w:rsidRDefault="0089700D" w:rsidP="008E6AA2">
      <w:pPr>
        <w:rPr>
          <w:noProof/>
          <w:lang w:eastAsia="pt-BR"/>
        </w:rPr>
      </w:pPr>
    </w:p>
    <w:p w14:paraId="3CBF287D" w14:textId="0009B978" w:rsidR="0089700D" w:rsidRDefault="0089700D" w:rsidP="00BF4DF4">
      <w:pPr>
        <w:rPr>
          <w:noProof/>
          <w:lang w:eastAsia="pt-BR"/>
        </w:rPr>
      </w:pPr>
    </w:p>
    <w:p w14:paraId="3C5006B9" w14:textId="77777777" w:rsidR="008E6AA2" w:rsidRDefault="008E6AA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36E9F417" w14:textId="6D4476C3" w:rsidR="00653CAB" w:rsidRDefault="00BF4DF4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>FUNCIONAL</w:t>
      </w:r>
      <w:r w:rsidR="00F854D5"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 AND TECHNICAL</w:t>
      </w: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 SPECIFICATION</w:t>
      </w:r>
    </w:p>
    <w:p w14:paraId="7EDB0DAB" w14:textId="34A84864" w:rsidR="00606CF3" w:rsidRDefault="00606CF3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27764243" w14:textId="62687985" w:rsidR="007A13A7" w:rsidRDefault="007A13A7" w:rsidP="00BF4DF4">
      <w:pP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5D0AC04D" w14:textId="77777777" w:rsidR="00BF4DF4" w:rsidRDefault="00BF4DF4" w:rsidP="00BF4DF4">
      <w:pP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592EB21E" w14:textId="6F741551" w:rsidR="00BF4DF4" w:rsidRDefault="00BF4DF4" w:rsidP="00BF4DF4">
      <w:pP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754F6351" w14:textId="782053A5" w:rsidR="00BF4DF4" w:rsidRDefault="00BF4DF4" w:rsidP="00BF4DF4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  <w:r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  <w:t xml:space="preserve">DOOSAN - DIFAL – NEW BASE CALC </w:t>
      </w:r>
    </w:p>
    <w:p w14:paraId="40E4BB41" w14:textId="21F0919F" w:rsidR="00BF4DF4" w:rsidRDefault="00BF4DF4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250F3A02" w14:textId="54312FDF" w:rsidR="00BF4DF4" w:rsidRDefault="00BF4DF4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7E067359" w14:textId="77777777" w:rsidR="00BF4DF4" w:rsidRDefault="00BF4DF4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5B9D7842" w14:textId="431B71B0" w:rsidR="007A13A7" w:rsidRDefault="007A13A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2F6E9EC0" w14:textId="77777777" w:rsidR="008A7BAA" w:rsidRDefault="008A7BAA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1F7CCFAD" w14:textId="1237DB32" w:rsidR="00073887" w:rsidRDefault="00073887" w:rsidP="0090739A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4F95EEC5" w14:textId="77777777" w:rsidR="00653CAB" w:rsidRDefault="00653CAB" w:rsidP="005B2FDB">
      <w:pPr>
        <w:jc w:val="center"/>
        <w:rPr>
          <w:noProof/>
          <w:lang w:eastAsia="pt-BR"/>
        </w:rPr>
      </w:pPr>
    </w:p>
    <w:p w14:paraId="58B18B81" w14:textId="77777777" w:rsidR="008E6AA2" w:rsidRDefault="008E6AA2" w:rsidP="005B2FDB">
      <w:pPr>
        <w:jc w:val="center"/>
        <w:rPr>
          <w:noProof/>
          <w:lang w:eastAsia="pt-BR"/>
        </w:rPr>
      </w:pPr>
    </w:p>
    <w:p w14:paraId="6751024C" w14:textId="7FE3BBEE" w:rsidR="00382564" w:rsidRDefault="00382564" w:rsidP="005B2FDB">
      <w:pPr>
        <w:jc w:val="center"/>
        <w:rPr>
          <w:noProof/>
          <w:lang w:eastAsia="pt-BR"/>
        </w:rPr>
      </w:pPr>
    </w:p>
    <w:p w14:paraId="5EAD93D1" w14:textId="77777777" w:rsidR="001C060E" w:rsidRDefault="001C060E" w:rsidP="005B2FDB">
      <w:pPr>
        <w:jc w:val="center"/>
        <w:rPr>
          <w:noProof/>
          <w:lang w:eastAsia="pt-BR"/>
        </w:rPr>
      </w:pPr>
    </w:p>
    <w:p w14:paraId="19044CEF" w14:textId="0B35DD7A" w:rsidR="007A13A7" w:rsidRDefault="007A13A7" w:rsidP="007A13A7">
      <w:pPr>
        <w:jc w:val="center"/>
        <w:rPr>
          <w:noProof/>
          <w:lang w:eastAsia="pt-BR"/>
        </w:rPr>
      </w:pPr>
    </w:p>
    <w:p w14:paraId="2C7E409A" w14:textId="02811F07" w:rsidR="00BF4DF4" w:rsidRDefault="00BF4DF4" w:rsidP="007A13A7">
      <w:pPr>
        <w:jc w:val="center"/>
        <w:rPr>
          <w:noProof/>
          <w:lang w:eastAsia="pt-BR"/>
        </w:rPr>
      </w:pPr>
    </w:p>
    <w:p w14:paraId="2E90032C" w14:textId="77777777" w:rsidR="00BF4DF4" w:rsidRDefault="00BF4DF4" w:rsidP="007A13A7">
      <w:pPr>
        <w:jc w:val="center"/>
        <w:rPr>
          <w:noProof/>
          <w:lang w:eastAsia="pt-BR"/>
        </w:rPr>
      </w:pPr>
    </w:p>
    <w:p w14:paraId="550832A8" w14:textId="77777777" w:rsidR="007A13A7" w:rsidRDefault="007A13A7" w:rsidP="007A13A7">
      <w:pPr>
        <w:jc w:val="center"/>
        <w:rPr>
          <w:noProof/>
          <w:lang w:eastAsia="pt-BR"/>
        </w:rPr>
      </w:pPr>
    </w:p>
    <w:p w14:paraId="368C3BF6" w14:textId="77777777" w:rsidR="007A13A7" w:rsidRDefault="007A13A7" w:rsidP="007A13A7">
      <w:pPr>
        <w:jc w:val="center"/>
        <w:rPr>
          <w:noProof/>
          <w:lang w:eastAsia="pt-BR"/>
        </w:rPr>
      </w:pPr>
    </w:p>
    <w:p w14:paraId="3CE5198B" w14:textId="77777777" w:rsidR="007A13A7" w:rsidRDefault="007A13A7" w:rsidP="007A13A7">
      <w:pPr>
        <w:jc w:val="center"/>
        <w:rPr>
          <w:noProof/>
          <w:lang w:eastAsia="pt-BR"/>
        </w:rPr>
      </w:pPr>
    </w:p>
    <w:p w14:paraId="3C11C6C8" w14:textId="77777777" w:rsidR="007A13A7" w:rsidRDefault="007A13A7" w:rsidP="007A13A7">
      <w:pPr>
        <w:jc w:val="center"/>
        <w:rPr>
          <w:noProof/>
          <w:lang w:eastAsia="pt-BR"/>
        </w:rPr>
      </w:pPr>
    </w:p>
    <w:p w14:paraId="1103C5F8" w14:textId="77777777" w:rsidR="007A13A7" w:rsidRDefault="007A13A7" w:rsidP="007A13A7">
      <w:pPr>
        <w:jc w:val="center"/>
        <w:rPr>
          <w:noProof/>
          <w:lang w:eastAsia="pt-BR"/>
        </w:rPr>
      </w:pPr>
    </w:p>
    <w:tbl>
      <w:tblPr>
        <w:tblStyle w:val="TabeladeGrade4-nfase3"/>
        <w:tblW w:w="8500" w:type="dxa"/>
        <w:tblLook w:val="04A0" w:firstRow="1" w:lastRow="0" w:firstColumn="1" w:lastColumn="0" w:noHBand="0" w:noVBand="1"/>
      </w:tblPr>
      <w:tblGrid>
        <w:gridCol w:w="1678"/>
        <w:gridCol w:w="892"/>
        <w:gridCol w:w="2245"/>
        <w:gridCol w:w="3685"/>
      </w:tblGrid>
      <w:tr w:rsidR="007A13A7" w:rsidRPr="00CD51A2" w14:paraId="19AD99C1" w14:textId="77777777" w:rsidTr="0078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58CE705E" w14:textId="77777777" w:rsidR="007A13A7" w:rsidRPr="00623F33" w:rsidRDefault="007A13A7" w:rsidP="00786577">
            <w:pPr>
              <w:rPr>
                <w:rFonts w:ascii="Gotham Bold" w:hAnsi="Gotham Bold"/>
                <w:b w:val="0"/>
                <w:lang w:eastAsia="ja-JP"/>
              </w:rPr>
            </w:pPr>
            <w:r w:rsidRPr="00623F33">
              <w:rPr>
                <w:rFonts w:ascii="Gotham Bold" w:hAnsi="Gotham Bold"/>
                <w:lang w:eastAsia="ja-JP"/>
              </w:rPr>
              <w:t>Data</w:t>
            </w:r>
          </w:p>
        </w:tc>
        <w:tc>
          <w:tcPr>
            <w:tcW w:w="892" w:type="dxa"/>
          </w:tcPr>
          <w:p w14:paraId="02B9A59C" w14:textId="77777777" w:rsidR="007A13A7" w:rsidRPr="00623F33" w:rsidRDefault="007A13A7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 w:rsidRPr="00623F33">
              <w:rPr>
                <w:rFonts w:ascii="Gotham Bold" w:hAnsi="Gotham Bold"/>
                <w:lang w:eastAsia="ja-JP"/>
              </w:rPr>
              <w:t>Versão</w:t>
            </w:r>
          </w:p>
        </w:tc>
        <w:tc>
          <w:tcPr>
            <w:tcW w:w="2245" w:type="dxa"/>
          </w:tcPr>
          <w:p w14:paraId="271314E2" w14:textId="77777777" w:rsidR="007A13A7" w:rsidRPr="00623F33" w:rsidRDefault="007A13A7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 w:rsidRPr="00623F33">
              <w:rPr>
                <w:rFonts w:ascii="Gotham Bold" w:hAnsi="Gotham Bold"/>
                <w:lang w:eastAsia="ja-JP"/>
              </w:rPr>
              <w:t>Autor</w:t>
            </w:r>
          </w:p>
        </w:tc>
        <w:tc>
          <w:tcPr>
            <w:tcW w:w="3685" w:type="dxa"/>
          </w:tcPr>
          <w:p w14:paraId="2214F953" w14:textId="77777777" w:rsidR="007A13A7" w:rsidRPr="00623F33" w:rsidRDefault="007A13A7" w:rsidP="007865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ld" w:hAnsi="Gotham Bold"/>
                <w:b w:val="0"/>
                <w:lang w:eastAsia="ja-JP"/>
              </w:rPr>
            </w:pPr>
            <w:r w:rsidRPr="00623F33">
              <w:rPr>
                <w:rFonts w:ascii="Gotham Bold" w:hAnsi="Gotham Bold"/>
                <w:lang w:eastAsia="ja-JP"/>
              </w:rPr>
              <w:t>Alteração</w:t>
            </w:r>
          </w:p>
        </w:tc>
      </w:tr>
      <w:tr w:rsidR="007A13A7" w:rsidRPr="004D0AEA" w14:paraId="7B9469CC" w14:textId="77777777" w:rsidTr="0078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33F04839" w14:textId="3BF07407" w:rsidR="007A13A7" w:rsidRPr="001C060E" w:rsidRDefault="00606CF3" w:rsidP="00786577">
            <w:pPr>
              <w:rPr>
                <w:b w:val="0"/>
                <w:bCs w:val="0"/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BF4DF4">
              <w:rPr>
                <w:lang w:eastAsia="ja-JP"/>
              </w:rPr>
              <w:t>21</w:t>
            </w:r>
            <w:r>
              <w:rPr>
                <w:lang w:eastAsia="ja-JP"/>
              </w:rPr>
              <w:t>/05/2020</w:t>
            </w:r>
          </w:p>
        </w:tc>
        <w:tc>
          <w:tcPr>
            <w:tcW w:w="892" w:type="dxa"/>
          </w:tcPr>
          <w:p w14:paraId="240F74A5" w14:textId="77777777" w:rsidR="007A13A7" w:rsidRPr="00623F33" w:rsidRDefault="007A13A7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 w:rsidRPr="00623F33">
              <w:rPr>
                <w:rFonts w:ascii="Gotham Book" w:hAnsi="Gotham Book"/>
                <w:lang w:eastAsia="ja-JP"/>
              </w:rPr>
              <w:t>1.0</w:t>
            </w:r>
          </w:p>
        </w:tc>
        <w:tc>
          <w:tcPr>
            <w:tcW w:w="2245" w:type="dxa"/>
          </w:tcPr>
          <w:p w14:paraId="7FFAB1C8" w14:textId="5ED710C7" w:rsidR="007A13A7" w:rsidRPr="00623F33" w:rsidRDefault="00606CF3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 xml:space="preserve"> Felipe OKabayashi</w:t>
            </w:r>
          </w:p>
        </w:tc>
        <w:tc>
          <w:tcPr>
            <w:tcW w:w="3685" w:type="dxa"/>
          </w:tcPr>
          <w:p w14:paraId="4F834FAC" w14:textId="64545BF6" w:rsidR="007A13A7" w:rsidRPr="00623F33" w:rsidRDefault="00606CF3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 xml:space="preserve"> </w:t>
            </w:r>
          </w:p>
        </w:tc>
      </w:tr>
      <w:tr w:rsidR="007A13A7" w:rsidRPr="004D0AEA" w14:paraId="46B7152F" w14:textId="77777777" w:rsidTr="0078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07ABC208" w14:textId="24936182" w:rsidR="007A13A7" w:rsidRDefault="00606CF3" w:rsidP="00786577">
            <w:p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</w:p>
        </w:tc>
        <w:tc>
          <w:tcPr>
            <w:tcW w:w="892" w:type="dxa"/>
          </w:tcPr>
          <w:p w14:paraId="633F5764" w14:textId="583CDE24" w:rsidR="007A13A7" w:rsidRPr="00623F33" w:rsidRDefault="007A13A7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  <w:tc>
          <w:tcPr>
            <w:tcW w:w="2245" w:type="dxa"/>
          </w:tcPr>
          <w:p w14:paraId="100870CC" w14:textId="26C04B4C" w:rsidR="007A13A7" w:rsidRPr="00CD0882" w:rsidRDefault="00606CF3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 xml:space="preserve"> </w:t>
            </w:r>
          </w:p>
        </w:tc>
        <w:tc>
          <w:tcPr>
            <w:tcW w:w="3685" w:type="dxa"/>
          </w:tcPr>
          <w:p w14:paraId="2EDBF0F1" w14:textId="51849C3C" w:rsidR="007A13A7" w:rsidRPr="00623F33" w:rsidRDefault="00606CF3" w:rsidP="00786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  <w:r>
              <w:rPr>
                <w:rFonts w:ascii="Gotham Book" w:hAnsi="Gotham Book"/>
                <w:lang w:eastAsia="ja-JP"/>
              </w:rPr>
              <w:t xml:space="preserve"> </w:t>
            </w:r>
          </w:p>
        </w:tc>
      </w:tr>
      <w:tr w:rsidR="007A13A7" w14:paraId="234C2E1A" w14:textId="77777777" w:rsidTr="0078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8" w:type="dxa"/>
          </w:tcPr>
          <w:p w14:paraId="78B4786C" w14:textId="77777777" w:rsidR="007A13A7" w:rsidRDefault="007A13A7" w:rsidP="00786577">
            <w:pPr>
              <w:rPr>
                <w:lang w:eastAsia="ja-JP"/>
              </w:rPr>
            </w:pPr>
          </w:p>
        </w:tc>
        <w:tc>
          <w:tcPr>
            <w:tcW w:w="892" w:type="dxa"/>
          </w:tcPr>
          <w:p w14:paraId="3E7CCAF5" w14:textId="77777777" w:rsidR="007A13A7" w:rsidRPr="00623F33" w:rsidRDefault="007A13A7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  <w:tc>
          <w:tcPr>
            <w:tcW w:w="2245" w:type="dxa"/>
          </w:tcPr>
          <w:p w14:paraId="5482FF6E" w14:textId="77777777" w:rsidR="007A13A7" w:rsidRPr="00CD0882" w:rsidRDefault="007A13A7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  <w:tc>
          <w:tcPr>
            <w:tcW w:w="3685" w:type="dxa"/>
          </w:tcPr>
          <w:p w14:paraId="408E046A" w14:textId="77777777" w:rsidR="007A13A7" w:rsidRDefault="007A13A7" w:rsidP="007865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tham Book" w:hAnsi="Gotham Book"/>
                <w:lang w:eastAsia="ja-JP"/>
              </w:rPr>
            </w:pPr>
          </w:p>
        </w:tc>
      </w:tr>
    </w:tbl>
    <w:p w14:paraId="3C915BE2" w14:textId="77777777" w:rsidR="007A13A7" w:rsidRPr="00780407" w:rsidRDefault="007A13A7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</w:pPr>
      <w:r>
        <w:t>Projeto</w:t>
      </w:r>
    </w:p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356"/>
        <w:gridCol w:w="3090"/>
        <w:gridCol w:w="3058"/>
      </w:tblGrid>
      <w:tr w:rsidR="007A13A7" w:rsidRPr="00780407" w14:paraId="77E83C34" w14:textId="77777777" w:rsidTr="0078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6" w:type="dxa"/>
          </w:tcPr>
          <w:p w14:paraId="2F7ECF09" w14:textId="77777777" w:rsidR="007A13A7" w:rsidRPr="00780407" w:rsidRDefault="007A13A7" w:rsidP="00786577">
            <w:pPr>
              <w:rPr>
                <w:kern w:val="20"/>
              </w:rPr>
            </w:pPr>
            <w:r w:rsidRPr="003E4D11"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DATA</w:t>
            </w:r>
          </w:p>
        </w:tc>
        <w:tc>
          <w:tcPr>
            <w:tcW w:w="3090" w:type="dxa"/>
          </w:tcPr>
          <w:p w14:paraId="2ED94F42" w14:textId="77777777" w:rsidR="007A13A7" w:rsidRPr="00780407" w:rsidRDefault="007A13A7" w:rsidP="00786577">
            <w:pPr>
              <w:rPr>
                <w:kern w:val="20"/>
              </w:rPr>
            </w:pPr>
            <w:r w:rsidRPr="003E4D11"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PROJETO</w:t>
            </w:r>
            <w:r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 xml:space="preserve">/CHAMADO </w:t>
            </w:r>
          </w:p>
        </w:tc>
        <w:tc>
          <w:tcPr>
            <w:tcW w:w="3058" w:type="dxa"/>
          </w:tcPr>
          <w:p w14:paraId="61C25949" w14:textId="77777777" w:rsidR="007A13A7" w:rsidRPr="00780407" w:rsidRDefault="007A13A7" w:rsidP="00786577">
            <w:pPr>
              <w:rPr>
                <w:kern w:val="20"/>
              </w:rPr>
            </w:pPr>
            <w:r w:rsidRPr="003E4D11">
              <w:rPr>
                <w:rFonts w:eastAsia="Times New Roman"/>
                <w:b/>
                <w:bCs/>
                <w:caps w:val="0"/>
                <w:color w:val="00B1C9"/>
                <w:lang w:val="pt-BR" w:eastAsia="pt-BR"/>
              </w:rPr>
              <w:t>AUTOR</w:t>
            </w:r>
          </w:p>
        </w:tc>
      </w:tr>
      <w:tr w:rsidR="007A13A7" w:rsidRPr="00073887" w14:paraId="091E3BC4" w14:textId="77777777" w:rsidTr="00786577">
        <w:tc>
          <w:tcPr>
            <w:tcW w:w="2356" w:type="dxa"/>
          </w:tcPr>
          <w:p w14:paraId="235A8C4E" w14:textId="072F5797" w:rsidR="007A13A7" w:rsidRPr="00073887" w:rsidRDefault="00BF4DF4" w:rsidP="00786577">
            <w:pPr>
              <w:rPr>
                <w:kern w:val="20"/>
                <w:lang w:val="pt-BR"/>
              </w:rPr>
            </w:pPr>
            <w:r>
              <w:rPr>
                <w:kern w:val="20"/>
                <w:lang w:val="pt-BR"/>
              </w:rPr>
              <w:t>21</w:t>
            </w:r>
            <w:r w:rsidR="007A13A7">
              <w:rPr>
                <w:kern w:val="20"/>
                <w:lang w:val="pt-BR"/>
              </w:rPr>
              <w:t>/</w:t>
            </w:r>
            <w:r w:rsidR="00606CF3">
              <w:rPr>
                <w:kern w:val="20"/>
                <w:lang w:val="pt-BR"/>
              </w:rPr>
              <w:t>05</w:t>
            </w:r>
            <w:r w:rsidR="007A13A7" w:rsidRPr="00073887">
              <w:rPr>
                <w:kern w:val="20"/>
                <w:lang w:val="pt-BR"/>
              </w:rPr>
              <w:t>/2020</w:t>
            </w:r>
          </w:p>
        </w:tc>
        <w:tc>
          <w:tcPr>
            <w:tcW w:w="3090" w:type="dxa"/>
          </w:tcPr>
          <w:p w14:paraId="63C55816" w14:textId="77777777" w:rsidR="007A13A7" w:rsidRPr="00073887" w:rsidRDefault="007A13A7" w:rsidP="00786577">
            <w:pPr>
              <w:rPr>
                <w:kern w:val="20"/>
                <w:lang w:val="pt-BR"/>
              </w:rPr>
            </w:pPr>
          </w:p>
        </w:tc>
        <w:tc>
          <w:tcPr>
            <w:tcW w:w="3058" w:type="dxa"/>
          </w:tcPr>
          <w:p w14:paraId="24D13656" w14:textId="77777777" w:rsidR="007A13A7" w:rsidRPr="00073887" w:rsidRDefault="007A13A7" w:rsidP="00786577">
            <w:pPr>
              <w:rPr>
                <w:kern w:val="20"/>
                <w:lang w:val="pt-BR"/>
              </w:rPr>
            </w:pPr>
            <w:r w:rsidRPr="00073887">
              <w:rPr>
                <w:kern w:val="20"/>
                <w:lang w:val="pt-BR"/>
              </w:rPr>
              <w:t>EBS IT Services</w:t>
            </w:r>
          </w:p>
        </w:tc>
      </w:tr>
    </w:tbl>
    <w:p w14:paraId="67E77C5B" w14:textId="77777777" w:rsidR="007A13A7" w:rsidRPr="00004CCC" w:rsidRDefault="007A13A7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oBJETIVO DO DOCUMENTO</w:t>
      </w:r>
    </w:p>
    <w:p w14:paraId="369AAB11" w14:textId="45C1D431" w:rsidR="007A13A7" w:rsidRDefault="00BF4DF4" w:rsidP="007A13A7">
      <w:pPr>
        <w:spacing w:before="40" w:after="40"/>
        <w:rPr>
          <w:noProof/>
        </w:rPr>
      </w:pPr>
      <w:r w:rsidRPr="00BF4DF4">
        <w:rPr>
          <w:noProof/>
        </w:rPr>
        <w:t xml:space="preserve">In order to be able to comply with the </w:t>
      </w:r>
      <w:r>
        <w:rPr>
          <w:noProof/>
        </w:rPr>
        <w:t>localization Brazil</w:t>
      </w:r>
      <w:r w:rsidRPr="00BF4DF4">
        <w:rPr>
          <w:noProof/>
        </w:rPr>
        <w:t xml:space="preserve">, which alters the calculation of the differential rate in interstate transactions (sales) between taxpayers, it will be necessary to make the changes described in topic </w:t>
      </w:r>
      <w:r>
        <w:rPr>
          <w:noProof/>
        </w:rPr>
        <w:t>4</w:t>
      </w:r>
      <w:r w:rsidRPr="00BF4DF4">
        <w:rPr>
          <w:noProof/>
        </w:rPr>
        <w:t xml:space="preserve"> of this document.</w:t>
      </w:r>
    </w:p>
    <w:p w14:paraId="5B42759A" w14:textId="77777777" w:rsidR="007A13A7" w:rsidRDefault="007A13A7" w:rsidP="007A13A7">
      <w:pPr>
        <w:spacing w:before="40" w:after="40"/>
        <w:jc w:val="both"/>
        <w:rPr>
          <w:rFonts w:ascii="Cambria" w:eastAsia="Cambria" w:hAnsi="Cambria"/>
          <w:color w:val="595959"/>
          <w:kern w:val="20"/>
          <w:sz w:val="20"/>
          <w:szCs w:val="20"/>
        </w:rPr>
      </w:pPr>
    </w:p>
    <w:p w14:paraId="1FA6748E" w14:textId="77777777" w:rsidR="007A13A7" w:rsidRPr="00073887" w:rsidRDefault="007A13A7" w:rsidP="007A13A7">
      <w:pPr>
        <w:spacing w:before="40" w:after="40"/>
        <w:jc w:val="both"/>
        <w:rPr>
          <w:rFonts w:ascii="Cambria" w:eastAsia="Cambria" w:hAnsi="Cambria"/>
          <w:color w:val="595959"/>
          <w:kern w:val="20"/>
          <w:sz w:val="20"/>
          <w:szCs w:val="20"/>
        </w:rPr>
      </w:pPr>
    </w:p>
    <w:p w14:paraId="4FD23CBC" w14:textId="77777777" w:rsidR="007A13A7" w:rsidRPr="00073887" w:rsidRDefault="007A13A7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pROCESSO DE NEGÓCIO</w:t>
      </w:r>
    </w:p>
    <w:p w14:paraId="3FEBD388" w14:textId="21931B93" w:rsidR="00BF4DF4" w:rsidRPr="00BF4DF4" w:rsidRDefault="00BF4DF4" w:rsidP="00BF4DF4">
      <w:pPr>
        <w:tabs>
          <w:tab w:val="left" w:pos="2010"/>
        </w:tabs>
        <w:jc w:val="both"/>
        <w:rPr>
          <w:color w:val="000000" w:themeColor="text1"/>
        </w:rPr>
      </w:pPr>
      <w:r w:rsidRPr="00BF4DF4">
        <w:rPr>
          <w:color w:val="000000" w:themeColor="text1"/>
        </w:rPr>
        <w:t xml:space="preserve">ICMS DIFAL is due in operations with final consumers and carried out by </w:t>
      </w:r>
      <w:r>
        <w:rPr>
          <w:color w:val="000000" w:themeColor="text1"/>
        </w:rPr>
        <w:t>Doosan</w:t>
      </w:r>
      <w:r w:rsidRPr="00BF4DF4">
        <w:rPr>
          <w:color w:val="000000" w:themeColor="text1"/>
        </w:rPr>
        <w:t xml:space="preserve"> where they are responsible for the collection of ICMS DIFAL ST, that is, in which DIFAL ST is highlighted in NF-e.</w:t>
      </w:r>
    </w:p>
    <w:p w14:paraId="002C40E3" w14:textId="1D0E1A3C" w:rsidR="007A13A7" w:rsidRDefault="00BF4DF4" w:rsidP="00BF4DF4">
      <w:pPr>
        <w:tabs>
          <w:tab w:val="left" w:pos="2010"/>
        </w:tabs>
        <w:jc w:val="both"/>
        <w:rPr>
          <w:color w:val="000000" w:themeColor="text1"/>
        </w:rPr>
      </w:pPr>
      <w:r w:rsidRPr="00BF4DF4">
        <w:rPr>
          <w:color w:val="000000" w:themeColor="text1"/>
        </w:rPr>
        <w:t>The new calculation provides for recomposition of the calculation base to arrive at the ICMS DIFAL ST due to the contributing Final Consumer.</w:t>
      </w:r>
    </w:p>
    <w:p w14:paraId="3CC1F5C5" w14:textId="77777777" w:rsidR="007A13A7" w:rsidRPr="00073887" w:rsidRDefault="007A13A7" w:rsidP="007A13A7">
      <w:pPr>
        <w:pStyle w:val="Estilo1"/>
        <w:numPr>
          <w:ilvl w:val="0"/>
          <w:numId w:val="11"/>
        </w:numPr>
        <w:tabs>
          <w:tab w:val="num" w:pos="360"/>
        </w:tabs>
        <w:ind w:left="144" w:firstLine="0"/>
        <w:rPr>
          <w:lang w:val="pt-BR"/>
        </w:rPr>
      </w:pPr>
      <w:r>
        <w:rPr>
          <w:lang w:val="pt-BR"/>
        </w:rPr>
        <w:t>dETALHAMENTO TÉCNICO</w:t>
      </w:r>
    </w:p>
    <w:p w14:paraId="5474CB23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This development aims to meet the need to recompose the ICMS calculation base for the collection of the differential tax rates in interstate transactions between taxpayers.</w:t>
      </w:r>
    </w:p>
    <w:p w14:paraId="59D1D0EB" w14:textId="333FE641" w:rsidR="00606CF3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There are currently 5 possibilities (procedures) foreseen, as shown below, and it is necessary to observe the legislation of each State to interpret which procedure regulated by it.</w:t>
      </w:r>
    </w:p>
    <w:p w14:paraId="35711079" w14:textId="4D91C906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02B2C5E" w14:textId="7656176B" w:rsidR="00E43853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  <w:highlight w:val="yellow"/>
        </w:rPr>
        <w:t>• Procedure No. 1: *** Already in use *** (SAP standard)</w:t>
      </w:r>
    </w:p>
    <w:p w14:paraId="5FCD61E7" w14:textId="77777777" w:rsidR="00E43853" w:rsidRPr="006410DD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FB5ACAD" w14:textId="581A586A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Procedure adopted with "general rule", previously used as new policies disciplined by States.</w:t>
      </w:r>
    </w:p>
    <w:p w14:paraId="37AE484F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o - Method used by the buyer, recipient of the goods:</w:t>
      </w:r>
    </w:p>
    <w:p w14:paraId="3418C1E9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$ 1,000.00 x 18% = $ 180.00</w:t>
      </w:r>
    </w:p>
    <w:p w14:paraId="34D3DEDD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$ 180.00 - R $ 120.00 = R $ 60.00 (Value of the rate differential), or</w:t>
      </w:r>
    </w:p>
    <w:p w14:paraId="6CD9C790" w14:textId="08EFBA38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$ 1,000.00 x 6% (18% - 12%) = R $ 60.00 (Value of the rate differential)</w:t>
      </w:r>
    </w:p>
    <w:p w14:paraId="6FC7A924" w14:textId="59B0D020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F2D33D0" w14:textId="3429AAC0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D8848B7" w14:textId="305A5A77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54D53BC" w14:textId="5292183B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9B86D78" w14:textId="434C6CDC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5F90CB6" w14:textId="1E698553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512C8782" w14:textId="77777777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247198C" w14:textId="6CABE593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4E9E4BD" w14:textId="4B2C4EEE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• Procedure 2:</w:t>
      </w:r>
    </w:p>
    <w:p w14:paraId="7DDCE3AA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BF8D246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Recomposition excluding the interstate rate of the Base of Calculation of the origin and including the internal rate of the State of destination:</w:t>
      </w:r>
    </w:p>
    <w:p w14:paraId="33A786F6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$ 1,000.00 - R $ 120.00 (ICMS value inside) = R $ 880.00</w:t>
      </w:r>
    </w:p>
    <w:p w14:paraId="3CF15728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$ 880.00 / 0.82 (18% destination rate)</w:t>
      </w:r>
    </w:p>
    <w:p w14:paraId="11A97C2D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$ 1,073.17 (Calculated basis recomposed)</w:t>
      </w:r>
    </w:p>
    <w:p w14:paraId="2E0D9607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- Calculation using the internal rate of the State of destination, on the recomputed calculation base, and deducting the ICMS paid in the interstate operation (origin):</w:t>
      </w:r>
    </w:p>
    <w:p w14:paraId="5A414F8D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$ 1,073.17 x 18% = R $ 193.17</w:t>
      </w:r>
    </w:p>
    <w:p w14:paraId="199330D1" w14:textId="100461A4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$ 193.17 - R $ 120.00 = R $ 73.17 (Value of the rate differential)</w:t>
      </w:r>
    </w:p>
    <w:p w14:paraId="1322791E" w14:textId="2C8D31A4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FB62DD4" w14:textId="4B090245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D03ABF6" w14:textId="420FFB06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• Procedure 3:</w:t>
      </w:r>
    </w:p>
    <w:p w14:paraId="7A1DF695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0E8BC48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Recomposition excluding the interstate rate of the Base of Calculation of the origin and including the internal rate of the State of destination:</w:t>
      </w:r>
    </w:p>
    <w:p w14:paraId="5B8BEDAC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$ 1,000.00 - R $ 120.00 (ICMS value inside) = R $ 880.00</w:t>
      </w:r>
    </w:p>
    <w:p w14:paraId="2229BF52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$ 880.00 / 0.82 (18% destination rate)</w:t>
      </w:r>
    </w:p>
    <w:p w14:paraId="369D6C7B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$ 1,073.17 (Calculated basis recomposed)</w:t>
      </w:r>
    </w:p>
    <w:p w14:paraId="50576D4B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- Calculation by applying the percentage differential of rates on the recomposed calculation base:</w:t>
      </w:r>
    </w:p>
    <w:p w14:paraId="33A8EC41" w14:textId="7C184DFA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$ 1,073, 17 x 6% = R $ 64.39 (Value of the rate differential)</w:t>
      </w:r>
    </w:p>
    <w:p w14:paraId="4B74635C" w14:textId="4B149DDB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0F8C7CD" w14:textId="1315FD3C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04F7CF5" w14:textId="21AE59F1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• Procedure 4:</w:t>
      </w:r>
    </w:p>
    <w:p w14:paraId="38BD2474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4798BFC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Recomposition including the percentage differential of rates in the Base of calculation of the origin:</w:t>
      </w:r>
    </w:p>
    <w:p w14:paraId="65FC193D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$ 1,000.00 / 0.94 (18% -12% = 6%) = R $ 1,063.82 (Calculated basis recomposed)</w:t>
      </w:r>
    </w:p>
    <w:p w14:paraId="13611912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- Calculation using the internal rate of the State of destination, on the recomputed calculation base, and deducting the ICMS paid in the interstate operation (origin):</w:t>
      </w:r>
    </w:p>
    <w:p w14:paraId="0F0B8E33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$ 1,063.82 x 18% = R $ 191.48</w:t>
      </w:r>
    </w:p>
    <w:p w14:paraId="4DA0A0B7" w14:textId="6A89B76D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$ 191.48 - R $ 120.00 = R $ 71.48 (Value of the rate differential)</w:t>
      </w:r>
    </w:p>
    <w:p w14:paraId="44CAD6F0" w14:textId="7EA99884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4B4CF7C3" w14:textId="62C9DEC3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53D9E8B8" w14:textId="2AB8B874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  <w:r w:rsidRPr="006410DD">
        <w:rPr>
          <w:color w:val="000000" w:themeColor="text1"/>
        </w:rPr>
        <w:t>• Procedure No. 5:</w:t>
      </w:r>
    </w:p>
    <w:p w14:paraId="0B88FF14" w14:textId="77777777" w:rsidR="006410DD" w:rsidRP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9C1B308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Recomposition including the percentage differential of rates in the Base of calculation of the origin:</w:t>
      </w:r>
    </w:p>
    <w:p w14:paraId="46FE3217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$ 1,000.00 / 0.94 (18% -12% = 6%) = R $ 1,063.82 (Calculated basis recomposed)</w:t>
      </w:r>
    </w:p>
    <w:p w14:paraId="20D483AF" w14:textId="77777777" w:rsidR="006410DD" w:rsidRP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- Calculation applying the percentage differential of rates on the recomposed calculation base:</w:t>
      </w:r>
    </w:p>
    <w:p w14:paraId="7573C065" w14:textId="13CC968F" w:rsidR="006410DD" w:rsidRDefault="006410DD" w:rsidP="006410DD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6410DD">
        <w:rPr>
          <w:color w:val="000000" w:themeColor="text1"/>
        </w:rPr>
        <w:t>o R $ 1,063.82 x 6% = R $ 63.78 (Value of the rate differential)</w:t>
      </w:r>
    </w:p>
    <w:p w14:paraId="1A4638BC" w14:textId="12FB3DD8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B804E20" w14:textId="1442067B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3FF62E4" w14:textId="3781A63C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3D32ABC" w14:textId="079ADCF9" w:rsidR="006410DD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  <w:r>
        <w:rPr>
          <w:color w:val="000000" w:themeColor="text1"/>
        </w:rPr>
        <w:t>Until the</w:t>
      </w:r>
      <w:r w:rsidRPr="00E43853">
        <w:rPr>
          <w:color w:val="000000" w:themeColor="text1"/>
        </w:rPr>
        <w:t xml:space="preserve"> date of this document, only 9 UFs have already adopted this change and have already legislated to recompose the calculation base, being:</w:t>
      </w:r>
    </w:p>
    <w:p w14:paraId="5B1BE37E" w14:textId="77777777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0"/>
        <w:gridCol w:w="1820"/>
      </w:tblGrid>
      <w:tr w:rsidR="00E43853" w:rsidRPr="00054065" w14:paraId="371F3335" w14:textId="77777777" w:rsidTr="002A61B1">
        <w:trPr>
          <w:trHeight w:val="4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808080"/>
            </w:tcBorders>
            <w:shd w:val="clear" w:color="000000" w:fill="E7E6E6"/>
            <w:vAlign w:val="center"/>
            <w:hideMark/>
          </w:tcPr>
          <w:p w14:paraId="00A51E31" w14:textId="50C0B291" w:rsidR="00E43853" w:rsidRPr="00054065" w:rsidRDefault="00E43853" w:rsidP="002A61B1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 w:rsidRPr="00054065">
              <w:rPr>
                <w:rFonts w:ascii="Arial" w:hAnsi="Arial" w:cs="Arial"/>
                <w:b/>
                <w:bCs/>
                <w:color w:val="000000"/>
              </w:rPr>
              <w:t>Esta</w:t>
            </w:r>
            <w:r>
              <w:rPr>
                <w:rFonts w:ascii="Arial" w:hAnsi="Arial" w:cs="Arial"/>
                <w:b/>
                <w:bCs/>
                <w:color w:val="000000"/>
              </w:rPr>
              <w:t>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14:paraId="5983FA1E" w14:textId="5ABD1140" w:rsidR="00E43853" w:rsidRPr="00054065" w:rsidRDefault="00E43853" w:rsidP="002A61B1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Calc procedure</w:t>
            </w:r>
          </w:p>
        </w:tc>
      </w:tr>
      <w:tr w:rsidR="00E43853" w:rsidRPr="00054065" w14:paraId="35B8697A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FC432F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Alagoas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2AA2E20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4A0F92D7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EB33DB7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D5391DD" w14:textId="14C569FD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 xml:space="preserve">ure </w:t>
            </w:r>
            <w:r w:rsidRPr="00054065">
              <w:rPr>
                <w:rFonts w:ascii="Arial" w:hAnsi="Arial" w:cs="Arial"/>
                <w:color w:val="000000"/>
              </w:rPr>
              <w:t xml:space="preserve">"nº 5". </w:t>
            </w:r>
          </w:p>
        </w:tc>
      </w:tr>
      <w:tr w:rsidR="00E43853" w:rsidRPr="00054065" w14:paraId="762003BF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2812DDA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0C8E5AD" w14:textId="77777777" w:rsidR="00E43853" w:rsidRPr="00054065" w:rsidRDefault="00E43853" w:rsidP="002A61B1">
            <w:pPr>
              <w:rPr>
                <w:rFonts w:ascii="Calibri" w:hAnsi="Calibri"/>
                <w:color w:val="000000"/>
              </w:rPr>
            </w:pPr>
            <w:r w:rsidRPr="00054065">
              <w:rPr>
                <w:rFonts w:ascii="Calibri" w:hAnsi="Calibri"/>
                <w:color w:val="000000"/>
              </w:rPr>
              <w:t> </w:t>
            </w:r>
          </w:p>
        </w:tc>
      </w:tr>
      <w:tr w:rsidR="00E43853" w:rsidRPr="00054065" w14:paraId="175FE28E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53CB7CA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Bahia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5638E88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0B4EE8AC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48331AF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15E715" w14:textId="5F0EDC5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5". </w:t>
            </w:r>
          </w:p>
        </w:tc>
      </w:tr>
      <w:tr w:rsidR="00E43853" w:rsidRPr="00054065" w14:paraId="47A60B27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D40D25E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D34FB7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3D02245A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06B1C2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Goiás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3DE2A1B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1AE5E8EC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163962AB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28B0906" w14:textId="5A9CEBB6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2".</w:t>
            </w:r>
          </w:p>
        </w:tc>
      </w:tr>
      <w:tr w:rsidR="00E43853" w:rsidRPr="00054065" w14:paraId="1AECC0AA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12572FD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4B911CE" w14:textId="77777777" w:rsidR="00E43853" w:rsidRPr="00054065" w:rsidRDefault="00E43853" w:rsidP="002A61B1">
            <w:pPr>
              <w:rPr>
                <w:rFonts w:ascii="Calibri" w:hAnsi="Calibri"/>
                <w:color w:val="000000"/>
              </w:rPr>
            </w:pPr>
            <w:r w:rsidRPr="00054065">
              <w:rPr>
                <w:rFonts w:ascii="Calibri" w:hAnsi="Calibri"/>
                <w:color w:val="000000"/>
              </w:rPr>
              <w:t> </w:t>
            </w:r>
          </w:p>
        </w:tc>
      </w:tr>
      <w:tr w:rsidR="00E43853" w:rsidRPr="00054065" w14:paraId="1BC99A08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7A7FAE9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Minas Gerais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25180DE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26962309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026EABE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0083998" w14:textId="6B64E541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2".</w:t>
            </w:r>
          </w:p>
        </w:tc>
      </w:tr>
      <w:tr w:rsidR="00E43853" w:rsidRPr="00054065" w14:paraId="66B447CF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8CAC731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4648821C" w14:textId="77777777" w:rsidR="00E43853" w:rsidRPr="00054065" w:rsidRDefault="00E43853" w:rsidP="002A61B1">
            <w:pPr>
              <w:rPr>
                <w:rFonts w:ascii="Calibri" w:hAnsi="Calibri"/>
                <w:color w:val="000000"/>
              </w:rPr>
            </w:pPr>
            <w:r w:rsidRPr="00054065">
              <w:rPr>
                <w:rFonts w:ascii="Calibri" w:hAnsi="Calibri"/>
                <w:color w:val="000000"/>
              </w:rPr>
              <w:t> </w:t>
            </w:r>
          </w:p>
        </w:tc>
      </w:tr>
      <w:tr w:rsidR="00E43853" w:rsidRPr="00054065" w14:paraId="56057686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D33AFA9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Paraná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2E6A99B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79D1523E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AA0DD01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84B3F89" w14:textId="3ECE277F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2".</w:t>
            </w:r>
          </w:p>
        </w:tc>
      </w:tr>
      <w:tr w:rsidR="00E43853" w:rsidRPr="00054065" w14:paraId="57FBC163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E4D0EE1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D40BF68" w14:textId="77777777" w:rsidR="00E43853" w:rsidRPr="00054065" w:rsidRDefault="00E43853" w:rsidP="002A61B1">
            <w:pPr>
              <w:rPr>
                <w:rFonts w:ascii="Calibri" w:hAnsi="Calibri"/>
                <w:color w:val="000000"/>
              </w:rPr>
            </w:pPr>
            <w:r w:rsidRPr="00054065">
              <w:rPr>
                <w:rFonts w:ascii="Calibri" w:hAnsi="Calibri"/>
                <w:color w:val="000000"/>
              </w:rPr>
              <w:t> </w:t>
            </w:r>
          </w:p>
        </w:tc>
      </w:tr>
      <w:tr w:rsidR="00E43853" w:rsidRPr="00054065" w14:paraId="61218224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036CD2D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Piauí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16A2BDE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6F8642A9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5D8A9C82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9A30F14" w14:textId="1A1ACDF4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5". </w:t>
            </w:r>
          </w:p>
        </w:tc>
      </w:tr>
      <w:tr w:rsidR="00E43853" w:rsidRPr="00054065" w14:paraId="4DF35694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0CB849C7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14:paraId="14F31EDA" w14:textId="77777777" w:rsidR="00E43853" w:rsidRPr="00054065" w:rsidRDefault="00E43853" w:rsidP="002A61B1">
            <w:pPr>
              <w:rPr>
                <w:rFonts w:ascii="Calibri" w:hAnsi="Calibri"/>
                <w:color w:val="000000"/>
              </w:rPr>
            </w:pPr>
            <w:r w:rsidRPr="00054065">
              <w:rPr>
                <w:rFonts w:ascii="Calibri" w:hAnsi="Calibri"/>
                <w:color w:val="000000"/>
              </w:rPr>
              <w:t> </w:t>
            </w:r>
          </w:p>
        </w:tc>
      </w:tr>
      <w:tr w:rsidR="00E43853" w:rsidRPr="00054065" w14:paraId="2796D36C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B4D4D40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Rio Grande do Sul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F994FCA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161BE1F6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6039A44F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614EE1" w14:textId="07A4EC84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2".</w:t>
            </w:r>
          </w:p>
        </w:tc>
      </w:tr>
      <w:tr w:rsidR="00E43853" w:rsidRPr="00054065" w14:paraId="6944E248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6B85423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809E47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31849A1E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2A9D1DB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Sergipe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7E46F0A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2035604A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47192F50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C38F5AB" w14:textId="01FD0BA1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5". </w:t>
            </w:r>
          </w:p>
        </w:tc>
      </w:tr>
      <w:tr w:rsidR="00E43853" w:rsidRPr="00054065" w14:paraId="09EB4A39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3ABBAF14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D3874F2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05E6B349" w14:textId="77777777" w:rsidTr="002A61B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28B2C2C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Tocantins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2A680E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43853" w:rsidRPr="00054065" w14:paraId="12A715A0" w14:textId="77777777" w:rsidTr="002A61B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7E78B4F5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C3191B" w14:textId="5AF828B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Proced</w:t>
            </w:r>
            <w:r>
              <w:rPr>
                <w:rFonts w:ascii="Arial" w:hAnsi="Arial" w:cs="Arial"/>
                <w:color w:val="000000"/>
              </w:rPr>
              <w:t>ure</w:t>
            </w:r>
            <w:r w:rsidRPr="00054065">
              <w:rPr>
                <w:rFonts w:ascii="Arial" w:hAnsi="Arial" w:cs="Arial"/>
                <w:color w:val="000000"/>
              </w:rPr>
              <w:t xml:space="preserve"> “nº 5". </w:t>
            </w:r>
          </w:p>
        </w:tc>
      </w:tr>
      <w:tr w:rsidR="00E43853" w:rsidRPr="00054065" w14:paraId="17AB03BB" w14:textId="77777777" w:rsidTr="002A61B1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14:paraId="2EF5557F" w14:textId="77777777" w:rsidR="00E43853" w:rsidRPr="00054065" w:rsidRDefault="00E43853" w:rsidP="002A61B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DDAFB9" w14:textId="77777777" w:rsidR="00E43853" w:rsidRPr="00054065" w:rsidRDefault="00E43853" w:rsidP="002A61B1">
            <w:pPr>
              <w:jc w:val="both"/>
              <w:rPr>
                <w:rFonts w:ascii="Arial" w:hAnsi="Arial" w:cs="Arial"/>
                <w:color w:val="000000"/>
              </w:rPr>
            </w:pPr>
            <w:r w:rsidRPr="00054065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14:paraId="006909EF" w14:textId="48A47B98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92644D1" w14:textId="7C2AF484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6F3700E" w14:textId="141E858E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1F66276" w14:textId="142C4CD2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28BC2D3" w14:textId="46BDC469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924CCFB" w14:textId="13D8AC0D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A4D33BA" w14:textId="7EC671EF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E0DD856" w14:textId="14310E1F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8F77B8D" w14:textId="094BA439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5E7C393" w14:textId="17469FF8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B739E1A" w14:textId="6D84F6FA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103C31E" w14:textId="286117C3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FD960B8" w14:textId="41603442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2C19169" w14:textId="76F41CEB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E0650EB" w14:textId="235B106E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7920341" w14:textId="3793D6C4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DA2E44F" w14:textId="2D1D9300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629D3AD8" w14:textId="44E75420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7993196D" w14:textId="1B436795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3E971B6" w14:textId="2DBBF789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F1400E3" w14:textId="5D72CE31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85D23D1" w14:textId="4833BFA0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44B2788" w14:textId="52384E0B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5516DA54" w14:textId="68C2BCA7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1CC4157" w14:textId="63F364F2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B74768D" w14:textId="77777777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439A2F9" w14:textId="77777777" w:rsidR="00E43853" w:rsidRDefault="00E43853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7B7916B" w14:textId="68529D92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473D2DD" w14:textId="2A6D468C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3D382FAB" w14:textId="2F897F8D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48EF0230" w14:textId="1433CD99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2263181D" w14:textId="4EA0C67C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8EB547F" w14:textId="4715509F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17C2BE5A" w14:textId="250D4D53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A5C3FB3" w14:textId="77777777" w:rsidR="006410DD" w:rsidRDefault="006410DD" w:rsidP="006410DD">
      <w:pPr>
        <w:tabs>
          <w:tab w:val="left" w:pos="2010"/>
        </w:tabs>
        <w:jc w:val="both"/>
        <w:rPr>
          <w:color w:val="000000" w:themeColor="text1"/>
        </w:rPr>
      </w:pPr>
    </w:p>
    <w:p w14:paraId="0A8B99D5" w14:textId="2C3BCC5B" w:rsidR="00606CF3" w:rsidRDefault="00606CF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D1B7875" w14:textId="0DF4C283" w:rsidR="00606CF3" w:rsidRDefault="00606CF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1D6D36A" w14:textId="29794959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2CFFABE2" w14:textId="6771D1B2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14867647" w14:textId="1841CEF5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2FAD480C" w14:textId="25B1D34C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203C368" w14:textId="556C3A7B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40C6863" w14:textId="5B0D606D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2B3913DC" w14:textId="47BBA5BB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4D1C35D" w14:textId="7E4084BF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C319BE9" w14:textId="6636EB52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63EE9309" w14:textId="528BAFD6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1985ABE3" w14:textId="3657C57D" w:rsidR="00E43853" w:rsidRPr="00E43853" w:rsidRDefault="00E43853" w:rsidP="00E43853">
      <w:pPr>
        <w:tabs>
          <w:tab w:val="left" w:pos="2010"/>
        </w:tabs>
        <w:jc w:val="both"/>
        <w:rPr>
          <w:color w:val="000000" w:themeColor="text1"/>
        </w:rPr>
      </w:pPr>
      <w:r w:rsidRPr="00E43853">
        <w:rPr>
          <w:color w:val="000000" w:themeColor="text1"/>
        </w:rPr>
        <w:t xml:space="preserve">In order to be able to calculate the DIFAL (SD), based on the new calculation procedures highlighted in the recent legislation </w:t>
      </w:r>
      <w:r>
        <w:rPr>
          <w:color w:val="000000" w:themeColor="text1"/>
        </w:rPr>
        <w:t xml:space="preserve">Brazil </w:t>
      </w:r>
      <w:r w:rsidRPr="00E43853">
        <w:rPr>
          <w:color w:val="000000" w:themeColor="text1"/>
        </w:rPr>
        <w:t>that came into force, SAP has made available a new Badi (</w:t>
      </w:r>
      <w:r w:rsidRPr="00E43853">
        <w:rPr>
          <w:color w:val="000000" w:themeColor="text1"/>
          <w:highlight w:val="yellow"/>
        </w:rPr>
        <w:t>BADI_J1B_EXTEND_TAXES</w:t>
      </w:r>
      <w:r w:rsidRPr="00E43853">
        <w:rPr>
          <w:color w:val="000000" w:themeColor="text1"/>
        </w:rPr>
        <w:t>) so that the DIFAL can be implemented.</w:t>
      </w:r>
    </w:p>
    <w:p w14:paraId="381FF4B0" w14:textId="77777777" w:rsidR="00E43853" w:rsidRPr="00E43853" w:rsidRDefault="00E43853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3CFAD9E1" w14:textId="13CF678D" w:rsidR="00E43853" w:rsidRPr="00E43853" w:rsidRDefault="00E43853" w:rsidP="00E43853">
      <w:pPr>
        <w:tabs>
          <w:tab w:val="left" w:pos="2010"/>
        </w:tabs>
        <w:jc w:val="both"/>
        <w:rPr>
          <w:color w:val="000000" w:themeColor="text1"/>
        </w:rPr>
      </w:pPr>
      <w:r w:rsidRPr="00E43853">
        <w:rPr>
          <w:color w:val="000000" w:themeColor="text1"/>
        </w:rPr>
        <w:t>Below is a list of SAP Notes that are prerequisites for implementing the solution:</w:t>
      </w:r>
    </w:p>
    <w:p w14:paraId="7E8573B0" w14:textId="77777777" w:rsidR="00E43853" w:rsidRPr="00E43853" w:rsidRDefault="00E43853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60B416CE" w14:textId="77777777" w:rsidR="00E43853" w:rsidRP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E43853">
        <w:rPr>
          <w:color w:val="000000" w:themeColor="text1"/>
        </w:rPr>
        <w:t>• 2407805 - Call ICMS ST BAdI in TAXBRA Process</w:t>
      </w:r>
    </w:p>
    <w:p w14:paraId="77DBBE04" w14:textId="77777777" w:rsidR="00E43853" w:rsidRP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44158FD8" w14:textId="77777777" w:rsidR="00E43853" w:rsidRP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E43853">
        <w:rPr>
          <w:color w:val="000000" w:themeColor="text1"/>
        </w:rPr>
        <w:t>• 2407798 - Brazil: BAdI for Recalculation of ICMS ST Base and Amount in a Consumption of Goods or Assets Process</w:t>
      </w:r>
    </w:p>
    <w:p w14:paraId="0A3C3CFF" w14:textId="77777777" w:rsidR="00E43853" w:rsidRP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53E59057" w14:textId="16C44E3D" w:rsid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E43853">
        <w:rPr>
          <w:color w:val="000000" w:themeColor="text1"/>
        </w:rPr>
        <w:t>• 2406621 - Extension Class for ICMS ST Customer Implementation</w:t>
      </w:r>
    </w:p>
    <w:p w14:paraId="03FA2E9D" w14:textId="2FDAF635" w:rsid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7E24196E" w14:textId="49F08A6B" w:rsidR="00E43853" w:rsidRDefault="00E43853" w:rsidP="00E43853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2BFB15A5" w14:textId="4E13D4C7" w:rsidR="00E43853" w:rsidRDefault="00E43853" w:rsidP="00E43853">
      <w:pPr>
        <w:tabs>
          <w:tab w:val="left" w:pos="2010"/>
        </w:tabs>
        <w:jc w:val="both"/>
        <w:rPr>
          <w:color w:val="000000" w:themeColor="text1"/>
        </w:rPr>
      </w:pPr>
      <w:r w:rsidRPr="006F418F">
        <w:rPr>
          <w:color w:val="000000" w:themeColor="text1"/>
          <w:highlight w:val="cyan"/>
        </w:rPr>
        <w:t>IMPORTANT: SAP Notes are already correctly implemented in Doosan's environment</w:t>
      </w:r>
      <w:r w:rsidR="006F418F" w:rsidRPr="006F418F">
        <w:rPr>
          <w:color w:val="000000" w:themeColor="text1"/>
          <w:highlight w:val="cyan"/>
        </w:rPr>
        <w:t>.</w:t>
      </w:r>
    </w:p>
    <w:p w14:paraId="15C26E3B" w14:textId="5F0B9B0F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B486F2E" w14:textId="04DE24A9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9311EEA" w14:textId="51BBDCF3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  <w:r w:rsidRPr="005E6050">
        <w:rPr>
          <w:color w:val="000000" w:themeColor="text1"/>
          <w:highlight w:val="yellow"/>
        </w:rPr>
        <w:t>Transaction / Configuration Table (ABAP)</w:t>
      </w:r>
    </w:p>
    <w:p w14:paraId="48749F0F" w14:textId="3D06E4E8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67AF605D" w14:textId="2F182ED8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  <w:r w:rsidRPr="005E6050">
        <w:rPr>
          <w:color w:val="000000" w:themeColor="text1"/>
        </w:rPr>
        <w:t>Create cluster view (with transaction) where the user enters the transaction and informs the company. After that, the following fields will be displayed:</w:t>
      </w:r>
    </w:p>
    <w:p w14:paraId="4DC9E2C5" w14:textId="550D7249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7FE648BC" w14:textId="40815BEB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3A72196D" w14:textId="7B9440E3" w:rsidR="005E6050" w:rsidRPr="005E6050" w:rsidRDefault="005E6050" w:rsidP="005E6050">
      <w:pPr>
        <w:tabs>
          <w:tab w:val="left" w:pos="2010"/>
        </w:tabs>
        <w:jc w:val="both"/>
        <w:rPr>
          <w:color w:val="000000" w:themeColor="text1"/>
        </w:rPr>
      </w:pPr>
      <w:r w:rsidRPr="005E6050">
        <w:rPr>
          <w:color w:val="000000" w:themeColor="text1"/>
        </w:rPr>
        <w:t>• Table 1 - Calculation rule (ZSD_DIFAL_REGR)</w:t>
      </w:r>
    </w:p>
    <w:p w14:paraId="425F1020" w14:textId="072251F9" w:rsidR="005E6050" w:rsidRP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5E6050">
        <w:rPr>
          <w:color w:val="000000" w:themeColor="text1"/>
        </w:rPr>
        <w:t>Company (BUKRS)</w:t>
      </w:r>
    </w:p>
    <w:p w14:paraId="53FA7CBB" w14:textId="77777777" w:rsidR="005E6050" w:rsidRP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5E6050">
        <w:rPr>
          <w:color w:val="000000" w:themeColor="text1"/>
        </w:rPr>
        <w:t>UF Destination (SHIP_TO)</w:t>
      </w:r>
    </w:p>
    <w:p w14:paraId="23CFEF40" w14:textId="77777777" w:rsid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5E6050">
        <w:rPr>
          <w:color w:val="000000" w:themeColor="text1"/>
        </w:rPr>
        <w:t>DIFAL Rule (Dropdown 1 to 5)</w:t>
      </w:r>
    </w:p>
    <w:p w14:paraId="6DAAC1B3" w14:textId="7EEB4623" w:rsidR="005E6050" w:rsidRP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5E6050">
        <w:rPr>
          <w:color w:val="000000" w:themeColor="text1"/>
        </w:rPr>
        <w:t>Initial Validity</w:t>
      </w:r>
    </w:p>
    <w:p w14:paraId="3DB01785" w14:textId="0E4C8A6D" w:rsid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  <w:r w:rsidRPr="005E6050">
        <w:rPr>
          <w:color w:val="000000" w:themeColor="text1"/>
        </w:rPr>
        <w:t>Final Validity</w:t>
      </w:r>
    </w:p>
    <w:p w14:paraId="2967368A" w14:textId="77A415C9" w:rsidR="005E6050" w:rsidRDefault="005E6050" w:rsidP="005E6050">
      <w:pPr>
        <w:tabs>
          <w:tab w:val="left" w:pos="2010"/>
        </w:tabs>
        <w:ind w:left="708"/>
        <w:jc w:val="both"/>
        <w:rPr>
          <w:color w:val="000000" w:themeColor="text1"/>
        </w:rPr>
      </w:pPr>
    </w:p>
    <w:p w14:paraId="5AF046AB" w14:textId="42AE5A00" w:rsidR="005E6050" w:rsidRPr="005E6050" w:rsidRDefault="005E6050" w:rsidP="005E6050">
      <w:pPr>
        <w:tabs>
          <w:tab w:val="left" w:pos="2010"/>
        </w:tabs>
        <w:rPr>
          <w:color w:val="000000" w:themeColor="text1"/>
        </w:rPr>
      </w:pPr>
      <w:r w:rsidRPr="005E6050">
        <w:rPr>
          <w:color w:val="000000" w:themeColor="text1"/>
        </w:rPr>
        <w:t>• Table 2 - Customer Exception (ZSD_DIFAL_CLI)</w:t>
      </w:r>
    </w:p>
    <w:p w14:paraId="4ED3EEC7" w14:textId="2295371D" w:rsidR="005E6050" w:rsidRPr="005E6050" w:rsidRDefault="005E6050" w:rsidP="005E6050">
      <w:pPr>
        <w:tabs>
          <w:tab w:val="left" w:pos="2010"/>
        </w:tabs>
        <w:ind w:left="708"/>
        <w:rPr>
          <w:color w:val="000000" w:themeColor="text1"/>
        </w:rPr>
      </w:pPr>
      <w:r w:rsidRPr="005E6050">
        <w:rPr>
          <w:color w:val="000000" w:themeColor="text1"/>
        </w:rPr>
        <w:t>Company (BUKRS)</w:t>
      </w:r>
    </w:p>
    <w:p w14:paraId="337C2E45" w14:textId="77777777" w:rsidR="005E6050" w:rsidRPr="005E6050" w:rsidRDefault="005E6050" w:rsidP="005E6050">
      <w:pPr>
        <w:tabs>
          <w:tab w:val="left" w:pos="2010"/>
        </w:tabs>
        <w:ind w:left="708"/>
        <w:rPr>
          <w:color w:val="000000" w:themeColor="text1"/>
        </w:rPr>
      </w:pPr>
      <w:r w:rsidRPr="005E6050">
        <w:rPr>
          <w:color w:val="000000" w:themeColor="text1"/>
        </w:rPr>
        <w:t>UF Destination (SHIP_TO)</w:t>
      </w:r>
    </w:p>
    <w:p w14:paraId="6CE4AF10" w14:textId="4756AB5A" w:rsidR="005E6050" w:rsidRDefault="005E6050" w:rsidP="005E6050">
      <w:pPr>
        <w:tabs>
          <w:tab w:val="left" w:pos="2010"/>
        </w:tabs>
        <w:ind w:left="708"/>
        <w:rPr>
          <w:color w:val="000000" w:themeColor="text1"/>
        </w:rPr>
      </w:pPr>
      <w:r w:rsidRPr="005E6050">
        <w:rPr>
          <w:color w:val="000000" w:themeColor="text1"/>
        </w:rPr>
        <w:t>the customer (KUNNR)</w:t>
      </w:r>
    </w:p>
    <w:p w14:paraId="62F869FE" w14:textId="6F072E5B" w:rsidR="00813749" w:rsidRDefault="00813749" w:rsidP="005E6050">
      <w:pPr>
        <w:tabs>
          <w:tab w:val="left" w:pos="2010"/>
        </w:tabs>
        <w:ind w:left="708"/>
        <w:rPr>
          <w:color w:val="000000" w:themeColor="text1"/>
        </w:rPr>
      </w:pPr>
    </w:p>
    <w:p w14:paraId="58826812" w14:textId="22679A39" w:rsidR="00813749" w:rsidRPr="00813749" w:rsidRDefault="00813749" w:rsidP="00813749">
      <w:pPr>
        <w:tabs>
          <w:tab w:val="left" w:pos="2010"/>
        </w:tabs>
        <w:rPr>
          <w:color w:val="000000" w:themeColor="text1"/>
        </w:rPr>
      </w:pPr>
      <w:r w:rsidRPr="00813749">
        <w:rPr>
          <w:color w:val="000000" w:themeColor="text1"/>
        </w:rPr>
        <w:t>• Table 3 - NCM Exception (ZSD_DIFAL_NCM)</w:t>
      </w:r>
    </w:p>
    <w:p w14:paraId="1DDF7041" w14:textId="5DBD952C" w:rsidR="00813749" w:rsidRPr="00813749" w:rsidRDefault="00813749" w:rsidP="00D91148">
      <w:pPr>
        <w:tabs>
          <w:tab w:val="left" w:pos="2010"/>
        </w:tabs>
        <w:ind w:left="708"/>
        <w:rPr>
          <w:color w:val="000000" w:themeColor="text1"/>
        </w:rPr>
      </w:pPr>
      <w:r w:rsidRPr="00813749">
        <w:rPr>
          <w:color w:val="000000" w:themeColor="text1"/>
        </w:rPr>
        <w:t>Company (BUKRS)</w:t>
      </w:r>
    </w:p>
    <w:p w14:paraId="1FE22ECE" w14:textId="77777777" w:rsidR="00813749" w:rsidRPr="00813749" w:rsidRDefault="00813749" w:rsidP="00D91148">
      <w:pPr>
        <w:tabs>
          <w:tab w:val="left" w:pos="2010"/>
        </w:tabs>
        <w:ind w:left="708"/>
        <w:rPr>
          <w:color w:val="000000" w:themeColor="text1"/>
        </w:rPr>
      </w:pPr>
      <w:r w:rsidRPr="00813749">
        <w:rPr>
          <w:color w:val="000000" w:themeColor="text1"/>
        </w:rPr>
        <w:t>UF Destination (SHIP_TO)</w:t>
      </w:r>
    </w:p>
    <w:p w14:paraId="018A4748" w14:textId="432A495C" w:rsidR="00813749" w:rsidRDefault="00813749" w:rsidP="00D91148">
      <w:pPr>
        <w:tabs>
          <w:tab w:val="left" w:pos="2010"/>
        </w:tabs>
        <w:ind w:left="708"/>
        <w:rPr>
          <w:color w:val="000000" w:themeColor="text1"/>
        </w:rPr>
      </w:pPr>
      <w:r w:rsidRPr="00813749">
        <w:rPr>
          <w:color w:val="000000" w:themeColor="text1"/>
        </w:rPr>
        <w:t>the NCM (STEUC)</w:t>
      </w:r>
    </w:p>
    <w:p w14:paraId="5E6B00C1" w14:textId="4A08D696" w:rsidR="00813749" w:rsidRDefault="00813749" w:rsidP="005E6050">
      <w:pPr>
        <w:tabs>
          <w:tab w:val="left" w:pos="2010"/>
        </w:tabs>
        <w:ind w:left="708"/>
        <w:rPr>
          <w:color w:val="000000" w:themeColor="text1"/>
        </w:rPr>
      </w:pPr>
    </w:p>
    <w:p w14:paraId="501D169A" w14:textId="77777777" w:rsidR="00813749" w:rsidRDefault="00813749" w:rsidP="005E6050">
      <w:pPr>
        <w:tabs>
          <w:tab w:val="left" w:pos="2010"/>
        </w:tabs>
        <w:ind w:left="708"/>
        <w:rPr>
          <w:color w:val="000000" w:themeColor="text1"/>
        </w:rPr>
      </w:pPr>
    </w:p>
    <w:p w14:paraId="70B84BC0" w14:textId="5170243B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62ADD53" w14:textId="7284570D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A0C944B" w14:textId="77C4AF83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  <w:r w:rsidRPr="005E6050">
        <w:rPr>
          <w:color w:val="000000" w:themeColor="text1"/>
          <w:highlight w:val="yellow"/>
        </w:rPr>
        <w:t>Implementation of BADI_J1B_EXTEND_TAXES (Method ICMS_ST_RECALCULATION)</w:t>
      </w:r>
    </w:p>
    <w:p w14:paraId="4F8E22A9" w14:textId="1AD480CB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678DC2BF" w14:textId="751E9380" w:rsidR="00CF7717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  <w:r w:rsidRPr="005E6050">
        <w:rPr>
          <w:color w:val="000000" w:themeColor="text1"/>
        </w:rPr>
        <w:lastRenderedPageBreak/>
        <w:t>The following logic should be implemented in BADI_J1B_EXTEND_TAXES (Method ICMS_ST_RECALCULATION) and encapsulated in INCLUDE ZSD_NOVA_BC_DIFAL</w:t>
      </w:r>
      <w:r w:rsidR="00813749">
        <w:rPr>
          <w:color w:val="000000" w:themeColor="text1"/>
        </w:rPr>
        <w:t xml:space="preserve"> (Needed create)</w:t>
      </w:r>
      <w:r w:rsidRPr="005E6050">
        <w:rPr>
          <w:color w:val="000000" w:themeColor="text1"/>
        </w:rPr>
        <w:t>.</w:t>
      </w:r>
    </w:p>
    <w:p w14:paraId="561104D4" w14:textId="65F30F42" w:rsidR="00CF7717" w:rsidRDefault="00CF7717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19EAC93F" w14:textId="5F374084" w:rsidR="00CF7717" w:rsidRDefault="00CF7717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39558112" w14:textId="0DB3BD8A" w:rsidR="00CF7717" w:rsidRDefault="00CF7717" w:rsidP="00E43853">
      <w:p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  <w:highlight w:val="yellow"/>
        </w:rPr>
        <w:t>Check for exceptions in the calculation:</w:t>
      </w:r>
    </w:p>
    <w:p w14:paraId="76AD6A5E" w14:textId="77777777" w:rsidR="00CF7717" w:rsidRDefault="00CF7717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67189F84" w14:textId="36AC6DDC" w:rsidR="00CF7717" w:rsidRDefault="00CF7717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214B2B07" w14:textId="11E67D0D" w:rsidR="00D91148" w:rsidRPr="00D91148" w:rsidRDefault="00D91148" w:rsidP="00D91148">
      <w:pPr>
        <w:pStyle w:val="PargrafodaLista"/>
        <w:numPr>
          <w:ilvl w:val="0"/>
          <w:numId w:val="14"/>
        </w:numPr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Check if Company x UF Destination X C</w:t>
      </w:r>
      <w:r>
        <w:rPr>
          <w:rFonts w:ascii="Arial" w:hAnsi="Arial" w:cs="Arial"/>
          <w:sz w:val="20"/>
        </w:rPr>
        <w:t>ustomer</w:t>
      </w:r>
      <w:r w:rsidRPr="00D91148">
        <w:rPr>
          <w:rFonts w:ascii="Arial" w:hAnsi="Arial" w:cs="Arial"/>
          <w:sz w:val="20"/>
        </w:rPr>
        <w:t xml:space="preserve"> are in the exception table (table 2 - ZSD_DIFAL_CLI). If yes, exit the calculation.</w:t>
      </w:r>
    </w:p>
    <w:p w14:paraId="5BBE79D8" w14:textId="77777777" w:rsidR="00D91148" w:rsidRPr="00D91148" w:rsidRDefault="00D91148" w:rsidP="00D91148">
      <w:pPr>
        <w:pStyle w:val="PargrafodaLista"/>
        <w:ind w:left="1416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KOMK-BUKRS</w:t>
      </w:r>
    </w:p>
    <w:p w14:paraId="35553D32" w14:textId="77777777" w:rsidR="00D91148" w:rsidRPr="00D91148" w:rsidRDefault="00D91148" w:rsidP="00D91148">
      <w:pPr>
        <w:pStyle w:val="PargrafodaLista"/>
        <w:ind w:left="1416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KOMP-TXREG_ST</w:t>
      </w:r>
    </w:p>
    <w:p w14:paraId="5D85D365" w14:textId="52582261" w:rsidR="00D91148" w:rsidRDefault="00D91148" w:rsidP="00D91148">
      <w:pPr>
        <w:pStyle w:val="PargrafodaLista"/>
        <w:spacing w:after="0" w:line="240" w:lineRule="auto"/>
        <w:ind w:left="1416"/>
        <w:contextualSpacing w:val="0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KOMK-KUNNR</w:t>
      </w:r>
    </w:p>
    <w:p w14:paraId="1A2BC818" w14:textId="77777777" w:rsidR="00D91148" w:rsidRDefault="00D91148" w:rsidP="00D91148">
      <w:pPr>
        <w:pStyle w:val="PargrafodaLista"/>
        <w:spacing w:after="0" w:line="240" w:lineRule="auto"/>
        <w:ind w:left="1080"/>
        <w:contextualSpacing w:val="0"/>
        <w:rPr>
          <w:rFonts w:ascii="Arial" w:hAnsi="Arial" w:cs="Arial"/>
          <w:sz w:val="20"/>
        </w:rPr>
      </w:pPr>
    </w:p>
    <w:p w14:paraId="1669DADF" w14:textId="7806DC16" w:rsidR="00D91148" w:rsidRPr="00D91148" w:rsidRDefault="00D91148" w:rsidP="00D91148">
      <w:pPr>
        <w:pStyle w:val="PargrafodaLista"/>
        <w:numPr>
          <w:ilvl w:val="0"/>
          <w:numId w:val="13"/>
        </w:numPr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 xml:space="preserve">Check if Company x UF Destination X NCM are in the exception table (table 3 - ZSD_DIFAL_NCM). If </w:t>
      </w:r>
      <w:r w:rsidR="005C43FA">
        <w:rPr>
          <w:rFonts w:ascii="Arial" w:hAnsi="Arial" w:cs="Arial"/>
          <w:sz w:val="20"/>
        </w:rPr>
        <w:t>yes</w:t>
      </w:r>
      <w:r w:rsidRPr="00D91148">
        <w:rPr>
          <w:rFonts w:ascii="Arial" w:hAnsi="Arial" w:cs="Arial"/>
          <w:sz w:val="20"/>
        </w:rPr>
        <w:t>, exit the calculation.</w:t>
      </w:r>
    </w:p>
    <w:p w14:paraId="75FE5009" w14:textId="523ED34B" w:rsidR="00D91148" w:rsidRPr="00D91148" w:rsidRDefault="00D91148" w:rsidP="00D91148">
      <w:pPr>
        <w:pStyle w:val="PargrafodaLista"/>
        <w:ind w:left="1416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KOMK-BUKRS</w:t>
      </w:r>
    </w:p>
    <w:p w14:paraId="38515DDC" w14:textId="67E7E894" w:rsidR="00D91148" w:rsidRPr="00D91148" w:rsidRDefault="00D91148" w:rsidP="00D91148">
      <w:pPr>
        <w:pStyle w:val="PargrafodaLista"/>
        <w:ind w:left="1416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KOMP-TXREG_ST</w:t>
      </w:r>
    </w:p>
    <w:p w14:paraId="6AD0D1D0" w14:textId="4FE4FC79" w:rsidR="00D91148" w:rsidRPr="00D91148" w:rsidRDefault="00D91148" w:rsidP="00D91148">
      <w:pPr>
        <w:pStyle w:val="PargrafodaLista"/>
        <w:spacing w:after="0" w:line="240" w:lineRule="auto"/>
        <w:ind w:left="1416"/>
        <w:contextualSpacing w:val="0"/>
        <w:rPr>
          <w:rFonts w:ascii="Arial" w:hAnsi="Arial" w:cs="Arial"/>
          <w:sz w:val="20"/>
        </w:rPr>
      </w:pPr>
      <w:r w:rsidRPr="00D91148">
        <w:rPr>
          <w:rFonts w:ascii="Arial" w:hAnsi="Arial" w:cs="Arial"/>
          <w:sz w:val="20"/>
        </w:rPr>
        <w:t>(SAPLV61A) KOMP-STEUC</w:t>
      </w:r>
    </w:p>
    <w:p w14:paraId="576980A3" w14:textId="0578D7EB" w:rsidR="00CF7717" w:rsidRDefault="00CF7717" w:rsidP="00CF7717">
      <w:pPr>
        <w:pStyle w:val="PargrafodaLista"/>
        <w:spacing w:after="0" w:line="240" w:lineRule="auto"/>
        <w:ind w:left="1080"/>
        <w:contextualSpacing w:val="0"/>
        <w:rPr>
          <w:rFonts w:ascii="Arial" w:hAnsi="Arial" w:cs="Arial"/>
          <w:sz w:val="20"/>
        </w:rPr>
      </w:pPr>
    </w:p>
    <w:p w14:paraId="07FFF8AA" w14:textId="77777777" w:rsidR="00CF7717" w:rsidRPr="00E1200C" w:rsidRDefault="00CF7717" w:rsidP="00CF7717">
      <w:pPr>
        <w:pStyle w:val="PargrafodaLista"/>
        <w:spacing w:after="0" w:line="240" w:lineRule="auto"/>
        <w:ind w:left="1080"/>
        <w:contextualSpacing w:val="0"/>
        <w:rPr>
          <w:rFonts w:ascii="Arial" w:hAnsi="Arial" w:cs="Arial"/>
          <w:sz w:val="20"/>
        </w:rPr>
      </w:pPr>
    </w:p>
    <w:p w14:paraId="0FFF61C6" w14:textId="2A67CCA2" w:rsidR="00CF7717" w:rsidRDefault="00CF7717" w:rsidP="00CF7717">
      <w:p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  <w:highlight w:val="yellow"/>
        </w:rPr>
        <w:t>Check if the process in question is being executed by SD:</w:t>
      </w:r>
    </w:p>
    <w:p w14:paraId="6B223293" w14:textId="77777777" w:rsidR="0070479D" w:rsidRPr="00CF7717" w:rsidRDefault="0070479D" w:rsidP="00CF7717">
      <w:pPr>
        <w:tabs>
          <w:tab w:val="left" w:pos="2010"/>
        </w:tabs>
        <w:jc w:val="both"/>
        <w:rPr>
          <w:color w:val="000000" w:themeColor="text1"/>
        </w:rPr>
      </w:pPr>
    </w:p>
    <w:p w14:paraId="4C8D6014" w14:textId="6E1CDE7A" w:rsidR="00CF7717" w:rsidRPr="00CF7717" w:rsidRDefault="00CF7717" w:rsidP="00CF7717">
      <w:pPr>
        <w:pStyle w:val="PargrafodaLista"/>
        <w:numPr>
          <w:ilvl w:val="0"/>
          <w:numId w:val="13"/>
        </w:numPr>
        <w:tabs>
          <w:tab w:val="left" w:pos="2010"/>
        </w:tabs>
        <w:rPr>
          <w:color w:val="000000" w:themeColor="text1"/>
        </w:rPr>
      </w:pPr>
      <w:r w:rsidRPr="00CF7717">
        <w:rPr>
          <w:color w:val="000000" w:themeColor="text1"/>
        </w:rPr>
        <w:t>Check if komk-kappl = V, if other, the system should not process the calculation.</w:t>
      </w:r>
    </w:p>
    <w:p w14:paraId="58CC2301" w14:textId="77777777" w:rsidR="0070479D" w:rsidRDefault="00CF7717" w:rsidP="00CF7717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CF7717">
        <w:rPr>
          <w:color w:val="000000" w:themeColor="text1"/>
        </w:rPr>
        <w:t>Check if j_1btxscd-custusage = 2 (Consumption), if other, the system should not process the calculation.</w:t>
      </w:r>
    </w:p>
    <w:p w14:paraId="684A4B8D" w14:textId="67DB07EE" w:rsidR="00CF7717" w:rsidRPr="0070479D" w:rsidRDefault="00CF7717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  <w:r w:rsidRPr="0070479D">
        <w:rPr>
          <w:color w:val="000000" w:themeColor="text1"/>
        </w:rPr>
        <w:t>Select the custusage field in the table j_1btxscd where taxcode = komp- j_1btxscd.</w:t>
      </w:r>
    </w:p>
    <w:p w14:paraId="482E2D88" w14:textId="35A8ADE4" w:rsidR="00CF7717" w:rsidRDefault="00CF7717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Check if is_icms_st_recalculation-icms_destination_rate&gt; is_icms_st_recalculation-icms_rate, otherwise the system must exit the calculation.</w:t>
      </w:r>
    </w:p>
    <w:p w14:paraId="2323C3AB" w14:textId="57252859" w:rsidR="0070479D" w:rsidRDefault="0070479D" w:rsidP="0070479D">
      <w:pPr>
        <w:tabs>
          <w:tab w:val="left" w:pos="2010"/>
        </w:tabs>
        <w:jc w:val="both"/>
        <w:rPr>
          <w:color w:val="000000" w:themeColor="text1"/>
        </w:rPr>
      </w:pPr>
    </w:p>
    <w:p w14:paraId="4789BD1E" w14:textId="3F610591" w:rsidR="0070479D" w:rsidRDefault="0070479D" w:rsidP="0070479D">
      <w:p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  <w:highlight w:val="yellow"/>
        </w:rPr>
        <w:t>Check calculation rule</w:t>
      </w:r>
    </w:p>
    <w:p w14:paraId="081F4EBE" w14:textId="341C71F1" w:rsidR="0070479D" w:rsidRDefault="0070479D" w:rsidP="0070479D">
      <w:pPr>
        <w:tabs>
          <w:tab w:val="left" w:pos="2010"/>
        </w:tabs>
        <w:jc w:val="both"/>
        <w:rPr>
          <w:color w:val="000000" w:themeColor="text1"/>
        </w:rPr>
      </w:pPr>
    </w:p>
    <w:p w14:paraId="4AB6EF78" w14:textId="4F45330D" w:rsidR="0070479D" w:rsidRP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Check calculation rule by UF, selecting from table 1 (ZSD_DIFAL_REGR) using the keys komk-bukrs, komp-txreg_st and komk-prsdt. Retrieve rule.</w:t>
      </w:r>
    </w:p>
    <w:p w14:paraId="670DB851" w14:textId="77777777" w:rsidR="0070479D" w:rsidRPr="0070479D" w:rsidRDefault="0070479D" w:rsidP="0070479D">
      <w:pPr>
        <w:tabs>
          <w:tab w:val="left" w:pos="2010"/>
        </w:tabs>
        <w:jc w:val="both"/>
        <w:rPr>
          <w:color w:val="000000" w:themeColor="text1"/>
        </w:rPr>
      </w:pPr>
    </w:p>
    <w:p w14:paraId="424BF6C1" w14:textId="59F42483" w:rsid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If rule 1</w:t>
      </w:r>
      <w:r>
        <w:rPr>
          <w:color w:val="000000" w:themeColor="text1"/>
        </w:rPr>
        <w:t xml:space="preserve"> -</w:t>
      </w:r>
      <w:r w:rsidRPr="0070479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</w:t>
      </w:r>
      <w:r w:rsidRPr="0070479D">
        <w:rPr>
          <w:color w:val="000000" w:themeColor="text1"/>
        </w:rPr>
        <w:t>Do nothing.</w:t>
      </w:r>
    </w:p>
    <w:p w14:paraId="02F1C654" w14:textId="77777777" w:rsidR="0070479D" w:rsidRPr="0070479D" w:rsidRDefault="0070479D" w:rsidP="0070479D">
      <w:pPr>
        <w:pStyle w:val="PargrafodaLista"/>
        <w:rPr>
          <w:color w:val="000000" w:themeColor="text1"/>
        </w:rPr>
      </w:pPr>
    </w:p>
    <w:p w14:paraId="4D9612E0" w14:textId="77777777" w:rsid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 xml:space="preserve"> If rule 2</w:t>
      </w:r>
      <w:r>
        <w:rPr>
          <w:color w:val="000000" w:themeColor="text1"/>
        </w:rPr>
        <w:t xml:space="preserve"> -</w:t>
      </w:r>
      <w:r w:rsidRPr="0070479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70479D">
        <w:rPr>
          <w:color w:val="000000" w:themeColor="text1"/>
        </w:rPr>
        <w:t>cv_icms_st_base = (cv_icms_st_base - is_icms_st_recalculation-icms_amount) * (1 - is_icms_st_recalculation-icms_destination_rate).</w:t>
      </w:r>
    </w:p>
    <w:p w14:paraId="06298C23" w14:textId="1CEC136A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  <w:r w:rsidRPr="0070479D">
        <w:rPr>
          <w:color w:val="000000" w:themeColor="text1"/>
        </w:rPr>
        <w:t>cv_icms_st_amount = (cv_icms_st_base * is_icms_st_recalculation-icms_destination_rate) - is_icms_st_recalculation-icms_amount.</w:t>
      </w:r>
    </w:p>
    <w:p w14:paraId="27B19124" w14:textId="6219DE6E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6B660605" w14:textId="246709E6" w:rsidR="0070479D" w:rsidRP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If rule 3</w:t>
      </w:r>
      <w:r>
        <w:rPr>
          <w:color w:val="000000" w:themeColor="text1"/>
        </w:rPr>
        <w:t xml:space="preserve"> -</w:t>
      </w:r>
      <w:r w:rsidRPr="0070479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70479D">
        <w:rPr>
          <w:color w:val="000000" w:themeColor="text1"/>
        </w:rPr>
        <w:t>cv_icms_st_base = (cv_icms_st_base - is_icms_st_recalculation-icms_amount) * (1 - is_icms_st_recalculation-icms_destination_rate).</w:t>
      </w:r>
    </w:p>
    <w:p w14:paraId="1576FF53" w14:textId="5A70E551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  <w:r w:rsidRPr="0070479D">
        <w:rPr>
          <w:color w:val="000000" w:themeColor="text1"/>
        </w:rPr>
        <w:t xml:space="preserve"> cv_icms_st_amount = cv_icms_st_base * (is_icms_st_recalculation-icms_destination_rate - is_icms_st_recalculation-icms_rate).</w:t>
      </w:r>
    </w:p>
    <w:p w14:paraId="381A3A41" w14:textId="6139A3AE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3E31F950" w14:textId="332024B9" w:rsidR="0070479D" w:rsidRP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If rule 4</w:t>
      </w:r>
      <w:r>
        <w:rPr>
          <w:color w:val="000000" w:themeColor="text1"/>
        </w:rPr>
        <w:t>-</w:t>
      </w:r>
      <w:r w:rsidRPr="0070479D">
        <w:rPr>
          <w:color w:val="000000" w:themeColor="text1"/>
        </w:rPr>
        <w:sym w:font="Wingdings" w:char="F0E0"/>
      </w:r>
      <w:r w:rsidRPr="0070479D">
        <w:rPr>
          <w:color w:val="000000" w:themeColor="text1"/>
        </w:rPr>
        <w:t xml:space="preserve"> cv_icms_st_base = cv_icms_st_base / (1 - (is_icms_st_recalculation-icms_destination_rate - is_icms_st_recalculation-icms_rate))</w:t>
      </w:r>
    </w:p>
    <w:p w14:paraId="7B4942C4" w14:textId="45F6D6D1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  <w:r w:rsidRPr="0070479D">
        <w:rPr>
          <w:color w:val="000000" w:themeColor="text1"/>
        </w:rPr>
        <w:t>cv_icms_st_amount = (cv_icms_st_base * is_icms_st_recalculation-icms_destination_rate) - is_icms_st_recalculation-icms_amount.</w:t>
      </w:r>
    </w:p>
    <w:p w14:paraId="299BDD7A" w14:textId="5B8C6B15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34F4F5B2" w14:textId="34828B2D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0F220B34" w14:textId="77777777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75823DB7" w14:textId="20869DC7" w:rsid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</w:p>
    <w:p w14:paraId="1A5925C1" w14:textId="3BA92575" w:rsidR="0070479D" w:rsidRPr="0070479D" w:rsidRDefault="0070479D" w:rsidP="0070479D">
      <w:pPr>
        <w:pStyle w:val="PargrafodaLista"/>
        <w:numPr>
          <w:ilvl w:val="0"/>
          <w:numId w:val="13"/>
        </w:numPr>
        <w:tabs>
          <w:tab w:val="left" w:pos="2010"/>
        </w:tabs>
        <w:jc w:val="both"/>
        <w:rPr>
          <w:color w:val="000000" w:themeColor="text1"/>
        </w:rPr>
      </w:pPr>
      <w:r w:rsidRPr="0070479D">
        <w:rPr>
          <w:color w:val="000000" w:themeColor="text1"/>
        </w:rPr>
        <w:t>If rule 5</w:t>
      </w:r>
      <w:r>
        <w:rPr>
          <w:color w:val="000000" w:themeColor="text1"/>
        </w:rPr>
        <w:t>-</w:t>
      </w:r>
      <w:r w:rsidRPr="0070479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70479D">
        <w:rPr>
          <w:color w:val="000000" w:themeColor="text1"/>
        </w:rPr>
        <w:t>cv_icms_st_base = cv_icms_st_base / (1 - (is_icms_st_recalculation-icms_destination_rate - is_icms_st_recalculation-icms_rate))</w:t>
      </w:r>
    </w:p>
    <w:p w14:paraId="675F9E5A" w14:textId="630ED00B" w:rsidR="0070479D" w:rsidRPr="0070479D" w:rsidRDefault="0070479D" w:rsidP="0070479D">
      <w:pPr>
        <w:pStyle w:val="PargrafodaLista"/>
        <w:tabs>
          <w:tab w:val="left" w:pos="2010"/>
        </w:tabs>
        <w:ind w:left="360"/>
        <w:jc w:val="both"/>
        <w:rPr>
          <w:color w:val="000000" w:themeColor="text1"/>
        </w:rPr>
      </w:pPr>
      <w:r w:rsidRPr="0070479D">
        <w:rPr>
          <w:color w:val="000000" w:themeColor="text1"/>
        </w:rPr>
        <w:t xml:space="preserve"> cv_icms_st_amount = cv_icms_st_base * (is_icms_st_recalculation-icms_destination_rate - is_icms_st_recalculation-icms_rate).</w:t>
      </w:r>
    </w:p>
    <w:p w14:paraId="1BDABD9A" w14:textId="77777777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3085C3A2" w14:textId="16AEF9B7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1AEAF7B" w14:textId="358EDEE5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4509CF88" w14:textId="77777777" w:rsidR="005E6050" w:rsidRDefault="005E6050" w:rsidP="00E43853">
      <w:pPr>
        <w:tabs>
          <w:tab w:val="left" w:pos="2010"/>
        </w:tabs>
        <w:jc w:val="both"/>
        <w:rPr>
          <w:color w:val="000000" w:themeColor="text1"/>
        </w:rPr>
      </w:pPr>
    </w:p>
    <w:p w14:paraId="5917C81D" w14:textId="0064DCA0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870A2AB" w14:textId="541D4AF8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2D1F3F3" w14:textId="4B885B50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4923E215" w14:textId="77777777" w:rsidR="00E43853" w:rsidRDefault="00E43853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DEAC04B" w14:textId="77777777" w:rsidR="007A13A7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1DFAF87" w14:textId="77777777" w:rsidR="007A13A7" w:rsidRDefault="007A13A7" w:rsidP="007A13A7">
      <w:pPr>
        <w:pStyle w:val="Estilo1"/>
      </w:pPr>
      <w:r>
        <w:t>5 oBSERVAÇÕES</w:t>
      </w:r>
    </w:p>
    <w:p w14:paraId="7D5D7CF2" w14:textId="77777777" w:rsidR="007A13A7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068F44E2" w14:textId="77777777" w:rsidR="007A13A7" w:rsidRPr="008610C0" w:rsidRDefault="007A13A7" w:rsidP="007A13A7">
      <w:pPr>
        <w:tabs>
          <w:tab w:val="left" w:pos="2010"/>
        </w:tabs>
        <w:jc w:val="both"/>
        <w:rPr>
          <w:color w:val="000000" w:themeColor="text1"/>
        </w:rPr>
      </w:pPr>
    </w:p>
    <w:p w14:paraId="32762F1D" w14:textId="77777777" w:rsidR="00AB3970" w:rsidRDefault="00AB3970" w:rsidP="005B2FDB">
      <w:pPr>
        <w:jc w:val="center"/>
        <w:rPr>
          <w:noProof/>
          <w:lang w:eastAsia="pt-BR"/>
        </w:rPr>
      </w:pPr>
    </w:p>
    <w:sectPr w:rsidR="00AB3970" w:rsidSect="00382564">
      <w:headerReference w:type="default" r:id="rId11"/>
      <w:footerReference w:type="default" r:id="rId12"/>
      <w:pgSz w:w="11906" w:h="16838"/>
      <w:pgMar w:top="1843" w:right="1701" w:bottom="1417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5B6EE" w14:textId="77777777" w:rsidR="00907B17" w:rsidRDefault="00907B17" w:rsidP="0067650D">
      <w:r>
        <w:separator/>
      </w:r>
    </w:p>
  </w:endnote>
  <w:endnote w:type="continuationSeparator" w:id="0">
    <w:p w14:paraId="443F53A6" w14:textId="77777777" w:rsidR="00907B17" w:rsidRDefault="00907B17" w:rsidP="0067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Book">
    <w:altName w:val="Calibri"/>
    <w:charset w:val="00"/>
    <w:family w:val="auto"/>
    <w:pitch w:val="variable"/>
    <w:sig w:usb0="20000087" w:usb1="00000000" w:usb2="00000000" w:usb3="00000000" w:csb0="000001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3061859"/>
      <w:docPartObj>
        <w:docPartGallery w:val="Page Numbers (Bottom of Page)"/>
        <w:docPartUnique/>
      </w:docPartObj>
    </w:sdtPr>
    <w:sdtEndPr>
      <w:rPr>
        <w:rFonts w:ascii="Gotham Light" w:hAnsi="Gotham Light"/>
        <w:b/>
        <w:bCs/>
        <w:color w:val="262626" w:themeColor="text1" w:themeTint="D9"/>
        <w:sz w:val="32"/>
        <w:szCs w:val="32"/>
      </w:rPr>
    </w:sdtEndPr>
    <w:sdtContent>
      <w:p w14:paraId="29E2D525" w14:textId="6DC5F05D" w:rsidR="00FB1AF6" w:rsidRPr="00064647" w:rsidRDefault="00FB1AF6" w:rsidP="00FB1AF6">
        <w:pPr>
          <w:pStyle w:val="Rodap"/>
          <w:ind w:left="1416"/>
          <w:jc w:val="right"/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</w:pP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begin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instrText>PAGE   \* MERGEFORMAT</w:instrTex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separate"/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t>2</w: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end"/>
        </w:r>
      </w:p>
    </w:sdtContent>
  </w:sdt>
  <w:p w14:paraId="103B9548" w14:textId="77777777" w:rsidR="00FB1AF6" w:rsidRDefault="00FB1A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CA39F" w14:textId="77777777" w:rsidR="00907B17" w:rsidRDefault="00907B17" w:rsidP="0067650D">
      <w:r>
        <w:separator/>
      </w:r>
    </w:p>
  </w:footnote>
  <w:footnote w:type="continuationSeparator" w:id="0">
    <w:p w14:paraId="00C0BEFB" w14:textId="77777777" w:rsidR="00907B17" w:rsidRDefault="00907B17" w:rsidP="0067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8819"/>
      <w:docPartObj>
        <w:docPartGallery w:val="Page Numbers (Top of Page)"/>
        <w:docPartUnique/>
      </w:docPartObj>
    </w:sdtPr>
    <w:sdtEndPr/>
    <w:sdtContent>
      <w:p w14:paraId="411C3D1B" w14:textId="184C5364" w:rsidR="000A61BF" w:rsidRDefault="000A2C3F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58239" behindDoc="1" locked="0" layoutInCell="1" allowOverlap="1" wp14:anchorId="500C55D6" wp14:editId="6D810DDE">
              <wp:simplePos x="0" y="0"/>
              <wp:positionH relativeFrom="column">
                <wp:posOffset>-1090832</wp:posOffset>
              </wp:positionH>
              <wp:positionV relativeFrom="paragraph">
                <wp:posOffset>-451485</wp:posOffset>
              </wp:positionV>
              <wp:extent cx="7552367" cy="10681684"/>
              <wp:effectExtent l="0" t="0" r="4445" b="0"/>
              <wp:wrapNone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LAYOUT 02 - TEMPLATE PROPOSTA COMERCIAL EBS - 210X297MM_5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367" cy="10681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  <w:p w14:paraId="73610341" w14:textId="77777777" w:rsidR="00E97CEE" w:rsidRPr="007006ED" w:rsidRDefault="00E97C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48D"/>
    <w:multiLevelType w:val="hybridMultilevel"/>
    <w:tmpl w:val="43BE5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60F4"/>
    <w:multiLevelType w:val="hybridMultilevel"/>
    <w:tmpl w:val="01046D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6D20"/>
    <w:multiLevelType w:val="hybridMultilevel"/>
    <w:tmpl w:val="CE7AB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04E0"/>
    <w:multiLevelType w:val="multilevel"/>
    <w:tmpl w:val="96A6DC06"/>
    <w:lvl w:ilvl="0">
      <w:start w:val="1"/>
      <w:numFmt w:val="decimal"/>
      <w:lvlText w:val="%1."/>
      <w:lvlJc w:val="left"/>
      <w:pPr>
        <w:ind w:left="360" w:hanging="360"/>
      </w:pPr>
      <w:rPr>
        <w:color w:val="00B1C9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5A311F"/>
    <w:multiLevelType w:val="hybridMultilevel"/>
    <w:tmpl w:val="514AF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1F73F4"/>
    <w:multiLevelType w:val="hybridMultilevel"/>
    <w:tmpl w:val="F62CB75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464CD8"/>
    <w:multiLevelType w:val="hybridMultilevel"/>
    <w:tmpl w:val="9D4E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4B09"/>
    <w:multiLevelType w:val="hybridMultilevel"/>
    <w:tmpl w:val="B518FAC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26415"/>
    <w:multiLevelType w:val="hybridMultilevel"/>
    <w:tmpl w:val="93DE36F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83C1F46"/>
    <w:multiLevelType w:val="hybridMultilevel"/>
    <w:tmpl w:val="E79AB2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F5B5E"/>
    <w:multiLevelType w:val="hybridMultilevel"/>
    <w:tmpl w:val="BA42091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968D9"/>
    <w:multiLevelType w:val="hybridMultilevel"/>
    <w:tmpl w:val="1DCEBEA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A4CCC"/>
    <w:multiLevelType w:val="hybridMultilevel"/>
    <w:tmpl w:val="F1B42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5500"/>
    <w:multiLevelType w:val="multilevel"/>
    <w:tmpl w:val="BF20DB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12"/>
  </w:num>
  <w:num w:numId="7">
    <w:abstractNumId w:val="9"/>
  </w:num>
  <w:num w:numId="8">
    <w:abstractNumId w:val="11"/>
  </w:num>
  <w:num w:numId="9">
    <w:abstractNumId w:val="8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2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F"/>
    <w:rsid w:val="000030CA"/>
    <w:rsid w:val="00004CCC"/>
    <w:rsid w:val="00007750"/>
    <w:rsid w:val="00020DC1"/>
    <w:rsid w:val="00025100"/>
    <w:rsid w:val="0004248F"/>
    <w:rsid w:val="00042655"/>
    <w:rsid w:val="00042BA9"/>
    <w:rsid w:val="00044C71"/>
    <w:rsid w:val="000545C2"/>
    <w:rsid w:val="00057C78"/>
    <w:rsid w:val="00064647"/>
    <w:rsid w:val="00073887"/>
    <w:rsid w:val="00073F17"/>
    <w:rsid w:val="0007515D"/>
    <w:rsid w:val="00094F22"/>
    <w:rsid w:val="000A22D5"/>
    <w:rsid w:val="000A2C3F"/>
    <w:rsid w:val="000A61BF"/>
    <w:rsid w:val="000B375D"/>
    <w:rsid w:val="000B68B3"/>
    <w:rsid w:val="000C297C"/>
    <w:rsid w:val="000C4813"/>
    <w:rsid w:val="000C76F3"/>
    <w:rsid w:val="000D0266"/>
    <w:rsid w:val="000E33D4"/>
    <w:rsid w:val="000F0EA5"/>
    <w:rsid w:val="0010001B"/>
    <w:rsid w:val="00124C33"/>
    <w:rsid w:val="0012555E"/>
    <w:rsid w:val="00125AC0"/>
    <w:rsid w:val="001275A8"/>
    <w:rsid w:val="00132580"/>
    <w:rsid w:val="0013589D"/>
    <w:rsid w:val="00136F56"/>
    <w:rsid w:val="00140E21"/>
    <w:rsid w:val="0014699E"/>
    <w:rsid w:val="00150C17"/>
    <w:rsid w:val="001524D7"/>
    <w:rsid w:val="00152D03"/>
    <w:rsid w:val="00155151"/>
    <w:rsid w:val="00155257"/>
    <w:rsid w:val="001617A7"/>
    <w:rsid w:val="001910DD"/>
    <w:rsid w:val="00191E4E"/>
    <w:rsid w:val="001955B6"/>
    <w:rsid w:val="001A0201"/>
    <w:rsid w:val="001A1322"/>
    <w:rsid w:val="001A1DFD"/>
    <w:rsid w:val="001A252F"/>
    <w:rsid w:val="001A2FCC"/>
    <w:rsid w:val="001A4678"/>
    <w:rsid w:val="001A4DEF"/>
    <w:rsid w:val="001B105F"/>
    <w:rsid w:val="001C060E"/>
    <w:rsid w:val="001C2031"/>
    <w:rsid w:val="001C3761"/>
    <w:rsid w:val="001C5CC0"/>
    <w:rsid w:val="001C7393"/>
    <w:rsid w:val="001D46EF"/>
    <w:rsid w:val="001E3872"/>
    <w:rsid w:val="001E6AC7"/>
    <w:rsid w:val="001F270D"/>
    <w:rsid w:val="001F31F3"/>
    <w:rsid w:val="00223B4D"/>
    <w:rsid w:val="002417F5"/>
    <w:rsid w:val="002440D9"/>
    <w:rsid w:val="0025169C"/>
    <w:rsid w:val="00252604"/>
    <w:rsid w:val="00254C9B"/>
    <w:rsid w:val="002623C9"/>
    <w:rsid w:val="0026526D"/>
    <w:rsid w:val="00280F47"/>
    <w:rsid w:val="00290C9A"/>
    <w:rsid w:val="0029377F"/>
    <w:rsid w:val="002A0CBA"/>
    <w:rsid w:val="002C43D4"/>
    <w:rsid w:val="002D7D49"/>
    <w:rsid w:val="002E0B25"/>
    <w:rsid w:val="002E2D70"/>
    <w:rsid w:val="002F2EBE"/>
    <w:rsid w:val="002F7DDD"/>
    <w:rsid w:val="00302D3D"/>
    <w:rsid w:val="00302D83"/>
    <w:rsid w:val="0030322C"/>
    <w:rsid w:val="0031075E"/>
    <w:rsid w:val="00313371"/>
    <w:rsid w:val="00314F5C"/>
    <w:rsid w:val="0033117D"/>
    <w:rsid w:val="00336275"/>
    <w:rsid w:val="00343996"/>
    <w:rsid w:val="00360B61"/>
    <w:rsid w:val="00360D1C"/>
    <w:rsid w:val="0036299B"/>
    <w:rsid w:val="0036493F"/>
    <w:rsid w:val="0037191D"/>
    <w:rsid w:val="003815AA"/>
    <w:rsid w:val="00382564"/>
    <w:rsid w:val="00393AA3"/>
    <w:rsid w:val="00395FAF"/>
    <w:rsid w:val="003A2798"/>
    <w:rsid w:val="003A6592"/>
    <w:rsid w:val="003B06AE"/>
    <w:rsid w:val="003C1D19"/>
    <w:rsid w:val="003D05AE"/>
    <w:rsid w:val="003F4BF4"/>
    <w:rsid w:val="003F676A"/>
    <w:rsid w:val="004057E4"/>
    <w:rsid w:val="0040610A"/>
    <w:rsid w:val="00414032"/>
    <w:rsid w:val="00417109"/>
    <w:rsid w:val="0042011E"/>
    <w:rsid w:val="0042059B"/>
    <w:rsid w:val="00423C9E"/>
    <w:rsid w:val="004325FA"/>
    <w:rsid w:val="00446E65"/>
    <w:rsid w:val="00454FA7"/>
    <w:rsid w:val="004560EA"/>
    <w:rsid w:val="004602B6"/>
    <w:rsid w:val="004615C0"/>
    <w:rsid w:val="00470232"/>
    <w:rsid w:val="00470431"/>
    <w:rsid w:val="00470595"/>
    <w:rsid w:val="0047102C"/>
    <w:rsid w:val="0047586F"/>
    <w:rsid w:val="00481CA0"/>
    <w:rsid w:val="0049139E"/>
    <w:rsid w:val="00491D0D"/>
    <w:rsid w:val="004B3A10"/>
    <w:rsid w:val="004B4C42"/>
    <w:rsid w:val="004B7A2B"/>
    <w:rsid w:val="004C5E2C"/>
    <w:rsid w:val="004D06FC"/>
    <w:rsid w:val="004D37B2"/>
    <w:rsid w:val="004D5B71"/>
    <w:rsid w:val="004E168B"/>
    <w:rsid w:val="004E4C09"/>
    <w:rsid w:val="004E6A78"/>
    <w:rsid w:val="004F5657"/>
    <w:rsid w:val="004F5F6D"/>
    <w:rsid w:val="0050200E"/>
    <w:rsid w:val="0050455E"/>
    <w:rsid w:val="00524C72"/>
    <w:rsid w:val="00524F9E"/>
    <w:rsid w:val="00537215"/>
    <w:rsid w:val="00542F22"/>
    <w:rsid w:val="005461C3"/>
    <w:rsid w:val="005711F5"/>
    <w:rsid w:val="005A698A"/>
    <w:rsid w:val="005A6A4D"/>
    <w:rsid w:val="005B2FDB"/>
    <w:rsid w:val="005C32E5"/>
    <w:rsid w:val="005C43FA"/>
    <w:rsid w:val="005D3F8D"/>
    <w:rsid w:val="005E3A6C"/>
    <w:rsid w:val="005E6050"/>
    <w:rsid w:val="005F6056"/>
    <w:rsid w:val="005F7388"/>
    <w:rsid w:val="00605C4A"/>
    <w:rsid w:val="00606CF3"/>
    <w:rsid w:val="00623F33"/>
    <w:rsid w:val="0062427D"/>
    <w:rsid w:val="0062701F"/>
    <w:rsid w:val="00630356"/>
    <w:rsid w:val="00635124"/>
    <w:rsid w:val="00637E06"/>
    <w:rsid w:val="006410DD"/>
    <w:rsid w:val="0065315F"/>
    <w:rsid w:val="00653CAB"/>
    <w:rsid w:val="00663048"/>
    <w:rsid w:val="006649DE"/>
    <w:rsid w:val="006744AF"/>
    <w:rsid w:val="0067650D"/>
    <w:rsid w:val="006775BB"/>
    <w:rsid w:val="00681BBD"/>
    <w:rsid w:val="006828E9"/>
    <w:rsid w:val="0068519D"/>
    <w:rsid w:val="006948CB"/>
    <w:rsid w:val="006978A1"/>
    <w:rsid w:val="006A539E"/>
    <w:rsid w:val="006B340E"/>
    <w:rsid w:val="006B39E2"/>
    <w:rsid w:val="006B3A00"/>
    <w:rsid w:val="006B463F"/>
    <w:rsid w:val="006B7CD6"/>
    <w:rsid w:val="006C649C"/>
    <w:rsid w:val="006C6FC1"/>
    <w:rsid w:val="006D1F1B"/>
    <w:rsid w:val="006E5FD3"/>
    <w:rsid w:val="006F3CB0"/>
    <w:rsid w:val="006F418F"/>
    <w:rsid w:val="007006ED"/>
    <w:rsid w:val="007009C3"/>
    <w:rsid w:val="0070479D"/>
    <w:rsid w:val="00717911"/>
    <w:rsid w:val="00724F3A"/>
    <w:rsid w:val="007523EE"/>
    <w:rsid w:val="0076243F"/>
    <w:rsid w:val="00770C67"/>
    <w:rsid w:val="00773EA7"/>
    <w:rsid w:val="00777772"/>
    <w:rsid w:val="00791F30"/>
    <w:rsid w:val="007A0314"/>
    <w:rsid w:val="007A13A7"/>
    <w:rsid w:val="007A5460"/>
    <w:rsid w:val="007A6FE2"/>
    <w:rsid w:val="007B1234"/>
    <w:rsid w:val="007C1C78"/>
    <w:rsid w:val="007C22A3"/>
    <w:rsid w:val="007C3A7B"/>
    <w:rsid w:val="007C3AE0"/>
    <w:rsid w:val="007D2026"/>
    <w:rsid w:val="007D7B12"/>
    <w:rsid w:val="007F1AD7"/>
    <w:rsid w:val="007F5A8A"/>
    <w:rsid w:val="008025D2"/>
    <w:rsid w:val="00813749"/>
    <w:rsid w:val="00814026"/>
    <w:rsid w:val="00814C12"/>
    <w:rsid w:val="008153A8"/>
    <w:rsid w:val="00816B52"/>
    <w:rsid w:val="00826144"/>
    <w:rsid w:val="00826D17"/>
    <w:rsid w:val="00840EF6"/>
    <w:rsid w:val="008413D7"/>
    <w:rsid w:val="00846907"/>
    <w:rsid w:val="00853225"/>
    <w:rsid w:val="008610C0"/>
    <w:rsid w:val="008615EF"/>
    <w:rsid w:val="00862ADD"/>
    <w:rsid w:val="0086682D"/>
    <w:rsid w:val="008762B5"/>
    <w:rsid w:val="008823F3"/>
    <w:rsid w:val="00893B08"/>
    <w:rsid w:val="0089700D"/>
    <w:rsid w:val="008A744A"/>
    <w:rsid w:val="008A7BAA"/>
    <w:rsid w:val="008C0430"/>
    <w:rsid w:val="008C7303"/>
    <w:rsid w:val="008D4C5D"/>
    <w:rsid w:val="008E1D14"/>
    <w:rsid w:val="008E6AA2"/>
    <w:rsid w:val="008E7899"/>
    <w:rsid w:val="008F27E3"/>
    <w:rsid w:val="00903786"/>
    <w:rsid w:val="0090739A"/>
    <w:rsid w:val="00907B17"/>
    <w:rsid w:val="00912178"/>
    <w:rsid w:val="00912DDD"/>
    <w:rsid w:val="009134D1"/>
    <w:rsid w:val="00921626"/>
    <w:rsid w:val="00932C3C"/>
    <w:rsid w:val="00936B0D"/>
    <w:rsid w:val="0093754D"/>
    <w:rsid w:val="0095070C"/>
    <w:rsid w:val="009664D4"/>
    <w:rsid w:val="00971E1F"/>
    <w:rsid w:val="009833BE"/>
    <w:rsid w:val="009B44C2"/>
    <w:rsid w:val="009C4987"/>
    <w:rsid w:val="009C72BC"/>
    <w:rsid w:val="009D28E2"/>
    <w:rsid w:val="009D4001"/>
    <w:rsid w:val="009E08AF"/>
    <w:rsid w:val="009E4771"/>
    <w:rsid w:val="009E4DBE"/>
    <w:rsid w:val="009F072C"/>
    <w:rsid w:val="00A00C92"/>
    <w:rsid w:val="00A0777D"/>
    <w:rsid w:val="00A14C56"/>
    <w:rsid w:val="00A32672"/>
    <w:rsid w:val="00A35140"/>
    <w:rsid w:val="00A367F7"/>
    <w:rsid w:val="00A430DB"/>
    <w:rsid w:val="00A43968"/>
    <w:rsid w:val="00A468D8"/>
    <w:rsid w:val="00A50F74"/>
    <w:rsid w:val="00A52139"/>
    <w:rsid w:val="00A646FA"/>
    <w:rsid w:val="00A91682"/>
    <w:rsid w:val="00A94B1A"/>
    <w:rsid w:val="00A967A7"/>
    <w:rsid w:val="00AB3970"/>
    <w:rsid w:val="00AB4DEA"/>
    <w:rsid w:val="00AC3D29"/>
    <w:rsid w:val="00AD1E5F"/>
    <w:rsid w:val="00AD4821"/>
    <w:rsid w:val="00AE2565"/>
    <w:rsid w:val="00AE3B21"/>
    <w:rsid w:val="00AE63D6"/>
    <w:rsid w:val="00AF4E32"/>
    <w:rsid w:val="00B053E2"/>
    <w:rsid w:val="00B06942"/>
    <w:rsid w:val="00B130D6"/>
    <w:rsid w:val="00B16EBA"/>
    <w:rsid w:val="00B172F1"/>
    <w:rsid w:val="00B22A78"/>
    <w:rsid w:val="00B25632"/>
    <w:rsid w:val="00B301C2"/>
    <w:rsid w:val="00B311B7"/>
    <w:rsid w:val="00B31E67"/>
    <w:rsid w:val="00B33640"/>
    <w:rsid w:val="00B3787C"/>
    <w:rsid w:val="00B4197A"/>
    <w:rsid w:val="00B53E70"/>
    <w:rsid w:val="00B57787"/>
    <w:rsid w:val="00B73812"/>
    <w:rsid w:val="00B84B09"/>
    <w:rsid w:val="00B94752"/>
    <w:rsid w:val="00BA4D75"/>
    <w:rsid w:val="00BB0524"/>
    <w:rsid w:val="00BB0FAB"/>
    <w:rsid w:val="00BB1E47"/>
    <w:rsid w:val="00BB6878"/>
    <w:rsid w:val="00BC1664"/>
    <w:rsid w:val="00BC5EC0"/>
    <w:rsid w:val="00BC6072"/>
    <w:rsid w:val="00BC6913"/>
    <w:rsid w:val="00BC6A2E"/>
    <w:rsid w:val="00BD5382"/>
    <w:rsid w:val="00BD6EE2"/>
    <w:rsid w:val="00BE634A"/>
    <w:rsid w:val="00BF4DF4"/>
    <w:rsid w:val="00BF5E3E"/>
    <w:rsid w:val="00BF77B2"/>
    <w:rsid w:val="00C04628"/>
    <w:rsid w:val="00C06BD0"/>
    <w:rsid w:val="00C253AD"/>
    <w:rsid w:val="00C3430C"/>
    <w:rsid w:val="00C47D54"/>
    <w:rsid w:val="00C57DFA"/>
    <w:rsid w:val="00C57FA8"/>
    <w:rsid w:val="00C62A30"/>
    <w:rsid w:val="00C71542"/>
    <w:rsid w:val="00C71C66"/>
    <w:rsid w:val="00C724D1"/>
    <w:rsid w:val="00C818E1"/>
    <w:rsid w:val="00C828F7"/>
    <w:rsid w:val="00C90F77"/>
    <w:rsid w:val="00CA67A1"/>
    <w:rsid w:val="00CB454C"/>
    <w:rsid w:val="00CD0882"/>
    <w:rsid w:val="00CD2068"/>
    <w:rsid w:val="00CD2134"/>
    <w:rsid w:val="00CD6312"/>
    <w:rsid w:val="00CD7E96"/>
    <w:rsid w:val="00CE28AF"/>
    <w:rsid w:val="00CE46AB"/>
    <w:rsid w:val="00CE6993"/>
    <w:rsid w:val="00CF091A"/>
    <w:rsid w:val="00CF74C6"/>
    <w:rsid w:val="00CF754F"/>
    <w:rsid w:val="00CF7717"/>
    <w:rsid w:val="00CF7A76"/>
    <w:rsid w:val="00D11A93"/>
    <w:rsid w:val="00D340AA"/>
    <w:rsid w:val="00D5747E"/>
    <w:rsid w:val="00D60399"/>
    <w:rsid w:val="00D61A7D"/>
    <w:rsid w:val="00D63F2F"/>
    <w:rsid w:val="00D64669"/>
    <w:rsid w:val="00D84915"/>
    <w:rsid w:val="00D854A4"/>
    <w:rsid w:val="00D91148"/>
    <w:rsid w:val="00D91D6A"/>
    <w:rsid w:val="00D940AC"/>
    <w:rsid w:val="00DA3A32"/>
    <w:rsid w:val="00DA4DF6"/>
    <w:rsid w:val="00DA67C6"/>
    <w:rsid w:val="00DB01A5"/>
    <w:rsid w:val="00DB6C84"/>
    <w:rsid w:val="00DD03C2"/>
    <w:rsid w:val="00DD30C3"/>
    <w:rsid w:val="00DD50E9"/>
    <w:rsid w:val="00DD75A9"/>
    <w:rsid w:val="00DF2A7C"/>
    <w:rsid w:val="00DF57CE"/>
    <w:rsid w:val="00DF7010"/>
    <w:rsid w:val="00E170C6"/>
    <w:rsid w:val="00E231C3"/>
    <w:rsid w:val="00E31C08"/>
    <w:rsid w:val="00E37C6B"/>
    <w:rsid w:val="00E43853"/>
    <w:rsid w:val="00E6181B"/>
    <w:rsid w:val="00E91614"/>
    <w:rsid w:val="00E97CEE"/>
    <w:rsid w:val="00EA1860"/>
    <w:rsid w:val="00EA2B8F"/>
    <w:rsid w:val="00EA776F"/>
    <w:rsid w:val="00EB2C00"/>
    <w:rsid w:val="00EB629E"/>
    <w:rsid w:val="00EB76A2"/>
    <w:rsid w:val="00EC1A9A"/>
    <w:rsid w:val="00EC6A27"/>
    <w:rsid w:val="00ED7F75"/>
    <w:rsid w:val="00EE41F8"/>
    <w:rsid w:val="00EE52B3"/>
    <w:rsid w:val="00EE5998"/>
    <w:rsid w:val="00EF1D15"/>
    <w:rsid w:val="00EF6CC9"/>
    <w:rsid w:val="00F0085F"/>
    <w:rsid w:val="00F1677B"/>
    <w:rsid w:val="00F21C8C"/>
    <w:rsid w:val="00F37F16"/>
    <w:rsid w:val="00F51D0D"/>
    <w:rsid w:val="00F53DE2"/>
    <w:rsid w:val="00F60115"/>
    <w:rsid w:val="00F66461"/>
    <w:rsid w:val="00F67C2C"/>
    <w:rsid w:val="00F7061B"/>
    <w:rsid w:val="00F712BA"/>
    <w:rsid w:val="00F8372A"/>
    <w:rsid w:val="00F83E1A"/>
    <w:rsid w:val="00F854D5"/>
    <w:rsid w:val="00F9761F"/>
    <w:rsid w:val="00F97892"/>
    <w:rsid w:val="00F97D7D"/>
    <w:rsid w:val="00FA44E9"/>
    <w:rsid w:val="00FB1AF6"/>
    <w:rsid w:val="00FC5B1B"/>
    <w:rsid w:val="00FD0CDC"/>
    <w:rsid w:val="00FD4F47"/>
    <w:rsid w:val="00FD5B9E"/>
    <w:rsid w:val="00FE235A"/>
    <w:rsid w:val="00FE6E14"/>
    <w:rsid w:val="00FE71BC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FC7A70"/>
  <w15:chartTrackingRefBased/>
  <w15:docId w15:val="{768B0C99-0BA4-4B8A-957C-E7082E51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815AA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A32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6144"/>
  </w:style>
  <w:style w:type="table" w:styleId="Tabelacomgrade">
    <w:name w:val="Table Grid"/>
    <w:basedOn w:val="Tabelanormal"/>
    <w:uiPriority w:val="59"/>
    <w:rsid w:val="00DA4DF6"/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4DF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1D19"/>
    <w:pPr>
      <w:tabs>
        <w:tab w:val="left" w:pos="440"/>
        <w:tab w:val="right" w:leader="dot" w:pos="9736"/>
      </w:tabs>
      <w:spacing w:before="120" w:after="120"/>
      <w:jc w:val="both"/>
    </w:pPr>
    <w:rPr>
      <w:rFonts w:ascii="Gotham Bold" w:eastAsia="MS Mincho" w:hAnsi="Gotham Bold" w:cs="Tahoma"/>
      <w:b/>
      <w:bCs/>
      <w:caps/>
      <w:noProof/>
      <w:sz w:val="20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9E4771"/>
    <w:pPr>
      <w:tabs>
        <w:tab w:val="left" w:pos="960"/>
        <w:tab w:val="right" w:leader="dot" w:pos="8494"/>
      </w:tabs>
      <w:ind w:left="240"/>
      <w:jc w:val="both"/>
    </w:pPr>
    <w:rPr>
      <w:rFonts w:ascii="Tahoma" w:eastAsia="Times New Roman" w:hAnsi="Tahoma" w:cs="Tahoma"/>
      <w:b/>
      <w:bCs/>
      <w:smallCaps/>
      <w:noProof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42F22"/>
    <w:pPr>
      <w:tabs>
        <w:tab w:val="center" w:pos="4252"/>
        <w:tab w:val="right" w:pos="8504"/>
      </w:tabs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42F22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3815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3815A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765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50D"/>
  </w:style>
  <w:style w:type="character" w:customStyle="1" w:styleId="Ttulo2Char">
    <w:name w:val="Título 2 Char"/>
    <w:basedOn w:val="Fontepargpadro"/>
    <w:link w:val="Ttulo2"/>
    <w:uiPriority w:val="9"/>
    <w:rsid w:val="0093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1F8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29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29E"/>
    <w:rPr>
      <w:rFonts w:ascii="Times New Roman" w:hAnsi="Times New Roman" w:cs="Times New Roman"/>
      <w:sz w:val="18"/>
      <w:szCs w:val="18"/>
    </w:rPr>
  </w:style>
  <w:style w:type="table" w:styleId="TabeladeGrade1Clara-nfase1">
    <w:name w:val="Grid Table 1 Light Accent 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5">
    <w:name w:val="Grid Table 2 Accent 5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BE63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BE6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B256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atusReportTable">
    <w:name w:val="Status Report Table"/>
    <w:basedOn w:val="Tabelanormal"/>
    <w:uiPriority w:val="99"/>
    <w:rsid w:val="00B53E70"/>
    <w:pPr>
      <w:spacing w:before="40" w:after="40"/>
    </w:pPr>
    <w:rPr>
      <w:rFonts w:ascii="Cambria" w:eastAsia="Cambria" w:hAnsi="Cambria" w:cs="Times New Roman"/>
      <w:color w:val="595959"/>
      <w:sz w:val="20"/>
      <w:szCs w:val="20"/>
      <w:lang w:val="en-US"/>
    </w:rPr>
    <w:tblPr>
      <w:tblBorders>
        <w:insideH w:val="single" w:sz="4" w:space="0" w:color="BFBFBF"/>
      </w:tblBorders>
    </w:tblPr>
    <w:tblStylePr w:type="firstRow">
      <w:rPr>
        <w:rFonts w:ascii="Calibri" w:hAnsi="Calibri"/>
        <w:caps/>
        <w:smallCaps w:val="0"/>
        <w:color w:val="577188"/>
      </w:rPr>
      <w:tblPr/>
      <w:tcPr>
        <w:vAlign w:val="bottom"/>
      </w:tcPr>
    </w:tblStylePr>
  </w:style>
  <w:style w:type="paragraph" w:customStyle="1" w:styleId="Estilo1">
    <w:name w:val="Estilo1"/>
    <w:basedOn w:val="Normal"/>
    <w:link w:val="Estilo1Char"/>
    <w:qFormat/>
    <w:rsid w:val="00B53E70"/>
    <w:pPr>
      <w:keepNext/>
      <w:keepLines/>
      <w:pBdr>
        <w:top w:val="single" w:sz="4" w:space="4" w:color="00B1C9"/>
        <w:left w:val="single" w:sz="4" w:space="6" w:color="00B1C9"/>
        <w:bottom w:val="single" w:sz="4" w:space="4" w:color="00B1C9"/>
        <w:right w:val="single" w:sz="4" w:space="6" w:color="00B1C9"/>
      </w:pBdr>
      <w:shd w:val="clear" w:color="auto" w:fill="00B1C9"/>
      <w:tabs>
        <w:tab w:val="num" w:pos="360"/>
      </w:tabs>
      <w:spacing w:before="360" w:after="240"/>
      <w:ind w:left="144" w:right="144"/>
      <w:outlineLvl w:val="0"/>
    </w:pPr>
    <w:rPr>
      <w:rFonts w:ascii="Calibri" w:eastAsia="Times New Roman" w:hAnsi="Calibri" w:cs="Times New Roman"/>
      <w:caps/>
      <w:color w:val="FFFFFF"/>
      <w:kern w:val="20"/>
      <w:lang w:val="en-US"/>
    </w:rPr>
  </w:style>
  <w:style w:type="character" w:customStyle="1" w:styleId="Estilo1Char">
    <w:name w:val="Estilo1 Char"/>
    <w:basedOn w:val="Fontepargpadro"/>
    <w:link w:val="Estilo1"/>
    <w:rsid w:val="00B53E70"/>
    <w:rPr>
      <w:rFonts w:ascii="Calibri" w:eastAsia="Times New Roman" w:hAnsi="Calibri" w:cs="Times New Roman"/>
      <w:caps/>
      <w:color w:val="FFFFFF"/>
      <w:kern w:val="20"/>
      <w:shd w:val="clear" w:color="auto" w:fill="00B1C9"/>
      <w:lang w:val="en-US"/>
    </w:rPr>
  </w:style>
  <w:style w:type="paragraph" w:styleId="NormalWeb">
    <w:name w:val="Normal (Web)"/>
    <w:basedOn w:val="Normal"/>
    <w:uiPriority w:val="99"/>
    <w:semiHidden/>
    <w:unhideWhenUsed/>
    <w:rsid w:val="00302D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CF771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358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2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s1\Documents\Modelos%20Personalizados%20do%20Office\NOVO%20MODELO%20-%20PROPOSTA%20COMERCIAL%20EBS%20IT%20SERVIC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ED8BF0094A942B0965C07CAA8301D" ma:contentTypeVersion="5" ma:contentTypeDescription="Crie um novo documento." ma:contentTypeScope="" ma:versionID="3b6fea6377044c8861c073b184c2e97b">
  <xsd:schema xmlns:xsd="http://www.w3.org/2001/XMLSchema" xmlns:xs="http://www.w3.org/2001/XMLSchema" xmlns:p="http://schemas.microsoft.com/office/2006/metadata/properties" xmlns:ns2="52042efa-6c7c-40e7-a47a-ba85d4a70aae" targetNamespace="http://schemas.microsoft.com/office/2006/metadata/properties" ma:root="true" ma:fieldsID="61f3c88de2d8d5a7b5a4b00e9db21744" ns2:_="">
    <xsd:import namespace="52042efa-6c7c-40e7-a47a-ba85d4a70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2efa-6c7c-40e7-a47a-ba85d4a7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9F90-7438-4784-AC7B-AB8C594D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1F84D7-0D6A-44D2-A6A2-A897C9079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2D88A-78F5-4136-84B5-D4D9A7414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42efa-6c7c-40e7-a47a-ba85d4a7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2596C8-E7BF-47BE-B285-EC0DE7D6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 MODELO - PROPOSTA COMERCIAL EBS IT SERVICES.dotx</Template>
  <TotalTime>73</TotalTime>
  <Pages>7</Pages>
  <Words>1215</Words>
  <Characters>6563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Artes1</dc:creator>
  <cp:keywords/>
  <dc:description/>
  <cp:lastModifiedBy>Felipe Oliveira Okabayashi</cp:lastModifiedBy>
  <cp:revision>19</cp:revision>
  <cp:lastPrinted>2020-03-03T21:25:00Z</cp:lastPrinted>
  <dcterms:created xsi:type="dcterms:W3CDTF">2020-04-08T20:19:00Z</dcterms:created>
  <dcterms:modified xsi:type="dcterms:W3CDTF">2020-05-21T18:33:00Z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0x0101000B8ED8BF0094A942B0965C07CAA8301D</vt:lpwstr>
  </property>
</Properties>
</file>