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12504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:rsidTr="00125048">
        <w:trPr>
          <w:trHeight w:val="250"/>
        </w:trPr>
        <w:tc>
          <w:tcPr>
            <w:tcW w:w="14601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125048">
        <w:trPr>
          <w:trHeight w:val="476"/>
        </w:trPr>
        <w:tc>
          <w:tcPr>
            <w:tcW w:w="1071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125048" w:rsidRPr="007E704A" w:rsidTr="00125048">
        <w:trPr>
          <w:trHeight w:val="488"/>
        </w:trPr>
        <w:tc>
          <w:tcPr>
            <w:tcW w:w="1071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7147E5" w:rsidRDefault="00125048" w:rsidP="00625FAB">
            <w:pPr>
              <w:rPr>
                <w:rFonts w:ascii="Calibri" w:hAnsi="Calibri"/>
                <w:sz w:val="20"/>
                <w:szCs w:val="20"/>
              </w:rPr>
            </w:pPr>
            <w:r w:rsidRPr="00625FAB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Descrever as atividades para garantir que os usuários não </w:t>
            </w:r>
            <w:r w:rsidR="00625FAB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irão </w:t>
            </w:r>
            <w:r w:rsidRPr="00625FAB">
              <w:rPr>
                <w:rFonts w:ascii="Calibri" w:hAnsi="Calibri"/>
                <w:i/>
                <w:color w:val="808080"/>
                <w:sz w:val="20"/>
                <w:szCs w:val="20"/>
              </w:rPr>
              <w:t>acessar o sistema durante a implantação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gramStart"/>
            <w:r w:rsidRPr="007147E5">
              <w:rPr>
                <w:rFonts w:ascii="Calibri" w:hAnsi="Calibri"/>
                <w:sz w:val="20"/>
                <w:szCs w:val="20"/>
              </w:rPr>
              <w:t>00:00</w:t>
            </w:r>
            <w:proofErr w:type="gramEnd"/>
          </w:p>
        </w:tc>
        <w:tc>
          <w:tcPr>
            <w:tcW w:w="3816" w:type="dxa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rPr>
          <w:trHeight w:val="250"/>
        </w:trPr>
        <w:tc>
          <w:tcPr>
            <w:tcW w:w="1071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125048" w:rsidRPr="007147E5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:rsidR="00125048" w:rsidRPr="007147E5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C94251" w:rsidTr="00125048">
        <w:trPr>
          <w:trHeight w:val="238"/>
        </w:trPr>
        <w:tc>
          <w:tcPr>
            <w:tcW w:w="1071" w:type="dxa"/>
            <w:shd w:val="clear" w:color="auto" w:fill="FFFFFF"/>
            <w:vAlign w:val="center"/>
          </w:tcPr>
          <w:p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C94251" w:rsidTr="00125048">
        <w:trPr>
          <w:trHeight w:val="238"/>
        </w:trPr>
        <w:tc>
          <w:tcPr>
            <w:tcW w:w="1071" w:type="dxa"/>
            <w:shd w:val="clear" w:color="auto" w:fill="FFFFFF"/>
            <w:vAlign w:val="center"/>
          </w:tcPr>
          <w:p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C94251" w:rsidTr="00125048">
        <w:trPr>
          <w:trHeight w:val="250"/>
        </w:trPr>
        <w:tc>
          <w:tcPr>
            <w:tcW w:w="1071" w:type="dxa"/>
            <w:shd w:val="clear" w:color="auto" w:fill="FFFFFF"/>
            <w:vAlign w:val="center"/>
          </w:tcPr>
          <w:p w:rsidR="00125048" w:rsidRPr="00C94251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644" w:type="dxa"/>
            <w:shd w:val="clear" w:color="auto" w:fill="FFFFFF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:rsidTr="00125048">
        <w:tc>
          <w:tcPr>
            <w:tcW w:w="14600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81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00:00</w:t>
            </w: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125048" w:rsidRPr="007E704A" w:rsidTr="00125048">
        <w:tc>
          <w:tcPr>
            <w:tcW w:w="991" w:type="dxa"/>
            <w:shd w:val="clear" w:color="auto" w:fill="FFFFFF"/>
            <w:vAlign w:val="center"/>
          </w:tcPr>
          <w:p w:rsidR="00125048" w:rsidRPr="007147E5" w:rsidRDefault="00097280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813" w:type="dxa"/>
            <w:shd w:val="clear" w:color="auto" w:fill="FFFFFF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C94251" w:rsidP="004878F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Alta, Média ou Baixa.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Alto, Médio ou Baixo.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E18" w:rsidRDefault="005E7E18" w:rsidP="006D1A9C">
      <w:r>
        <w:separator/>
      </w:r>
    </w:p>
  </w:endnote>
  <w:endnote w:type="continuationSeparator" w:id="0">
    <w:p w:rsidR="005E7E18" w:rsidRDefault="005E7E18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47420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E18" w:rsidRDefault="005E7E18" w:rsidP="006D1A9C">
      <w:r>
        <w:separator/>
      </w:r>
    </w:p>
  </w:footnote>
  <w:footnote w:type="continuationSeparator" w:id="0">
    <w:p w:rsidR="005E7E18" w:rsidRDefault="005E7E18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161B6" wp14:editId="725E6A97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F6A4-5B9A-4200-902E-F23261FD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Kelly</cp:lastModifiedBy>
  <cp:revision>6</cp:revision>
  <cp:lastPrinted>2014-12-11T17:26:00Z</cp:lastPrinted>
  <dcterms:created xsi:type="dcterms:W3CDTF">2016-02-22T20:48:00Z</dcterms:created>
  <dcterms:modified xsi:type="dcterms:W3CDTF">2016-02-23T14:29:00Z</dcterms:modified>
</cp:coreProperties>
</file>