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8462B" w14:textId="77777777" w:rsidR="00DC4321" w:rsidRDefault="00DC4321">
      <w:pPr>
        <w:spacing w:before="2400"/>
        <w:jc w:val="center"/>
        <w:rPr>
          <w:rFonts w:ascii="Times New Roman" w:hAnsi="Times New Roman" w:cs="Times New Roman"/>
          <w:b/>
          <w:bCs/>
          <w:color w:val="1F3864"/>
          <w:sz w:val="52"/>
          <w:szCs w:val="52"/>
        </w:rPr>
      </w:pPr>
    </w:p>
    <w:p w14:paraId="2DEA1C37" w14:textId="5A66AC2E" w:rsidR="004D2DBF" w:rsidRPr="00DC4321" w:rsidRDefault="00000000">
      <w:pPr>
        <w:spacing w:before="2400"/>
        <w:jc w:val="center"/>
        <w:rPr>
          <w:rFonts w:ascii="Times New Roman" w:hAnsi="Times New Roman" w:cs="Times New Roman"/>
        </w:rPr>
      </w:pPr>
      <w:r w:rsidRPr="00DC4321">
        <w:rPr>
          <w:rFonts w:ascii="Times New Roman" w:hAnsi="Times New Roman" w:cs="Times New Roman"/>
          <w:b/>
          <w:bCs/>
          <w:color w:val="1F3864"/>
          <w:sz w:val="52"/>
          <w:szCs w:val="52"/>
        </w:rPr>
        <w:t>SAP FICO MODULE IMPLEMENTATION</w:t>
      </w:r>
    </w:p>
    <w:p w14:paraId="09494878" w14:textId="77777777" w:rsidR="004D2DBF" w:rsidRPr="00DC4321" w:rsidRDefault="00000000">
      <w:pPr>
        <w:spacing w:before="200" w:after="200"/>
        <w:jc w:val="center"/>
        <w:rPr>
          <w:rFonts w:ascii="Times New Roman" w:hAnsi="Times New Roman" w:cs="Times New Roman"/>
        </w:rPr>
      </w:pPr>
      <w:r w:rsidRPr="00DC4321">
        <w:rPr>
          <w:rFonts w:ascii="Times New Roman" w:hAnsi="Times New Roman" w:cs="Times New Roman"/>
          <w:color w:val="2E74B5"/>
          <w:sz w:val="32"/>
          <w:szCs w:val="32"/>
        </w:rPr>
        <w:t>Project Planning and Strategy Document</w:t>
      </w:r>
    </w:p>
    <w:p w14:paraId="5B6DD8F1" w14:textId="77777777" w:rsidR="004D2DBF" w:rsidRPr="00DC4321" w:rsidRDefault="00000000">
      <w:pPr>
        <w:spacing w:before="100" w:after="100"/>
        <w:jc w:val="center"/>
        <w:rPr>
          <w:rFonts w:ascii="Times New Roman" w:hAnsi="Times New Roman" w:cs="Times New Roman"/>
        </w:rPr>
      </w:pPr>
      <w:r w:rsidRPr="00DC4321">
        <w:rPr>
          <w:rFonts w:ascii="Times New Roman" w:hAnsi="Times New Roman" w:cs="Times New Roman"/>
          <w:i/>
          <w:iCs/>
          <w:color w:val="595959"/>
        </w:rPr>
        <w:t xml:space="preserve">Prepared for: Meridian Industrial Products </w:t>
      </w:r>
      <w:proofErr w:type="spellStart"/>
      <w:r w:rsidRPr="00DC4321">
        <w:rPr>
          <w:rFonts w:ascii="Times New Roman" w:hAnsi="Times New Roman" w:cs="Times New Roman"/>
          <w:i/>
          <w:iCs/>
          <w:color w:val="595959"/>
        </w:rPr>
        <w:t>Pvt.</w:t>
      </w:r>
      <w:proofErr w:type="spellEnd"/>
      <w:r w:rsidRPr="00DC4321">
        <w:rPr>
          <w:rFonts w:ascii="Times New Roman" w:hAnsi="Times New Roman" w:cs="Times New Roman"/>
          <w:i/>
          <w:iCs/>
          <w:color w:val="595959"/>
        </w:rPr>
        <w:t xml:space="preserve"> Ltd. (fictional mid-sized manufacturing company)</w:t>
      </w:r>
    </w:p>
    <w:p w14:paraId="20287BFB" w14:textId="77777777" w:rsidR="004D2DBF" w:rsidRPr="00DC4321" w:rsidRDefault="00000000">
      <w:pPr>
        <w:spacing w:before="100"/>
        <w:jc w:val="center"/>
        <w:rPr>
          <w:rFonts w:ascii="Times New Roman" w:hAnsi="Times New Roman" w:cs="Times New Roman"/>
        </w:rPr>
      </w:pPr>
      <w:r w:rsidRPr="00DC4321">
        <w:rPr>
          <w:rFonts w:ascii="Times New Roman" w:hAnsi="Times New Roman" w:cs="Times New Roman"/>
          <w:color w:val="595959"/>
        </w:rPr>
        <w:t>Module Scope: Financial Accounting (FI) and Controlling (CO)</w:t>
      </w:r>
    </w:p>
    <w:p w14:paraId="4C4CCFE3" w14:textId="77777777" w:rsidR="00DC4321" w:rsidRPr="00DC4321" w:rsidRDefault="00DC4321">
      <w:pPr>
        <w:pStyle w:val="Heading1"/>
        <w:pBdr>
          <w:bottom w:val="single" w:sz="6" w:space="4" w:color="2E74B5"/>
        </w:pBdr>
        <w:rPr>
          <w:rFonts w:ascii="Times New Roman" w:hAnsi="Times New Roman" w:cs="Times New Roman"/>
        </w:rPr>
      </w:pPr>
    </w:p>
    <w:p w14:paraId="0181C8FD" w14:textId="77777777" w:rsidR="00DC4321" w:rsidRPr="00DC4321" w:rsidRDefault="00DC4321">
      <w:pPr>
        <w:pStyle w:val="Heading1"/>
        <w:pBdr>
          <w:bottom w:val="single" w:sz="6" w:space="4" w:color="2E74B5"/>
        </w:pBdr>
        <w:rPr>
          <w:rFonts w:ascii="Times New Roman" w:hAnsi="Times New Roman" w:cs="Times New Roman"/>
        </w:rPr>
      </w:pPr>
    </w:p>
    <w:p w14:paraId="39B09DBD" w14:textId="77777777" w:rsidR="00DC4321" w:rsidRPr="00DC4321" w:rsidRDefault="00DC4321">
      <w:pPr>
        <w:pStyle w:val="Heading1"/>
        <w:pBdr>
          <w:bottom w:val="single" w:sz="6" w:space="4" w:color="2E74B5"/>
        </w:pBdr>
        <w:rPr>
          <w:rFonts w:ascii="Times New Roman" w:hAnsi="Times New Roman" w:cs="Times New Roman"/>
        </w:rPr>
      </w:pPr>
    </w:p>
    <w:p w14:paraId="67E0C4CA" w14:textId="77777777" w:rsidR="00DC4321" w:rsidRPr="00DC4321" w:rsidRDefault="00DC4321">
      <w:pPr>
        <w:pStyle w:val="Heading1"/>
        <w:pBdr>
          <w:bottom w:val="single" w:sz="6" w:space="4" w:color="2E74B5"/>
        </w:pBdr>
        <w:rPr>
          <w:rFonts w:ascii="Times New Roman" w:hAnsi="Times New Roman" w:cs="Times New Roman"/>
        </w:rPr>
      </w:pPr>
    </w:p>
    <w:p w14:paraId="2241816D" w14:textId="77777777" w:rsidR="00DC4321" w:rsidRDefault="00DC4321">
      <w:pPr>
        <w:pStyle w:val="Heading1"/>
        <w:pBdr>
          <w:bottom w:val="single" w:sz="6" w:space="4" w:color="2E74B5"/>
        </w:pBdr>
        <w:rPr>
          <w:rFonts w:ascii="Times New Roman" w:hAnsi="Times New Roman" w:cs="Times New Roman"/>
        </w:rPr>
      </w:pPr>
    </w:p>
    <w:p w14:paraId="1EAC33EF" w14:textId="77777777" w:rsidR="00DC4321" w:rsidRDefault="00DC4321">
      <w:pPr>
        <w:pStyle w:val="Heading1"/>
        <w:pBdr>
          <w:bottom w:val="single" w:sz="6" w:space="4" w:color="2E74B5"/>
        </w:pBdr>
        <w:rPr>
          <w:rFonts w:ascii="Times New Roman" w:hAnsi="Times New Roman" w:cs="Times New Roman"/>
        </w:rPr>
      </w:pPr>
    </w:p>
    <w:p w14:paraId="74844B1F" w14:textId="77777777" w:rsidR="00DC4321" w:rsidRPr="00DC4321" w:rsidRDefault="00DC4321">
      <w:pPr>
        <w:pStyle w:val="Heading1"/>
        <w:pBdr>
          <w:bottom w:val="single" w:sz="6" w:space="4" w:color="2E74B5"/>
        </w:pBdr>
        <w:rPr>
          <w:rFonts w:ascii="Times New Roman" w:hAnsi="Times New Roman" w:cs="Times New Roman"/>
        </w:rPr>
      </w:pPr>
    </w:p>
    <w:p w14:paraId="45C82B20" w14:textId="77777777" w:rsidR="00DC4321" w:rsidRPr="00DC4321" w:rsidRDefault="00DC4321">
      <w:pPr>
        <w:pStyle w:val="Heading1"/>
        <w:pBdr>
          <w:bottom w:val="single" w:sz="6" w:space="4" w:color="2E74B5"/>
        </w:pBdr>
        <w:rPr>
          <w:rFonts w:ascii="Times New Roman" w:hAnsi="Times New Roman" w:cs="Times New Roman"/>
        </w:rPr>
      </w:pPr>
    </w:p>
    <w:p w14:paraId="71AC6CDD" w14:textId="460EEDDE" w:rsidR="004D2DBF" w:rsidRPr="00DC4321" w:rsidRDefault="00000000">
      <w:pPr>
        <w:pStyle w:val="Heading1"/>
        <w:pBdr>
          <w:bottom w:val="single" w:sz="6" w:space="4" w:color="2E74B5"/>
        </w:pBdr>
        <w:rPr>
          <w:rFonts w:ascii="Times New Roman" w:hAnsi="Times New Roman" w:cs="Times New Roman"/>
        </w:rPr>
      </w:pPr>
      <w:r w:rsidRPr="00DC4321">
        <w:rPr>
          <w:rFonts w:ascii="Times New Roman" w:hAnsi="Times New Roman" w:cs="Times New Roman"/>
        </w:rPr>
        <w:lastRenderedPageBreak/>
        <w:t>Table of Contents</w:t>
      </w:r>
    </w:p>
    <w:p w14:paraId="7ED9431B"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1. Executive Summary</w:t>
      </w:r>
    </w:p>
    <w:p w14:paraId="6FF06781"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2. Introduction and Objectives</w:t>
      </w:r>
    </w:p>
    <w:p w14:paraId="74BFB413"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3. Methodology</w:t>
      </w:r>
    </w:p>
    <w:p w14:paraId="796C329D"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4. Company and Project Background</w:t>
      </w:r>
    </w:p>
    <w:p w14:paraId="46DE98A9"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5. Project Governance and Team Structure</w:t>
      </w:r>
    </w:p>
    <w:p w14:paraId="64936D53"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6. Project Plan by Phase</w:t>
      </w:r>
    </w:p>
    <w:p w14:paraId="06D5F281"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 xml:space="preserve">   6.1 Phase 1 — Initiation</w:t>
      </w:r>
    </w:p>
    <w:p w14:paraId="58C5012C"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 xml:space="preserve">   6.2 Phase 2 — Planning</w:t>
      </w:r>
    </w:p>
    <w:p w14:paraId="18CAEBAC"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 xml:space="preserve">   6.3 Phase 3 — Execution (Realization)</w:t>
      </w:r>
    </w:p>
    <w:p w14:paraId="3BBFF489"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 xml:space="preserve">   6.4 Phase 4 — Monitoring and Control</w:t>
      </w:r>
    </w:p>
    <w:p w14:paraId="4E14F772"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 xml:space="preserve">   6.5 Phase 5 — Closure</w:t>
      </w:r>
    </w:p>
    <w:p w14:paraId="1565BBCA"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7. Project Timeline</w:t>
      </w:r>
    </w:p>
    <w:p w14:paraId="7AE1F305"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8. Resource Allocation</w:t>
      </w:r>
    </w:p>
    <w:p w14:paraId="49350153"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9. Budget Estimate</w:t>
      </w:r>
    </w:p>
    <w:p w14:paraId="1180A665"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10. Risk Assessment and Mitigation Strategy</w:t>
      </w:r>
    </w:p>
    <w:p w14:paraId="0F7C30FC"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11. Change Management and Training Strategy</w:t>
      </w:r>
    </w:p>
    <w:p w14:paraId="2A6FE12E"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12. Success Criteria and KPIs</w:t>
      </w:r>
    </w:p>
    <w:p w14:paraId="211E6CF1"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13. Conclusion</w:t>
      </w:r>
    </w:p>
    <w:p w14:paraId="4AAA6774" w14:textId="77777777" w:rsidR="00DC4321" w:rsidRDefault="00DC4321">
      <w:pPr>
        <w:pStyle w:val="Heading1"/>
        <w:pBdr>
          <w:bottom w:val="single" w:sz="6" w:space="4" w:color="2E74B5"/>
        </w:pBdr>
        <w:rPr>
          <w:rFonts w:ascii="Times New Roman" w:hAnsi="Times New Roman" w:cs="Times New Roman"/>
        </w:rPr>
      </w:pPr>
    </w:p>
    <w:p w14:paraId="372D8F38" w14:textId="77777777" w:rsidR="00DC4321" w:rsidRDefault="00DC4321">
      <w:pPr>
        <w:pStyle w:val="Heading1"/>
        <w:pBdr>
          <w:bottom w:val="single" w:sz="6" w:space="4" w:color="2E74B5"/>
        </w:pBdr>
        <w:rPr>
          <w:rFonts w:ascii="Times New Roman" w:hAnsi="Times New Roman" w:cs="Times New Roman"/>
        </w:rPr>
      </w:pPr>
    </w:p>
    <w:p w14:paraId="40BC19B6" w14:textId="77777777" w:rsidR="00DC4321" w:rsidRDefault="00DC4321">
      <w:pPr>
        <w:pStyle w:val="Heading1"/>
        <w:pBdr>
          <w:bottom w:val="single" w:sz="6" w:space="4" w:color="2E74B5"/>
        </w:pBdr>
        <w:rPr>
          <w:rFonts w:ascii="Times New Roman" w:hAnsi="Times New Roman" w:cs="Times New Roman"/>
        </w:rPr>
      </w:pPr>
    </w:p>
    <w:p w14:paraId="449AC2A9" w14:textId="77777777" w:rsidR="00DC4321" w:rsidRDefault="00DC4321">
      <w:pPr>
        <w:pStyle w:val="Heading1"/>
        <w:pBdr>
          <w:bottom w:val="single" w:sz="6" w:space="4" w:color="2E74B5"/>
        </w:pBdr>
        <w:rPr>
          <w:rFonts w:ascii="Times New Roman" w:hAnsi="Times New Roman" w:cs="Times New Roman"/>
        </w:rPr>
      </w:pPr>
    </w:p>
    <w:p w14:paraId="00CE69EB" w14:textId="77777777" w:rsidR="00DC4321" w:rsidRDefault="00DC4321">
      <w:pPr>
        <w:pStyle w:val="Heading1"/>
        <w:pBdr>
          <w:bottom w:val="single" w:sz="6" w:space="4" w:color="2E74B5"/>
        </w:pBdr>
        <w:rPr>
          <w:rFonts w:ascii="Times New Roman" w:hAnsi="Times New Roman" w:cs="Times New Roman"/>
        </w:rPr>
      </w:pPr>
    </w:p>
    <w:p w14:paraId="76458819" w14:textId="77777777" w:rsidR="00DC4321" w:rsidRDefault="00DC4321">
      <w:pPr>
        <w:pStyle w:val="Heading1"/>
        <w:pBdr>
          <w:bottom w:val="single" w:sz="6" w:space="4" w:color="2E74B5"/>
        </w:pBdr>
        <w:rPr>
          <w:rFonts w:ascii="Times New Roman" w:hAnsi="Times New Roman" w:cs="Times New Roman"/>
        </w:rPr>
      </w:pPr>
    </w:p>
    <w:p w14:paraId="136D90F7" w14:textId="77777777" w:rsidR="00DC4321" w:rsidRDefault="00DC4321">
      <w:pPr>
        <w:pStyle w:val="Heading1"/>
        <w:pBdr>
          <w:bottom w:val="single" w:sz="6" w:space="4" w:color="2E74B5"/>
        </w:pBdr>
        <w:rPr>
          <w:rFonts w:ascii="Times New Roman" w:hAnsi="Times New Roman" w:cs="Times New Roman"/>
        </w:rPr>
      </w:pPr>
    </w:p>
    <w:p w14:paraId="3A61B5D1" w14:textId="6483129A" w:rsidR="004D2DBF" w:rsidRPr="00DC4321" w:rsidRDefault="00DC4321">
      <w:pPr>
        <w:pStyle w:val="Heading1"/>
        <w:pBdr>
          <w:bottom w:val="single" w:sz="6" w:space="4" w:color="2E74B5"/>
        </w:pBdr>
        <w:rPr>
          <w:rFonts w:ascii="Times New Roman" w:hAnsi="Times New Roman" w:cs="Times New Roman"/>
        </w:rPr>
      </w:pPr>
      <w:r>
        <w:rPr>
          <w:rFonts w:ascii="Times New Roman" w:hAnsi="Times New Roman" w:cs="Times New Roman"/>
        </w:rPr>
        <w:lastRenderedPageBreak/>
        <w:t>1</w:t>
      </w:r>
      <w:r w:rsidR="00000000" w:rsidRPr="00DC4321">
        <w:rPr>
          <w:rFonts w:ascii="Times New Roman" w:hAnsi="Times New Roman" w:cs="Times New Roman"/>
        </w:rPr>
        <w:t>. Executive Summary</w:t>
      </w:r>
    </w:p>
    <w:p w14:paraId="5188DADB"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 xml:space="preserve">This document presents the project planning and strategy for the implementation of the SAP FICO (Financial Accounting and Controlling) module at Meridian Industrial Products </w:t>
      </w:r>
      <w:proofErr w:type="spellStart"/>
      <w:r w:rsidRPr="00DC4321">
        <w:rPr>
          <w:rFonts w:ascii="Times New Roman" w:hAnsi="Times New Roman" w:cs="Times New Roman"/>
        </w:rPr>
        <w:t>Pvt.</w:t>
      </w:r>
      <w:proofErr w:type="spellEnd"/>
      <w:r w:rsidRPr="00DC4321">
        <w:rPr>
          <w:rFonts w:ascii="Times New Roman" w:hAnsi="Times New Roman" w:cs="Times New Roman"/>
        </w:rPr>
        <w:t xml:space="preserve"> Ltd., a fictional mid-sized manufacturing company with approximately 450 employees and annual revenue of roughly USD 60 million. The company currently operates on a legacy, semi-manual accounting system (Tally ERP combined with spreadsheet-based cost reporting) that no longer scales with its multi-plant operations, multi-currency vendor base, and increasingly complex statutory reporting obligations.</w:t>
      </w:r>
    </w:p>
    <w:p w14:paraId="0A40EBCA"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 xml:space="preserve">The proposed project will implement the SAP FI (Financial Accounting) module — covering General Ledger, Accounts Payable, Accounts Receivable, Asset Accounting, and Bank Accounting — together with the SAP CO (Controlling) module — covering Cost Element Accounting, Cost </w:t>
      </w:r>
      <w:proofErr w:type="spellStart"/>
      <w:r w:rsidRPr="00DC4321">
        <w:rPr>
          <w:rFonts w:ascii="Times New Roman" w:hAnsi="Times New Roman" w:cs="Times New Roman"/>
        </w:rPr>
        <w:t>Center</w:t>
      </w:r>
      <w:proofErr w:type="spellEnd"/>
      <w:r w:rsidRPr="00DC4321">
        <w:rPr>
          <w:rFonts w:ascii="Times New Roman" w:hAnsi="Times New Roman" w:cs="Times New Roman"/>
        </w:rPr>
        <w:t xml:space="preserve"> Accounting, Internal Orders, and Profitability Analysis. The implementation follows a structured five-phase methodology aligned to SAP Activate: Initiation, Planning, Execution (Realization), Monitoring and Control, and Closure.</w:t>
      </w:r>
    </w:p>
    <w:p w14:paraId="77A24AE5"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 xml:space="preserve">The project is estimated to span 26 weeks (approximately 6 months) from </w:t>
      </w:r>
      <w:proofErr w:type="spellStart"/>
      <w:r w:rsidRPr="00DC4321">
        <w:rPr>
          <w:rFonts w:ascii="Times New Roman" w:hAnsi="Times New Roman" w:cs="Times New Roman"/>
        </w:rPr>
        <w:t>kickoff</w:t>
      </w:r>
      <w:proofErr w:type="spellEnd"/>
      <w:r w:rsidRPr="00DC4321">
        <w:rPr>
          <w:rFonts w:ascii="Times New Roman" w:hAnsi="Times New Roman" w:cs="Times New Roman"/>
        </w:rPr>
        <w:t xml:space="preserve"> to go-live and </w:t>
      </w:r>
      <w:proofErr w:type="spellStart"/>
      <w:r w:rsidRPr="00DC4321">
        <w:rPr>
          <w:rFonts w:ascii="Times New Roman" w:hAnsi="Times New Roman" w:cs="Times New Roman"/>
        </w:rPr>
        <w:t>hypercare</w:t>
      </w:r>
      <w:proofErr w:type="spellEnd"/>
      <w:r w:rsidRPr="00DC4321">
        <w:rPr>
          <w:rFonts w:ascii="Times New Roman" w:hAnsi="Times New Roman" w:cs="Times New Roman"/>
        </w:rPr>
        <w:t xml:space="preserve"> closure, with a total estimated budget of USD 285,000, covering licensing, implementation partner fees, internal resource time, infrastructure, training, and contingency. Twelve major risk categories have been identified, ranging from data migration integrity to organizational change resistance, each with a documented mitigation strategy.</w:t>
      </w:r>
    </w:p>
    <w:p w14:paraId="28201AF8"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This planning document is intended to serve as the authoritative reference for all subsequent implementation activities and should be reviewed and formally approved by the Project Steering Committee before execution begins.</w:t>
      </w:r>
    </w:p>
    <w:p w14:paraId="72B76598" w14:textId="77777777" w:rsidR="004D2DBF" w:rsidRPr="00DC4321" w:rsidRDefault="00000000">
      <w:pPr>
        <w:pStyle w:val="Heading1"/>
        <w:pBdr>
          <w:bottom w:val="single" w:sz="6" w:space="4" w:color="2E74B5"/>
        </w:pBdr>
        <w:rPr>
          <w:rFonts w:ascii="Times New Roman" w:hAnsi="Times New Roman" w:cs="Times New Roman"/>
        </w:rPr>
      </w:pPr>
      <w:r w:rsidRPr="00DC4321">
        <w:rPr>
          <w:rFonts w:ascii="Times New Roman" w:hAnsi="Times New Roman" w:cs="Times New Roman"/>
        </w:rPr>
        <w:t>2. Introduction and Objectives</w:t>
      </w:r>
    </w:p>
    <w:p w14:paraId="00C17FB1"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SAP FICO is the financial backbone of the SAP ERP suite, integrating external (statutory/financial) reporting through the FI module with internal management reporting through the CO module. A well-planned FICO implementation directly affects an organization's ability to close its books accurately, control costs at a granular level, and comply with regulatory requirements across jurisdictions.</w:t>
      </w:r>
    </w:p>
    <w:p w14:paraId="1A4C6C5D" w14:textId="77777777" w:rsidR="004D2DBF" w:rsidRPr="00DC4321" w:rsidRDefault="00000000">
      <w:pPr>
        <w:pStyle w:val="Heading2"/>
        <w:rPr>
          <w:rFonts w:ascii="Times New Roman" w:hAnsi="Times New Roman" w:cs="Times New Roman"/>
        </w:rPr>
      </w:pPr>
      <w:r w:rsidRPr="00DC4321">
        <w:rPr>
          <w:rFonts w:ascii="Times New Roman" w:hAnsi="Times New Roman" w:cs="Times New Roman"/>
        </w:rPr>
        <w:t>2.1 Project Objectives</w:t>
      </w:r>
    </w:p>
    <w:p w14:paraId="00E5F512" w14:textId="77777777" w:rsidR="004D2DBF" w:rsidRPr="00DC4321" w:rsidRDefault="00000000">
      <w:pPr>
        <w:pStyle w:val="ListParagraph"/>
        <w:numPr>
          <w:ilvl w:val="0"/>
          <w:numId w:val="1"/>
        </w:numPr>
        <w:spacing w:after="80"/>
        <w:rPr>
          <w:rFonts w:ascii="Times New Roman" w:hAnsi="Times New Roman" w:cs="Times New Roman"/>
        </w:rPr>
      </w:pPr>
      <w:r w:rsidRPr="00DC4321">
        <w:rPr>
          <w:rFonts w:ascii="Times New Roman" w:hAnsi="Times New Roman" w:cs="Times New Roman"/>
        </w:rPr>
        <w:t>Replace fragmented legacy accounting and costing tools with a single, integrated SAP FI/CO system.</w:t>
      </w:r>
    </w:p>
    <w:p w14:paraId="10F764E2" w14:textId="77777777" w:rsidR="004D2DBF" w:rsidRPr="00DC4321" w:rsidRDefault="00000000">
      <w:pPr>
        <w:pStyle w:val="ListParagraph"/>
        <w:numPr>
          <w:ilvl w:val="0"/>
          <w:numId w:val="1"/>
        </w:numPr>
        <w:spacing w:after="80"/>
        <w:rPr>
          <w:rFonts w:ascii="Times New Roman" w:hAnsi="Times New Roman" w:cs="Times New Roman"/>
        </w:rPr>
      </w:pPr>
      <w:r w:rsidRPr="00DC4321">
        <w:rPr>
          <w:rFonts w:ascii="Times New Roman" w:hAnsi="Times New Roman" w:cs="Times New Roman"/>
        </w:rPr>
        <w:t xml:space="preserve">Enable real-time financial visibility across all plants, cost </w:t>
      </w:r>
      <w:proofErr w:type="spellStart"/>
      <w:r w:rsidRPr="00DC4321">
        <w:rPr>
          <w:rFonts w:ascii="Times New Roman" w:hAnsi="Times New Roman" w:cs="Times New Roman"/>
        </w:rPr>
        <w:t>centers</w:t>
      </w:r>
      <w:proofErr w:type="spellEnd"/>
      <w:r w:rsidRPr="00DC4321">
        <w:rPr>
          <w:rFonts w:ascii="Times New Roman" w:hAnsi="Times New Roman" w:cs="Times New Roman"/>
        </w:rPr>
        <w:t xml:space="preserve">, and profit </w:t>
      </w:r>
      <w:proofErr w:type="spellStart"/>
      <w:r w:rsidRPr="00DC4321">
        <w:rPr>
          <w:rFonts w:ascii="Times New Roman" w:hAnsi="Times New Roman" w:cs="Times New Roman"/>
        </w:rPr>
        <w:t>centers</w:t>
      </w:r>
      <w:proofErr w:type="spellEnd"/>
      <w:r w:rsidRPr="00DC4321">
        <w:rPr>
          <w:rFonts w:ascii="Times New Roman" w:hAnsi="Times New Roman" w:cs="Times New Roman"/>
        </w:rPr>
        <w:t>.</w:t>
      </w:r>
    </w:p>
    <w:p w14:paraId="7DE5E9CF" w14:textId="77777777" w:rsidR="004D2DBF" w:rsidRPr="00DC4321" w:rsidRDefault="00000000">
      <w:pPr>
        <w:pStyle w:val="ListParagraph"/>
        <w:numPr>
          <w:ilvl w:val="0"/>
          <w:numId w:val="1"/>
        </w:numPr>
        <w:spacing w:after="80"/>
        <w:rPr>
          <w:rFonts w:ascii="Times New Roman" w:hAnsi="Times New Roman" w:cs="Times New Roman"/>
        </w:rPr>
      </w:pPr>
      <w:r w:rsidRPr="00DC4321">
        <w:rPr>
          <w:rFonts w:ascii="Times New Roman" w:hAnsi="Times New Roman" w:cs="Times New Roman"/>
        </w:rPr>
        <w:t>Standardize the chart of accounts and costing structures across all business units.</w:t>
      </w:r>
    </w:p>
    <w:p w14:paraId="7847A4A1" w14:textId="77777777" w:rsidR="004D2DBF" w:rsidRPr="00DC4321" w:rsidRDefault="00000000">
      <w:pPr>
        <w:pStyle w:val="ListParagraph"/>
        <w:numPr>
          <w:ilvl w:val="0"/>
          <w:numId w:val="1"/>
        </w:numPr>
        <w:spacing w:after="80"/>
        <w:rPr>
          <w:rFonts w:ascii="Times New Roman" w:hAnsi="Times New Roman" w:cs="Times New Roman"/>
        </w:rPr>
      </w:pPr>
      <w:r w:rsidRPr="00DC4321">
        <w:rPr>
          <w:rFonts w:ascii="Times New Roman" w:hAnsi="Times New Roman" w:cs="Times New Roman"/>
        </w:rPr>
        <w:t>Reduce the monthly financial close cycle from the current 10 working days to 4 working days.</w:t>
      </w:r>
    </w:p>
    <w:p w14:paraId="6F83AD32" w14:textId="77777777" w:rsidR="004D2DBF" w:rsidRPr="00DC4321" w:rsidRDefault="00000000">
      <w:pPr>
        <w:pStyle w:val="ListParagraph"/>
        <w:numPr>
          <w:ilvl w:val="0"/>
          <w:numId w:val="1"/>
        </w:numPr>
        <w:spacing w:after="80"/>
        <w:rPr>
          <w:rFonts w:ascii="Times New Roman" w:hAnsi="Times New Roman" w:cs="Times New Roman"/>
        </w:rPr>
      </w:pPr>
      <w:r w:rsidRPr="00DC4321">
        <w:rPr>
          <w:rFonts w:ascii="Times New Roman" w:hAnsi="Times New Roman" w:cs="Times New Roman"/>
        </w:rPr>
        <w:t>Establish a scalable platform that supports future modules (MM, SD, PP) in later phases.</w:t>
      </w:r>
    </w:p>
    <w:p w14:paraId="299848FB" w14:textId="77777777" w:rsidR="004D2DBF" w:rsidRPr="00DC4321" w:rsidRDefault="00000000">
      <w:pPr>
        <w:pStyle w:val="ListParagraph"/>
        <w:numPr>
          <w:ilvl w:val="0"/>
          <w:numId w:val="1"/>
        </w:numPr>
        <w:spacing w:after="80"/>
        <w:rPr>
          <w:rFonts w:ascii="Times New Roman" w:hAnsi="Times New Roman" w:cs="Times New Roman"/>
        </w:rPr>
      </w:pPr>
      <w:r w:rsidRPr="00DC4321">
        <w:rPr>
          <w:rFonts w:ascii="Times New Roman" w:hAnsi="Times New Roman" w:cs="Times New Roman"/>
        </w:rPr>
        <w:t>Ensure statutory compliance (GST, income tax, companies act reporting) is embedded in the design.</w:t>
      </w:r>
    </w:p>
    <w:p w14:paraId="52349BBA" w14:textId="77777777" w:rsidR="004D2DBF" w:rsidRPr="00DC4321" w:rsidRDefault="00000000">
      <w:pPr>
        <w:pStyle w:val="Heading2"/>
        <w:rPr>
          <w:rFonts w:ascii="Times New Roman" w:hAnsi="Times New Roman" w:cs="Times New Roman"/>
        </w:rPr>
      </w:pPr>
      <w:r w:rsidRPr="00DC4321">
        <w:rPr>
          <w:rFonts w:ascii="Times New Roman" w:hAnsi="Times New Roman" w:cs="Times New Roman"/>
        </w:rPr>
        <w:t>2.2 Scope Statement</w:t>
      </w:r>
    </w:p>
    <w:p w14:paraId="4747008B"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 xml:space="preserve">In scope: SAP FI sub-modules (General Ledger Accounting, Accounts Payable, Accounts Receivable, Asset Accounting, Bank Accounting, Tax configuration) and SAP CO sub-modules (Cost Element Accounting, Cost </w:t>
      </w:r>
      <w:proofErr w:type="spellStart"/>
      <w:r w:rsidRPr="00DC4321">
        <w:rPr>
          <w:rFonts w:ascii="Times New Roman" w:hAnsi="Times New Roman" w:cs="Times New Roman"/>
        </w:rPr>
        <w:t>Center</w:t>
      </w:r>
      <w:proofErr w:type="spellEnd"/>
      <w:r w:rsidRPr="00DC4321">
        <w:rPr>
          <w:rFonts w:ascii="Times New Roman" w:hAnsi="Times New Roman" w:cs="Times New Roman"/>
        </w:rPr>
        <w:t xml:space="preserve"> Accounting, Internal Orders, Profit </w:t>
      </w:r>
      <w:proofErr w:type="spellStart"/>
      <w:r w:rsidRPr="00DC4321">
        <w:rPr>
          <w:rFonts w:ascii="Times New Roman" w:hAnsi="Times New Roman" w:cs="Times New Roman"/>
        </w:rPr>
        <w:t>Center</w:t>
      </w:r>
      <w:proofErr w:type="spellEnd"/>
      <w:r w:rsidRPr="00DC4321">
        <w:rPr>
          <w:rFonts w:ascii="Times New Roman" w:hAnsi="Times New Roman" w:cs="Times New Roman"/>
        </w:rPr>
        <w:t xml:space="preserve"> Accounting, Profitability </w:t>
      </w:r>
      <w:r w:rsidRPr="00DC4321">
        <w:rPr>
          <w:rFonts w:ascii="Times New Roman" w:hAnsi="Times New Roman" w:cs="Times New Roman"/>
        </w:rPr>
        <w:lastRenderedPageBreak/>
        <w:t>Analysis - COPA). Out of scope for this phase: SAP MM, SD, PP, and HCM modules; these are reserved for a future Phase 2 rollout and are referenced only where integration touchpoints are required (e.g., FI-MM account determination).</w:t>
      </w:r>
    </w:p>
    <w:p w14:paraId="09ECA366" w14:textId="77777777" w:rsidR="004D2DBF" w:rsidRPr="00DC4321" w:rsidRDefault="00000000">
      <w:pPr>
        <w:pStyle w:val="Heading1"/>
        <w:pBdr>
          <w:bottom w:val="single" w:sz="6" w:space="4" w:color="2E74B5"/>
        </w:pBdr>
        <w:rPr>
          <w:rFonts w:ascii="Times New Roman" w:hAnsi="Times New Roman" w:cs="Times New Roman"/>
        </w:rPr>
      </w:pPr>
      <w:r w:rsidRPr="00DC4321">
        <w:rPr>
          <w:rFonts w:ascii="Times New Roman" w:hAnsi="Times New Roman" w:cs="Times New Roman"/>
        </w:rPr>
        <w:t>3. Methodology</w:t>
      </w:r>
    </w:p>
    <w:p w14:paraId="56453DCB"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 xml:space="preserve">This plan adopts a hybrid methodology combining SAP </w:t>
      </w:r>
      <w:proofErr w:type="spellStart"/>
      <w:r w:rsidRPr="00DC4321">
        <w:rPr>
          <w:rFonts w:ascii="Times New Roman" w:hAnsi="Times New Roman" w:cs="Times New Roman"/>
        </w:rPr>
        <w:t>Activate's</w:t>
      </w:r>
      <w:proofErr w:type="spellEnd"/>
      <w:r w:rsidRPr="00DC4321">
        <w:rPr>
          <w:rFonts w:ascii="Times New Roman" w:hAnsi="Times New Roman" w:cs="Times New Roman"/>
        </w:rPr>
        <w:t xml:space="preserve"> phased approach (Prepare, Explore, Realize, Deploy, Run) with conventional PMBOK process groups (Initiation, Planning, Execution, Monitoring &amp; Control, Closure) to align SAP-specific delivery practices with standard project governance expected by the organization's PMO. Research for this plan drew on publicly documented SAP Activate methodology guidance, common FI/CO configuration practice (chart of accounts design, controlling area setup, cost </w:t>
      </w:r>
      <w:proofErr w:type="spellStart"/>
      <w:r w:rsidRPr="00DC4321">
        <w:rPr>
          <w:rFonts w:ascii="Times New Roman" w:hAnsi="Times New Roman" w:cs="Times New Roman"/>
        </w:rPr>
        <w:t>center</w:t>
      </w:r>
      <w:proofErr w:type="spellEnd"/>
      <w:r w:rsidRPr="00DC4321">
        <w:rPr>
          <w:rFonts w:ascii="Times New Roman" w:hAnsi="Times New Roman" w:cs="Times New Roman"/>
        </w:rPr>
        <w:t xml:space="preserve"> hierarchies), and generally accepted ERP implementation risk literature.</w:t>
      </w:r>
    </w:p>
    <w:p w14:paraId="3960885C" w14:textId="77777777" w:rsidR="004D2DBF" w:rsidRPr="00DC4321" w:rsidRDefault="00000000">
      <w:pPr>
        <w:pStyle w:val="Heading2"/>
        <w:rPr>
          <w:rFonts w:ascii="Times New Roman" w:hAnsi="Times New Roman" w:cs="Times New Roman"/>
        </w:rPr>
      </w:pPr>
      <w:r w:rsidRPr="00DC4321">
        <w:rPr>
          <w:rFonts w:ascii="Times New Roman" w:hAnsi="Times New Roman" w:cs="Times New Roman"/>
        </w:rPr>
        <w:t>3.1 Guiding Principles</w:t>
      </w:r>
    </w:p>
    <w:p w14:paraId="475C15AD" w14:textId="77777777" w:rsidR="004D2DBF" w:rsidRPr="00DC4321" w:rsidRDefault="00000000">
      <w:pPr>
        <w:pStyle w:val="ListParagraph"/>
        <w:numPr>
          <w:ilvl w:val="0"/>
          <w:numId w:val="1"/>
        </w:numPr>
        <w:spacing w:after="80"/>
        <w:rPr>
          <w:rFonts w:ascii="Times New Roman" w:hAnsi="Times New Roman" w:cs="Times New Roman"/>
        </w:rPr>
      </w:pPr>
      <w:r w:rsidRPr="00DC4321">
        <w:rPr>
          <w:rFonts w:ascii="Times New Roman" w:hAnsi="Times New Roman" w:cs="Times New Roman"/>
        </w:rPr>
        <w:t>Fit-to-standard first: adopt SAP best-practice configuration before customizing.</w:t>
      </w:r>
    </w:p>
    <w:p w14:paraId="32B86909" w14:textId="77777777" w:rsidR="004D2DBF" w:rsidRPr="00DC4321" w:rsidRDefault="00000000">
      <w:pPr>
        <w:pStyle w:val="ListParagraph"/>
        <w:numPr>
          <w:ilvl w:val="0"/>
          <w:numId w:val="1"/>
        </w:numPr>
        <w:spacing w:after="80"/>
        <w:rPr>
          <w:rFonts w:ascii="Times New Roman" w:hAnsi="Times New Roman" w:cs="Times New Roman"/>
        </w:rPr>
      </w:pPr>
      <w:r w:rsidRPr="00DC4321">
        <w:rPr>
          <w:rFonts w:ascii="Times New Roman" w:hAnsi="Times New Roman" w:cs="Times New Roman"/>
        </w:rPr>
        <w:t>Iterative validation: each configuration cycle is validated with business process owners before moving forward.</w:t>
      </w:r>
    </w:p>
    <w:p w14:paraId="67A25A48" w14:textId="77777777" w:rsidR="004D2DBF" w:rsidRPr="00DC4321" w:rsidRDefault="00000000">
      <w:pPr>
        <w:pStyle w:val="ListParagraph"/>
        <w:numPr>
          <w:ilvl w:val="0"/>
          <w:numId w:val="1"/>
        </w:numPr>
        <w:spacing w:after="80"/>
        <w:rPr>
          <w:rFonts w:ascii="Times New Roman" w:hAnsi="Times New Roman" w:cs="Times New Roman"/>
        </w:rPr>
      </w:pPr>
      <w:r w:rsidRPr="00DC4321">
        <w:rPr>
          <w:rFonts w:ascii="Times New Roman" w:hAnsi="Times New Roman" w:cs="Times New Roman"/>
        </w:rPr>
        <w:t>Data-driven decisions: master data quality is treated as a workstream, not an afterthought.</w:t>
      </w:r>
    </w:p>
    <w:p w14:paraId="5A6E5818" w14:textId="77777777" w:rsidR="004D2DBF" w:rsidRPr="00DC4321" w:rsidRDefault="00000000">
      <w:pPr>
        <w:pStyle w:val="ListParagraph"/>
        <w:numPr>
          <w:ilvl w:val="0"/>
          <w:numId w:val="1"/>
        </w:numPr>
        <w:spacing w:after="80"/>
        <w:rPr>
          <w:rFonts w:ascii="Times New Roman" w:hAnsi="Times New Roman" w:cs="Times New Roman"/>
        </w:rPr>
      </w:pPr>
      <w:r w:rsidRPr="00DC4321">
        <w:rPr>
          <w:rFonts w:ascii="Times New Roman" w:hAnsi="Times New Roman" w:cs="Times New Roman"/>
        </w:rPr>
        <w:t>Early and continuous change management to reduce end-user resistance at go-live.</w:t>
      </w:r>
    </w:p>
    <w:p w14:paraId="563665B0" w14:textId="77777777" w:rsidR="004D2DBF" w:rsidRPr="00DC4321" w:rsidRDefault="00000000">
      <w:pPr>
        <w:pStyle w:val="Heading1"/>
        <w:pBdr>
          <w:bottom w:val="single" w:sz="6" w:space="4" w:color="2E74B5"/>
        </w:pBdr>
        <w:rPr>
          <w:rFonts w:ascii="Times New Roman" w:hAnsi="Times New Roman" w:cs="Times New Roman"/>
        </w:rPr>
      </w:pPr>
      <w:r w:rsidRPr="00DC4321">
        <w:rPr>
          <w:rFonts w:ascii="Times New Roman" w:hAnsi="Times New Roman" w:cs="Times New Roman"/>
        </w:rPr>
        <w:t>4. Company and Project Background</w:t>
      </w:r>
    </w:p>
    <w:p w14:paraId="7FE7EA06"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 xml:space="preserve">Meridian Industrial Products </w:t>
      </w:r>
      <w:proofErr w:type="spellStart"/>
      <w:r w:rsidRPr="00DC4321">
        <w:rPr>
          <w:rFonts w:ascii="Times New Roman" w:hAnsi="Times New Roman" w:cs="Times New Roman"/>
        </w:rPr>
        <w:t>Pvt.</w:t>
      </w:r>
      <w:proofErr w:type="spellEnd"/>
      <w:r w:rsidRPr="00DC4321">
        <w:rPr>
          <w:rFonts w:ascii="Times New Roman" w:hAnsi="Times New Roman" w:cs="Times New Roman"/>
        </w:rPr>
        <w:t xml:space="preserve"> Ltd. operates three manufacturing plants and a corporate head office. Finance operations are currently decentralized, with each plant maintaining semi-independent cost tracking in spreadsheets that are manually consolidated monthly at head office. This has led to reconciliation delays, inconsistent cost allocation logic between plants, and limited visibility into product-level profitability. The Controlling function in particular is underdeveloped: there is no formal cost </w:t>
      </w:r>
      <w:proofErr w:type="spellStart"/>
      <w:r w:rsidRPr="00DC4321">
        <w:rPr>
          <w:rFonts w:ascii="Times New Roman" w:hAnsi="Times New Roman" w:cs="Times New Roman"/>
        </w:rPr>
        <w:t>center</w:t>
      </w:r>
      <w:proofErr w:type="spellEnd"/>
      <w:r w:rsidRPr="00DC4321">
        <w:rPr>
          <w:rFonts w:ascii="Times New Roman" w:hAnsi="Times New Roman" w:cs="Times New Roman"/>
        </w:rPr>
        <w:t xml:space="preserve"> hierarchy, and profitability analysis is performed post hoc in Excel using data that is frequently a month out of date.</w:t>
      </w:r>
    </w:p>
    <w:p w14:paraId="7F09E741"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The Board has approved capital expenditure for an SAP S/4HANA implementation, starting with Finance and Controlling as the foundation module, on the basis that financial data integrity and reporting speed are the most urgent business constraints.</w:t>
      </w:r>
    </w:p>
    <w:p w14:paraId="39F9AB37" w14:textId="77777777" w:rsidR="004D2DBF" w:rsidRPr="00DC4321" w:rsidRDefault="00000000">
      <w:pPr>
        <w:pStyle w:val="Heading1"/>
        <w:pBdr>
          <w:bottom w:val="single" w:sz="6" w:space="4" w:color="2E74B5"/>
        </w:pBdr>
        <w:rPr>
          <w:rFonts w:ascii="Times New Roman" w:hAnsi="Times New Roman" w:cs="Times New Roman"/>
        </w:rPr>
      </w:pPr>
      <w:r w:rsidRPr="00DC4321">
        <w:rPr>
          <w:rFonts w:ascii="Times New Roman" w:hAnsi="Times New Roman" w:cs="Times New Roman"/>
        </w:rPr>
        <w:t>5. Project Governance and Team Structure</w:t>
      </w:r>
    </w:p>
    <w:p w14:paraId="3A2A2789" w14:textId="77777777" w:rsidR="004D2DBF" w:rsidRPr="00DC4321" w:rsidRDefault="00000000">
      <w:pPr>
        <w:pStyle w:val="Heading2"/>
        <w:rPr>
          <w:rFonts w:ascii="Times New Roman" w:hAnsi="Times New Roman" w:cs="Times New Roman"/>
        </w:rPr>
      </w:pPr>
      <w:r w:rsidRPr="00DC4321">
        <w:rPr>
          <w:rFonts w:ascii="Times New Roman" w:hAnsi="Times New Roman" w:cs="Times New Roman"/>
        </w:rPr>
        <w:t>5.1 Governance Structure</w:t>
      </w:r>
    </w:p>
    <w:p w14:paraId="7E3B8257" w14:textId="77777777" w:rsidR="004D2DBF" w:rsidRDefault="00000000">
      <w:pPr>
        <w:spacing w:after="160" w:line="276" w:lineRule="auto"/>
        <w:rPr>
          <w:rFonts w:ascii="Times New Roman" w:hAnsi="Times New Roman" w:cs="Times New Roman"/>
        </w:rPr>
      </w:pPr>
      <w:r w:rsidRPr="00DC4321">
        <w:rPr>
          <w:rFonts w:ascii="Times New Roman" w:hAnsi="Times New Roman" w:cs="Times New Roman"/>
        </w:rPr>
        <w:t>The project will be governed by a Steering Committee that meets bi-weekly to review status, approve scope changes, and resolve escalated risks. Day-to-day delivery is managed by a Project Manager working jointly with an Implementation Partner Lead Consultant.</w:t>
      </w:r>
    </w:p>
    <w:p w14:paraId="7098F9F3" w14:textId="77777777" w:rsidR="00DC4321" w:rsidRPr="00DC4321" w:rsidRDefault="00DC4321">
      <w:pPr>
        <w:spacing w:after="160" w:line="276" w:lineRule="auto"/>
        <w:rPr>
          <w:rFonts w:ascii="Times New Roman" w:hAnsi="Times New Roman" w:cs="Times New Roman"/>
        </w:rPr>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600"/>
        <w:gridCol w:w="1600"/>
      </w:tblGrid>
      <w:tr w:rsidR="004D2DBF" w:rsidRPr="00DC4321" w14:paraId="08380666"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4C044010"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lastRenderedPageBreak/>
              <w:t>Role</w:t>
            </w:r>
          </w:p>
        </w:tc>
        <w:tc>
          <w:tcPr>
            <w:tcW w:w="4600" w:type="dxa"/>
            <w:shd w:val="clear" w:color="auto" w:fill="1F3864"/>
            <w:tcMar>
              <w:top w:w="80" w:type="dxa"/>
              <w:left w:w="100" w:type="dxa"/>
              <w:bottom w:w="80" w:type="dxa"/>
              <w:right w:w="100" w:type="dxa"/>
            </w:tcMar>
            <w:vAlign w:val="center"/>
          </w:tcPr>
          <w:p w14:paraId="5A1A7469"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Responsibility</w:t>
            </w:r>
          </w:p>
        </w:tc>
        <w:tc>
          <w:tcPr>
            <w:tcW w:w="1600" w:type="dxa"/>
            <w:shd w:val="clear" w:color="auto" w:fill="1F3864"/>
            <w:tcMar>
              <w:top w:w="80" w:type="dxa"/>
              <w:left w:w="100" w:type="dxa"/>
              <w:bottom w:w="80" w:type="dxa"/>
              <w:right w:w="100" w:type="dxa"/>
            </w:tcMar>
            <w:vAlign w:val="center"/>
          </w:tcPr>
          <w:p w14:paraId="43F0CEBD"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Allocation</w:t>
            </w:r>
          </w:p>
        </w:tc>
      </w:tr>
      <w:tr w:rsidR="004D2DBF" w:rsidRPr="00DC4321" w14:paraId="47BB9863" w14:textId="77777777">
        <w:tblPrEx>
          <w:tblCellMar>
            <w:top w:w="0" w:type="dxa"/>
            <w:bottom w:w="0" w:type="dxa"/>
          </w:tblCellMar>
        </w:tblPrEx>
        <w:tc>
          <w:tcPr>
            <w:tcW w:w="2600" w:type="dxa"/>
            <w:shd w:val="clear" w:color="auto" w:fill="F2F5FB"/>
            <w:tcMar>
              <w:top w:w="80" w:type="dxa"/>
              <w:left w:w="100" w:type="dxa"/>
              <w:bottom w:w="80" w:type="dxa"/>
              <w:right w:w="100" w:type="dxa"/>
            </w:tcMar>
            <w:vAlign w:val="center"/>
          </w:tcPr>
          <w:p w14:paraId="685A3372"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Project Sponsor (CFO)</w:t>
            </w:r>
          </w:p>
        </w:tc>
        <w:tc>
          <w:tcPr>
            <w:tcW w:w="4600" w:type="dxa"/>
            <w:shd w:val="clear" w:color="auto" w:fill="F2F5FB"/>
            <w:tcMar>
              <w:top w:w="80" w:type="dxa"/>
              <w:left w:w="100" w:type="dxa"/>
              <w:bottom w:w="80" w:type="dxa"/>
              <w:right w:w="100" w:type="dxa"/>
            </w:tcMar>
            <w:vAlign w:val="center"/>
          </w:tcPr>
          <w:p w14:paraId="677485B0"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Overall accountability, budget approval, escalation resolution</w:t>
            </w:r>
          </w:p>
        </w:tc>
        <w:tc>
          <w:tcPr>
            <w:tcW w:w="1600" w:type="dxa"/>
            <w:shd w:val="clear" w:color="auto" w:fill="F2F5FB"/>
            <w:tcMar>
              <w:top w:w="80" w:type="dxa"/>
              <w:left w:w="100" w:type="dxa"/>
              <w:bottom w:w="80" w:type="dxa"/>
              <w:right w:w="100" w:type="dxa"/>
            </w:tcMar>
            <w:vAlign w:val="center"/>
          </w:tcPr>
          <w:p w14:paraId="7C3992A4"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10%</w:t>
            </w:r>
          </w:p>
        </w:tc>
      </w:tr>
      <w:tr w:rsidR="004D2DBF" w:rsidRPr="00DC4321" w14:paraId="300B6B9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02D1DCB8"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Steering Committee</w:t>
            </w:r>
          </w:p>
        </w:tc>
        <w:tc>
          <w:tcPr>
            <w:tcW w:w="4600" w:type="dxa"/>
            <w:shd w:val="clear" w:color="auto" w:fill="FFFFFF"/>
            <w:tcMar>
              <w:top w:w="80" w:type="dxa"/>
              <w:left w:w="100" w:type="dxa"/>
              <w:bottom w:w="80" w:type="dxa"/>
              <w:right w:w="100" w:type="dxa"/>
            </w:tcMar>
            <w:vAlign w:val="center"/>
          </w:tcPr>
          <w:p w14:paraId="480D2EA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Governance, scope/change approval, risk oversight</w:t>
            </w:r>
          </w:p>
        </w:tc>
        <w:tc>
          <w:tcPr>
            <w:tcW w:w="1600" w:type="dxa"/>
            <w:shd w:val="clear" w:color="auto" w:fill="FFFFFF"/>
            <w:tcMar>
              <w:top w:w="80" w:type="dxa"/>
              <w:left w:w="100" w:type="dxa"/>
              <w:bottom w:w="80" w:type="dxa"/>
              <w:right w:w="100" w:type="dxa"/>
            </w:tcMar>
            <w:vAlign w:val="center"/>
          </w:tcPr>
          <w:p w14:paraId="3CC36BCD"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Bi-weekly</w:t>
            </w:r>
          </w:p>
        </w:tc>
      </w:tr>
      <w:tr w:rsidR="004D2DBF" w:rsidRPr="00DC4321" w14:paraId="4E8310F7" w14:textId="77777777">
        <w:tblPrEx>
          <w:tblCellMar>
            <w:top w:w="0" w:type="dxa"/>
            <w:bottom w:w="0" w:type="dxa"/>
          </w:tblCellMar>
        </w:tblPrEx>
        <w:tc>
          <w:tcPr>
            <w:tcW w:w="2600" w:type="dxa"/>
            <w:shd w:val="clear" w:color="auto" w:fill="F2F5FB"/>
            <w:tcMar>
              <w:top w:w="80" w:type="dxa"/>
              <w:left w:w="100" w:type="dxa"/>
              <w:bottom w:w="80" w:type="dxa"/>
              <w:right w:w="100" w:type="dxa"/>
            </w:tcMar>
            <w:vAlign w:val="center"/>
          </w:tcPr>
          <w:p w14:paraId="412C6590"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Project Manager (Client)</w:t>
            </w:r>
          </w:p>
        </w:tc>
        <w:tc>
          <w:tcPr>
            <w:tcW w:w="4600" w:type="dxa"/>
            <w:shd w:val="clear" w:color="auto" w:fill="F2F5FB"/>
            <w:tcMar>
              <w:top w:w="80" w:type="dxa"/>
              <w:left w:w="100" w:type="dxa"/>
              <w:bottom w:w="80" w:type="dxa"/>
              <w:right w:w="100" w:type="dxa"/>
            </w:tcMar>
            <w:vAlign w:val="center"/>
          </w:tcPr>
          <w:p w14:paraId="5F4124FF"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Day-to-day coordination, schedule, internal resource management</w:t>
            </w:r>
          </w:p>
        </w:tc>
        <w:tc>
          <w:tcPr>
            <w:tcW w:w="1600" w:type="dxa"/>
            <w:shd w:val="clear" w:color="auto" w:fill="F2F5FB"/>
            <w:tcMar>
              <w:top w:w="80" w:type="dxa"/>
              <w:left w:w="100" w:type="dxa"/>
              <w:bottom w:w="80" w:type="dxa"/>
              <w:right w:w="100" w:type="dxa"/>
            </w:tcMar>
            <w:vAlign w:val="center"/>
          </w:tcPr>
          <w:p w14:paraId="613522C0"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100%</w:t>
            </w:r>
          </w:p>
        </w:tc>
      </w:tr>
      <w:tr w:rsidR="004D2DBF" w:rsidRPr="00DC4321" w14:paraId="26144F1B"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52EBF2E"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SAP FICO Lead Consultant</w:t>
            </w:r>
          </w:p>
        </w:tc>
        <w:tc>
          <w:tcPr>
            <w:tcW w:w="4600" w:type="dxa"/>
            <w:shd w:val="clear" w:color="auto" w:fill="FFFFFF"/>
            <w:tcMar>
              <w:top w:w="80" w:type="dxa"/>
              <w:left w:w="100" w:type="dxa"/>
              <w:bottom w:w="80" w:type="dxa"/>
              <w:right w:w="100" w:type="dxa"/>
            </w:tcMar>
            <w:vAlign w:val="center"/>
          </w:tcPr>
          <w:p w14:paraId="3D690D52"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Solution design, configuration leadership, quality assurance</w:t>
            </w:r>
          </w:p>
        </w:tc>
        <w:tc>
          <w:tcPr>
            <w:tcW w:w="1600" w:type="dxa"/>
            <w:shd w:val="clear" w:color="auto" w:fill="FFFFFF"/>
            <w:tcMar>
              <w:top w:w="80" w:type="dxa"/>
              <w:left w:w="100" w:type="dxa"/>
              <w:bottom w:w="80" w:type="dxa"/>
              <w:right w:w="100" w:type="dxa"/>
            </w:tcMar>
            <w:vAlign w:val="center"/>
          </w:tcPr>
          <w:p w14:paraId="0230D2D1"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100%</w:t>
            </w:r>
          </w:p>
        </w:tc>
      </w:tr>
      <w:tr w:rsidR="004D2DBF" w:rsidRPr="00DC4321" w14:paraId="4F2931BF" w14:textId="77777777">
        <w:tblPrEx>
          <w:tblCellMar>
            <w:top w:w="0" w:type="dxa"/>
            <w:bottom w:w="0" w:type="dxa"/>
          </w:tblCellMar>
        </w:tblPrEx>
        <w:tc>
          <w:tcPr>
            <w:tcW w:w="2600" w:type="dxa"/>
            <w:shd w:val="clear" w:color="auto" w:fill="F2F5FB"/>
            <w:tcMar>
              <w:top w:w="80" w:type="dxa"/>
              <w:left w:w="100" w:type="dxa"/>
              <w:bottom w:w="80" w:type="dxa"/>
              <w:right w:w="100" w:type="dxa"/>
            </w:tcMar>
            <w:vAlign w:val="center"/>
          </w:tcPr>
          <w:p w14:paraId="742B749B"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FI Functional Consultant</w:t>
            </w:r>
          </w:p>
        </w:tc>
        <w:tc>
          <w:tcPr>
            <w:tcW w:w="4600" w:type="dxa"/>
            <w:shd w:val="clear" w:color="auto" w:fill="F2F5FB"/>
            <w:tcMar>
              <w:top w:w="80" w:type="dxa"/>
              <w:left w:w="100" w:type="dxa"/>
              <w:bottom w:w="80" w:type="dxa"/>
              <w:right w:w="100" w:type="dxa"/>
            </w:tcMar>
            <w:vAlign w:val="center"/>
          </w:tcPr>
          <w:p w14:paraId="42255F2F"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FI sub-module configuration and testing</w:t>
            </w:r>
          </w:p>
        </w:tc>
        <w:tc>
          <w:tcPr>
            <w:tcW w:w="1600" w:type="dxa"/>
            <w:shd w:val="clear" w:color="auto" w:fill="F2F5FB"/>
            <w:tcMar>
              <w:top w:w="80" w:type="dxa"/>
              <w:left w:w="100" w:type="dxa"/>
              <w:bottom w:w="80" w:type="dxa"/>
              <w:right w:w="100" w:type="dxa"/>
            </w:tcMar>
            <w:vAlign w:val="center"/>
          </w:tcPr>
          <w:p w14:paraId="2EC17819"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100%</w:t>
            </w:r>
          </w:p>
        </w:tc>
      </w:tr>
      <w:tr w:rsidR="004D2DBF" w:rsidRPr="00DC4321" w14:paraId="500D746E"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7A663DFB"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CO Functional Consultant</w:t>
            </w:r>
          </w:p>
        </w:tc>
        <w:tc>
          <w:tcPr>
            <w:tcW w:w="4600" w:type="dxa"/>
            <w:shd w:val="clear" w:color="auto" w:fill="FFFFFF"/>
            <w:tcMar>
              <w:top w:w="80" w:type="dxa"/>
              <w:left w:w="100" w:type="dxa"/>
              <w:bottom w:w="80" w:type="dxa"/>
              <w:right w:w="100" w:type="dxa"/>
            </w:tcMar>
            <w:vAlign w:val="center"/>
          </w:tcPr>
          <w:p w14:paraId="3F64BEF8"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CO sub-module configuration and testing</w:t>
            </w:r>
          </w:p>
        </w:tc>
        <w:tc>
          <w:tcPr>
            <w:tcW w:w="1600" w:type="dxa"/>
            <w:shd w:val="clear" w:color="auto" w:fill="FFFFFF"/>
            <w:tcMar>
              <w:top w:w="80" w:type="dxa"/>
              <w:left w:w="100" w:type="dxa"/>
              <w:bottom w:w="80" w:type="dxa"/>
              <w:right w:w="100" w:type="dxa"/>
            </w:tcMar>
            <w:vAlign w:val="center"/>
          </w:tcPr>
          <w:p w14:paraId="16FF0271"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100%</w:t>
            </w:r>
          </w:p>
        </w:tc>
      </w:tr>
      <w:tr w:rsidR="004D2DBF" w:rsidRPr="00DC4321" w14:paraId="1A4388A0" w14:textId="77777777">
        <w:tblPrEx>
          <w:tblCellMar>
            <w:top w:w="0" w:type="dxa"/>
            <w:bottom w:w="0" w:type="dxa"/>
          </w:tblCellMar>
        </w:tblPrEx>
        <w:tc>
          <w:tcPr>
            <w:tcW w:w="2600" w:type="dxa"/>
            <w:shd w:val="clear" w:color="auto" w:fill="F2F5FB"/>
            <w:tcMar>
              <w:top w:w="80" w:type="dxa"/>
              <w:left w:w="100" w:type="dxa"/>
              <w:bottom w:w="80" w:type="dxa"/>
              <w:right w:w="100" w:type="dxa"/>
            </w:tcMar>
            <w:vAlign w:val="center"/>
          </w:tcPr>
          <w:p w14:paraId="2F386F7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Business Process Owners (Finance)</w:t>
            </w:r>
          </w:p>
        </w:tc>
        <w:tc>
          <w:tcPr>
            <w:tcW w:w="4600" w:type="dxa"/>
            <w:shd w:val="clear" w:color="auto" w:fill="F2F5FB"/>
            <w:tcMar>
              <w:top w:w="80" w:type="dxa"/>
              <w:left w:w="100" w:type="dxa"/>
              <w:bottom w:w="80" w:type="dxa"/>
              <w:right w:w="100" w:type="dxa"/>
            </w:tcMar>
            <w:vAlign w:val="center"/>
          </w:tcPr>
          <w:p w14:paraId="2318D0FE"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Requirements validation, UAT sign-off</w:t>
            </w:r>
          </w:p>
        </w:tc>
        <w:tc>
          <w:tcPr>
            <w:tcW w:w="1600" w:type="dxa"/>
            <w:shd w:val="clear" w:color="auto" w:fill="F2F5FB"/>
            <w:tcMar>
              <w:top w:w="80" w:type="dxa"/>
              <w:left w:w="100" w:type="dxa"/>
              <w:bottom w:w="80" w:type="dxa"/>
              <w:right w:w="100" w:type="dxa"/>
            </w:tcMar>
            <w:vAlign w:val="center"/>
          </w:tcPr>
          <w:p w14:paraId="0A1672EC"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40-50%</w:t>
            </w:r>
          </w:p>
        </w:tc>
      </w:tr>
      <w:tr w:rsidR="004D2DBF" w:rsidRPr="00DC4321" w14:paraId="6C3536D5"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2BDD2124"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Data Migration Lead</w:t>
            </w:r>
          </w:p>
        </w:tc>
        <w:tc>
          <w:tcPr>
            <w:tcW w:w="4600" w:type="dxa"/>
            <w:shd w:val="clear" w:color="auto" w:fill="FFFFFF"/>
            <w:tcMar>
              <w:top w:w="80" w:type="dxa"/>
              <w:left w:w="100" w:type="dxa"/>
              <w:bottom w:w="80" w:type="dxa"/>
              <w:right w:w="100" w:type="dxa"/>
            </w:tcMar>
            <w:vAlign w:val="center"/>
          </w:tcPr>
          <w:p w14:paraId="5D4D32B3"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Master and transaction data extraction, cleansing, load</w:t>
            </w:r>
          </w:p>
        </w:tc>
        <w:tc>
          <w:tcPr>
            <w:tcW w:w="1600" w:type="dxa"/>
            <w:shd w:val="clear" w:color="auto" w:fill="FFFFFF"/>
            <w:tcMar>
              <w:top w:w="80" w:type="dxa"/>
              <w:left w:w="100" w:type="dxa"/>
              <w:bottom w:w="80" w:type="dxa"/>
              <w:right w:w="100" w:type="dxa"/>
            </w:tcMar>
            <w:vAlign w:val="center"/>
          </w:tcPr>
          <w:p w14:paraId="759EE7F2"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100%</w:t>
            </w:r>
          </w:p>
        </w:tc>
      </w:tr>
      <w:tr w:rsidR="004D2DBF" w:rsidRPr="00DC4321" w14:paraId="400A897E" w14:textId="77777777">
        <w:tblPrEx>
          <w:tblCellMar>
            <w:top w:w="0" w:type="dxa"/>
            <w:bottom w:w="0" w:type="dxa"/>
          </w:tblCellMar>
        </w:tblPrEx>
        <w:tc>
          <w:tcPr>
            <w:tcW w:w="2600" w:type="dxa"/>
            <w:shd w:val="clear" w:color="auto" w:fill="F2F5FB"/>
            <w:tcMar>
              <w:top w:w="80" w:type="dxa"/>
              <w:left w:w="100" w:type="dxa"/>
              <w:bottom w:w="80" w:type="dxa"/>
              <w:right w:w="100" w:type="dxa"/>
            </w:tcMar>
            <w:vAlign w:val="center"/>
          </w:tcPr>
          <w:p w14:paraId="5085766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Basis/Technical Consultant</w:t>
            </w:r>
          </w:p>
        </w:tc>
        <w:tc>
          <w:tcPr>
            <w:tcW w:w="4600" w:type="dxa"/>
            <w:shd w:val="clear" w:color="auto" w:fill="F2F5FB"/>
            <w:tcMar>
              <w:top w:w="80" w:type="dxa"/>
              <w:left w:w="100" w:type="dxa"/>
              <w:bottom w:w="80" w:type="dxa"/>
              <w:right w:w="100" w:type="dxa"/>
            </w:tcMar>
            <w:vAlign w:val="center"/>
          </w:tcPr>
          <w:p w14:paraId="2B1C0BFC"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System landscape, authorizations, technical integration</w:t>
            </w:r>
          </w:p>
        </w:tc>
        <w:tc>
          <w:tcPr>
            <w:tcW w:w="1600" w:type="dxa"/>
            <w:shd w:val="clear" w:color="auto" w:fill="F2F5FB"/>
            <w:tcMar>
              <w:top w:w="80" w:type="dxa"/>
              <w:left w:w="100" w:type="dxa"/>
              <w:bottom w:w="80" w:type="dxa"/>
              <w:right w:w="100" w:type="dxa"/>
            </w:tcMar>
            <w:vAlign w:val="center"/>
          </w:tcPr>
          <w:p w14:paraId="6E048FB8"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50%</w:t>
            </w:r>
          </w:p>
        </w:tc>
      </w:tr>
      <w:tr w:rsidR="004D2DBF" w:rsidRPr="00DC4321" w14:paraId="408D95BF"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6F498628"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Training &amp; Change Lead</w:t>
            </w:r>
          </w:p>
        </w:tc>
        <w:tc>
          <w:tcPr>
            <w:tcW w:w="4600" w:type="dxa"/>
            <w:shd w:val="clear" w:color="auto" w:fill="FFFFFF"/>
            <w:tcMar>
              <w:top w:w="80" w:type="dxa"/>
              <w:left w:w="100" w:type="dxa"/>
              <w:bottom w:w="80" w:type="dxa"/>
              <w:right w:w="100" w:type="dxa"/>
            </w:tcMar>
            <w:vAlign w:val="center"/>
          </w:tcPr>
          <w:p w14:paraId="72AC8F22"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Training materials, communication plan, adoption tracking</w:t>
            </w:r>
          </w:p>
        </w:tc>
        <w:tc>
          <w:tcPr>
            <w:tcW w:w="1600" w:type="dxa"/>
            <w:shd w:val="clear" w:color="auto" w:fill="FFFFFF"/>
            <w:tcMar>
              <w:top w:w="80" w:type="dxa"/>
              <w:left w:w="100" w:type="dxa"/>
              <w:bottom w:w="80" w:type="dxa"/>
              <w:right w:w="100" w:type="dxa"/>
            </w:tcMar>
            <w:vAlign w:val="center"/>
          </w:tcPr>
          <w:p w14:paraId="60FC0D0D"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60%</w:t>
            </w:r>
          </w:p>
        </w:tc>
      </w:tr>
    </w:tbl>
    <w:p w14:paraId="12B69B0E" w14:textId="1AB7DAA6" w:rsidR="004D2DBF" w:rsidRPr="00DC4321" w:rsidRDefault="004D2DBF">
      <w:pPr>
        <w:rPr>
          <w:rFonts w:ascii="Times New Roman" w:hAnsi="Times New Roman" w:cs="Times New Roman"/>
        </w:rPr>
      </w:pPr>
    </w:p>
    <w:p w14:paraId="02671353" w14:textId="77777777" w:rsidR="004D2DBF" w:rsidRPr="00DC4321" w:rsidRDefault="00000000">
      <w:pPr>
        <w:pStyle w:val="Heading1"/>
        <w:pBdr>
          <w:bottom w:val="single" w:sz="6" w:space="4" w:color="2E74B5"/>
        </w:pBdr>
        <w:rPr>
          <w:rFonts w:ascii="Times New Roman" w:hAnsi="Times New Roman" w:cs="Times New Roman"/>
        </w:rPr>
      </w:pPr>
      <w:r w:rsidRPr="00DC4321">
        <w:rPr>
          <w:rFonts w:ascii="Times New Roman" w:hAnsi="Times New Roman" w:cs="Times New Roman"/>
        </w:rPr>
        <w:t>6. Project Plan by Phase</w:t>
      </w:r>
    </w:p>
    <w:p w14:paraId="475D0336"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The implementation is structured into five sequential phases. Each phase below documents its objectives, key activities, and deliverables, mapped to the standard PMBOK process groups and cross-referenced to SAP Activate stages.</w:t>
      </w:r>
    </w:p>
    <w:p w14:paraId="565100F7" w14:textId="77777777" w:rsidR="004D2DBF" w:rsidRPr="00DC4321" w:rsidRDefault="00000000">
      <w:pPr>
        <w:pStyle w:val="Heading2"/>
        <w:rPr>
          <w:rFonts w:ascii="Times New Roman" w:hAnsi="Times New Roman" w:cs="Times New Roman"/>
        </w:rPr>
      </w:pPr>
      <w:r w:rsidRPr="00DC4321">
        <w:rPr>
          <w:rFonts w:ascii="Times New Roman" w:hAnsi="Times New Roman" w:cs="Times New Roman"/>
        </w:rPr>
        <w:t>6.1 Phase 1 — Initiation (SAP Activate: Prepare)</w:t>
      </w:r>
    </w:p>
    <w:p w14:paraId="7C9EE61C"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Duration: Weeks 1-3. Objective: formally launch the project, confirm scope and governance, and mobilize the team.</w:t>
      </w:r>
    </w:p>
    <w:p w14:paraId="76EEACF7"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 xml:space="preserve">Conduct project </w:t>
      </w:r>
      <w:proofErr w:type="spellStart"/>
      <w:r w:rsidRPr="00DC4321">
        <w:rPr>
          <w:rFonts w:ascii="Times New Roman" w:hAnsi="Times New Roman" w:cs="Times New Roman"/>
        </w:rPr>
        <w:t>kickoff</w:t>
      </w:r>
      <w:proofErr w:type="spellEnd"/>
      <w:r w:rsidRPr="00DC4321">
        <w:rPr>
          <w:rFonts w:ascii="Times New Roman" w:hAnsi="Times New Roman" w:cs="Times New Roman"/>
        </w:rPr>
        <w:t xml:space="preserve"> workshop with Steering Committee and core team.</w:t>
      </w:r>
    </w:p>
    <w:p w14:paraId="3D6E760B"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Finalize and sign off the Project Charter, including scope, objectives, and success criteria.</w:t>
      </w:r>
    </w:p>
    <w:p w14:paraId="51B356A4"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Confirm budget, high-level timeline, and resource commitments.</w:t>
      </w:r>
    </w:p>
    <w:p w14:paraId="680FB8D4"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Establish project governance cadence (steering committee, status reporting, escalation paths).</w:t>
      </w:r>
    </w:p>
    <w:p w14:paraId="3E328265"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Provision the initial SAP system landscape (sandbox/development client).</w:t>
      </w:r>
    </w:p>
    <w:p w14:paraId="32C12D51"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Conduct organizational readiness assessment.</w:t>
      </w:r>
    </w:p>
    <w:p w14:paraId="37F440FC"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Deliverables: Approved Project Charter, Governance Plan, Sandbox system access, Stakeholder Register.</w:t>
      </w:r>
    </w:p>
    <w:p w14:paraId="306DE51B" w14:textId="77777777" w:rsidR="004D2DBF" w:rsidRPr="00DC4321" w:rsidRDefault="00000000">
      <w:pPr>
        <w:pStyle w:val="Heading2"/>
        <w:rPr>
          <w:rFonts w:ascii="Times New Roman" w:hAnsi="Times New Roman" w:cs="Times New Roman"/>
        </w:rPr>
      </w:pPr>
      <w:r w:rsidRPr="00DC4321">
        <w:rPr>
          <w:rFonts w:ascii="Times New Roman" w:hAnsi="Times New Roman" w:cs="Times New Roman"/>
        </w:rPr>
        <w:t>6.2 Phase 2 — Planning (SAP Activate: Explore)</w:t>
      </w:r>
    </w:p>
    <w:p w14:paraId="02FB0352"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Duration: Weeks 4-8. Objective: translate business requirements into a validated solution design.</w:t>
      </w:r>
    </w:p>
    <w:p w14:paraId="72BB1157"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Run fit-to-standard workshops for each FI sub-module (GL, AP, AR, Asset Accounting, Bank Accounting).</w:t>
      </w:r>
    </w:p>
    <w:p w14:paraId="0D952B6D"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 xml:space="preserve">Run fit-to-standard workshops for each CO sub-module (Cost Element, Cost </w:t>
      </w:r>
      <w:proofErr w:type="spellStart"/>
      <w:r w:rsidRPr="00DC4321">
        <w:rPr>
          <w:rFonts w:ascii="Times New Roman" w:hAnsi="Times New Roman" w:cs="Times New Roman"/>
        </w:rPr>
        <w:t>Center</w:t>
      </w:r>
      <w:proofErr w:type="spellEnd"/>
      <w:r w:rsidRPr="00DC4321">
        <w:rPr>
          <w:rFonts w:ascii="Times New Roman" w:hAnsi="Times New Roman" w:cs="Times New Roman"/>
        </w:rPr>
        <w:t xml:space="preserve">, Internal Orders, Profit </w:t>
      </w:r>
      <w:proofErr w:type="spellStart"/>
      <w:r w:rsidRPr="00DC4321">
        <w:rPr>
          <w:rFonts w:ascii="Times New Roman" w:hAnsi="Times New Roman" w:cs="Times New Roman"/>
        </w:rPr>
        <w:t>Center</w:t>
      </w:r>
      <w:proofErr w:type="spellEnd"/>
      <w:r w:rsidRPr="00DC4321">
        <w:rPr>
          <w:rFonts w:ascii="Times New Roman" w:hAnsi="Times New Roman" w:cs="Times New Roman"/>
        </w:rPr>
        <w:t>, COPA).</w:t>
      </w:r>
    </w:p>
    <w:p w14:paraId="2EAF9F88"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lastRenderedPageBreak/>
        <w:t>Design the enterprise structure: company codes, controlling area, chart of accounts, operating concern.</w:t>
      </w:r>
    </w:p>
    <w:p w14:paraId="22880152"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Document functional specifications for any identified gaps requiring configuration workarounds or custom development.</w:t>
      </w:r>
    </w:p>
    <w:p w14:paraId="56A76341"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Define the data migration strategy and identify master/transaction data objects in scope.</w:t>
      </w:r>
    </w:p>
    <w:p w14:paraId="6E97A4DA"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Develop the detailed work breakdown structure (WBS) and baseline project schedule.</w:t>
      </w:r>
    </w:p>
    <w:p w14:paraId="4A9C4325"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Develop the RAID log (Risks, Assumptions, Issues, Dependencies) and initial risk register.</w:t>
      </w:r>
    </w:p>
    <w:p w14:paraId="67C8B755"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Prepare the resource and budget plan (see Sections 8 and 9).</w:t>
      </w:r>
    </w:p>
    <w:p w14:paraId="1A2E305E"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Deliverables: Business Blueprint / Solution Design Document, WBS and baseline schedule, Data migration strategy, Risk register.</w:t>
      </w:r>
    </w:p>
    <w:p w14:paraId="79023C9E" w14:textId="77777777" w:rsidR="004D2DBF" w:rsidRPr="00DC4321" w:rsidRDefault="00000000">
      <w:pPr>
        <w:pStyle w:val="Heading2"/>
        <w:rPr>
          <w:rFonts w:ascii="Times New Roman" w:hAnsi="Times New Roman" w:cs="Times New Roman"/>
        </w:rPr>
      </w:pPr>
      <w:r w:rsidRPr="00DC4321">
        <w:rPr>
          <w:rFonts w:ascii="Times New Roman" w:hAnsi="Times New Roman" w:cs="Times New Roman"/>
        </w:rPr>
        <w:t>6.3 Phase 3 — Execution / Realization (SAP Activate: Realize)</w:t>
      </w:r>
    </w:p>
    <w:p w14:paraId="65DC7B9F"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Duration: Weeks 9-18. Objective: configure, build, and test the SAP FI/CO solution.</w:t>
      </w:r>
    </w:p>
    <w:p w14:paraId="567F7746"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 xml:space="preserve">Configure enterprise structure (company code, controlling area, chart of accounts, cost </w:t>
      </w:r>
      <w:proofErr w:type="spellStart"/>
      <w:r w:rsidRPr="00DC4321">
        <w:rPr>
          <w:rFonts w:ascii="Times New Roman" w:hAnsi="Times New Roman" w:cs="Times New Roman"/>
        </w:rPr>
        <w:t>center</w:t>
      </w:r>
      <w:proofErr w:type="spellEnd"/>
      <w:r w:rsidRPr="00DC4321">
        <w:rPr>
          <w:rFonts w:ascii="Times New Roman" w:hAnsi="Times New Roman" w:cs="Times New Roman"/>
        </w:rPr>
        <w:t xml:space="preserve"> hierarchy).</w:t>
      </w:r>
    </w:p>
    <w:p w14:paraId="730FA393"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Configure FI sub-modules: GL account groups and field status, AP/AR business partner setup, house banks, asset classes and depreciation areas.</w:t>
      </w:r>
    </w:p>
    <w:p w14:paraId="3A0334DD"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 xml:space="preserve">Configure CO sub-modules: cost elements, cost </w:t>
      </w:r>
      <w:proofErr w:type="spellStart"/>
      <w:r w:rsidRPr="00DC4321">
        <w:rPr>
          <w:rFonts w:ascii="Times New Roman" w:hAnsi="Times New Roman" w:cs="Times New Roman"/>
        </w:rPr>
        <w:t>center</w:t>
      </w:r>
      <w:proofErr w:type="spellEnd"/>
      <w:r w:rsidRPr="00DC4321">
        <w:rPr>
          <w:rFonts w:ascii="Times New Roman" w:hAnsi="Times New Roman" w:cs="Times New Roman"/>
        </w:rPr>
        <w:t xml:space="preserve"> groups, internal order types, profit </w:t>
      </w:r>
      <w:proofErr w:type="spellStart"/>
      <w:r w:rsidRPr="00DC4321">
        <w:rPr>
          <w:rFonts w:ascii="Times New Roman" w:hAnsi="Times New Roman" w:cs="Times New Roman"/>
        </w:rPr>
        <w:t>center</w:t>
      </w:r>
      <w:proofErr w:type="spellEnd"/>
      <w:r w:rsidRPr="00DC4321">
        <w:rPr>
          <w:rFonts w:ascii="Times New Roman" w:hAnsi="Times New Roman" w:cs="Times New Roman"/>
        </w:rPr>
        <w:t xml:space="preserve"> hierarchy, COPA characteristics and value fields.</w:t>
      </w:r>
    </w:p>
    <w:p w14:paraId="280FE2DF"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Build integration points with source systems and any interim legacy interfaces (e.g., bank statement import, payroll posting interface).</w:t>
      </w:r>
    </w:p>
    <w:p w14:paraId="047F3DA9"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Execute unit testing per configuration cycle; log and resolve defects.</w:t>
      </w:r>
    </w:p>
    <w:p w14:paraId="206D3C29"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Conduct integration testing across FI-CO and cross-module scenarios (e.g., procure-to-pay account determination).</w:t>
      </w:r>
    </w:p>
    <w:p w14:paraId="19A9BA7A"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 xml:space="preserve">Cleanse, extract, transform, and load master data (GL accounts, cost </w:t>
      </w:r>
      <w:proofErr w:type="spellStart"/>
      <w:r w:rsidRPr="00DC4321">
        <w:rPr>
          <w:rFonts w:ascii="Times New Roman" w:hAnsi="Times New Roman" w:cs="Times New Roman"/>
        </w:rPr>
        <w:t>centers</w:t>
      </w:r>
      <w:proofErr w:type="spellEnd"/>
      <w:r w:rsidRPr="00DC4321">
        <w:rPr>
          <w:rFonts w:ascii="Times New Roman" w:hAnsi="Times New Roman" w:cs="Times New Roman"/>
        </w:rPr>
        <w:t>, vendor/customer master, asset master) into the migration staging environment; conduct mock loads.</w:t>
      </w:r>
    </w:p>
    <w:p w14:paraId="1F639C09"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Develop end-user training materials and conduct train-the-trainer sessions.</w:t>
      </w:r>
    </w:p>
    <w:p w14:paraId="4B65C435"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Conduct User Acceptance Testing (UAT) with business process owners; obtain formal sign-off.</w:t>
      </w:r>
    </w:p>
    <w:p w14:paraId="1A251546"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Deliverables: Configured and tested FI/CO system, Data migration mock-load results, Training materials, UAT sign-off.</w:t>
      </w:r>
    </w:p>
    <w:p w14:paraId="1BADE71D" w14:textId="77777777" w:rsidR="004D2DBF" w:rsidRPr="00DC4321" w:rsidRDefault="00000000">
      <w:pPr>
        <w:pStyle w:val="Heading2"/>
        <w:rPr>
          <w:rFonts w:ascii="Times New Roman" w:hAnsi="Times New Roman" w:cs="Times New Roman"/>
        </w:rPr>
      </w:pPr>
      <w:r w:rsidRPr="00DC4321">
        <w:rPr>
          <w:rFonts w:ascii="Times New Roman" w:hAnsi="Times New Roman" w:cs="Times New Roman"/>
        </w:rPr>
        <w:t>6.4 Phase 4 — Monitoring and Control (SAP Activate: Deploy, running in parallel with Phase 3)</w:t>
      </w:r>
    </w:p>
    <w:p w14:paraId="7987FE5A"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Duration: Ongoing from Week 4 through Week 22 (parallel governance layer, intensifying pre and post go-live). Objective: track progress against baseline, manage risk, and ensure quality gates are met before go-live.</w:t>
      </w:r>
    </w:p>
    <w:p w14:paraId="7135B316"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Track schedule and budget variance weekly against the baseline; report status to the Steering Committee bi-weekly.</w:t>
      </w:r>
    </w:p>
    <w:p w14:paraId="34243E84"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Maintain and actively review the risk register; escalate red risks per the governance plan.</w:t>
      </w:r>
    </w:p>
    <w:p w14:paraId="6D7F1A9A"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Conduct quality gate reviews at the end of each phase (go/no-go checkpoints).</w:t>
      </w:r>
    </w:p>
    <w:p w14:paraId="402C7F2E"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Perform cutover readiness assessment and mock cutover rehearsal prior to go-live.</w:t>
      </w:r>
    </w:p>
    <w:p w14:paraId="0617DDA8"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Monitor go-live execution: data load validation, opening balance reconciliation, first-day transaction monitoring.</w:t>
      </w:r>
    </w:p>
    <w:p w14:paraId="5C9F369E"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lastRenderedPageBreak/>
        <w:t xml:space="preserve">Run a </w:t>
      </w:r>
      <w:proofErr w:type="spellStart"/>
      <w:r w:rsidRPr="00DC4321">
        <w:rPr>
          <w:rFonts w:ascii="Times New Roman" w:hAnsi="Times New Roman" w:cs="Times New Roman"/>
        </w:rPr>
        <w:t>hypercare</w:t>
      </w:r>
      <w:proofErr w:type="spellEnd"/>
      <w:r w:rsidRPr="00DC4321">
        <w:rPr>
          <w:rFonts w:ascii="Times New Roman" w:hAnsi="Times New Roman" w:cs="Times New Roman"/>
        </w:rPr>
        <w:t xml:space="preserve"> support model for 4 weeks post go-live, tracking incident volume and resolution time.</w:t>
      </w:r>
    </w:p>
    <w:p w14:paraId="62FF3B44"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Deliverables: Weekly/bi-weekly status reports, Risk register updates, Cutover plan and rehearsal results, Hypercare log.</w:t>
      </w:r>
    </w:p>
    <w:p w14:paraId="749180CF" w14:textId="77777777" w:rsidR="004D2DBF" w:rsidRPr="00DC4321" w:rsidRDefault="00000000">
      <w:pPr>
        <w:pStyle w:val="Heading2"/>
        <w:rPr>
          <w:rFonts w:ascii="Times New Roman" w:hAnsi="Times New Roman" w:cs="Times New Roman"/>
        </w:rPr>
      </w:pPr>
      <w:r w:rsidRPr="00DC4321">
        <w:rPr>
          <w:rFonts w:ascii="Times New Roman" w:hAnsi="Times New Roman" w:cs="Times New Roman"/>
        </w:rPr>
        <w:t>6.5 Phase 5 — Closure (SAP Activate: Run)</w:t>
      </w:r>
    </w:p>
    <w:p w14:paraId="0D076EA0"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Duration: Weeks 23-26. Objective: formally close the project, transition to steady-state support, and capture lessons learned.</w:t>
      </w:r>
    </w:p>
    <w:p w14:paraId="712BB97A"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Confirm all UAT and go-live defects are resolved or formally deferred with owner sign-off.</w:t>
      </w:r>
    </w:p>
    <w:p w14:paraId="357776DB"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Conduct final financial reconciliation between legacy and SAP systems for the transition period.</w:t>
      </w:r>
    </w:p>
    <w:p w14:paraId="43177B03"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Transition support responsibility from the implementation team to the steady-state IT/Finance support team.</w:t>
      </w:r>
    </w:p>
    <w:p w14:paraId="76D6F88E"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Conduct a post-implementation review and lessons-learned workshop.</w:t>
      </w:r>
    </w:p>
    <w:p w14:paraId="300A50F4"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Obtain formal project closure sign-off from the Project Sponsor and Steering Committee.</w:t>
      </w:r>
    </w:p>
    <w:p w14:paraId="16D073BD" w14:textId="77777777" w:rsidR="004D2DBF" w:rsidRPr="00DC4321" w:rsidRDefault="00000000">
      <w:pPr>
        <w:pStyle w:val="ListParagraph"/>
        <w:numPr>
          <w:ilvl w:val="0"/>
          <w:numId w:val="2"/>
        </w:numPr>
        <w:spacing w:after="80"/>
        <w:rPr>
          <w:rFonts w:ascii="Times New Roman" w:hAnsi="Times New Roman" w:cs="Times New Roman"/>
        </w:rPr>
      </w:pPr>
      <w:r w:rsidRPr="00DC4321">
        <w:rPr>
          <w:rFonts w:ascii="Times New Roman" w:hAnsi="Times New Roman" w:cs="Times New Roman"/>
        </w:rPr>
        <w:t>Archive project documentation and update the configuration/process documentation repository.</w:t>
      </w:r>
    </w:p>
    <w:p w14:paraId="2DF54C4A" w14:textId="68037A6C" w:rsidR="004D2DBF" w:rsidRPr="00DC4321" w:rsidRDefault="00000000" w:rsidP="00DC4321">
      <w:pPr>
        <w:spacing w:after="160" w:line="276" w:lineRule="auto"/>
        <w:rPr>
          <w:rFonts w:ascii="Times New Roman" w:hAnsi="Times New Roman" w:cs="Times New Roman"/>
        </w:rPr>
      </w:pPr>
      <w:r w:rsidRPr="00DC4321">
        <w:rPr>
          <w:rFonts w:ascii="Times New Roman" w:hAnsi="Times New Roman" w:cs="Times New Roman"/>
        </w:rPr>
        <w:t>Deliverables: Final reconciliation report, Lessons-learned document, Support transition plan, Formal project closure sign-off.</w:t>
      </w:r>
    </w:p>
    <w:p w14:paraId="367C85C1" w14:textId="77777777" w:rsidR="004D2DBF" w:rsidRPr="00DC4321" w:rsidRDefault="00000000">
      <w:pPr>
        <w:pStyle w:val="Heading1"/>
        <w:pBdr>
          <w:bottom w:val="single" w:sz="6" w:space="4" w:color="2E74B5"/>
        </w:pBdr>
        <w:rPr>
          <w:rFonts w:ascii="Times New Roman" w:hAnsi="Times New Roman" w:cs="Times New Roman"/>
        </w:rPr>
      </w:pPr>
      <w:r w:rsidRPr="00DC4321">
        <w:rPr>
          <w:rFonts w:ascii="Times New Roman" w:hAnsi="Times New Roman" w:cs="Times New Roman"/>
        </w:rPr>
        <w:t>7. Project Timeline</w:t>
      </w:r>
    </w:p>
    <w:p w14:paraId="622412E8"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The table below summarizes the high-level 26-week schedule. A detailed task-level schedule with dependencies is maintained separately in the project scheduling tool (e.g., MS Project or Smartsheet) and is baselined at the end of Phase 2.</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3000"/>
      </w:tblGrid>
      <w:tr w:rsidR="004D2DBF" w:rsidRPr="00DC4321" w14:paraId="1799C9FA"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1CF6274C"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Phase</w:t>
            </w:r>
          </w:p>
        </w:tc>
        <w:tc>
          <w:tcPr>
            <w:tcW w:w="2600" w:type="dxa"/>
            <w:shd w:val="clear" w:color="auto" w:fill="1F3864"/>
            <w:tcMar>
              <w:top w:w="80" w:type="dxa"/>
              <w:left w:w="100" w:type="dxa"/>
              <w:bottom w:w="80" w:type="dxa"/>
              <w:right w:w="100" w:type="dxa"/>
            </w:tcMar>
            <w:vAlign w:val="center"/>
          </w:tcPr>
          <w:p w14:paraId="2A4E605C"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Weeks</w:t>
            </w:r>
          </w:p>
        </w:tc>
        <w:tc>
          <w:tcPr>
            <w:tcW w:w="3000" w:type="dxa"/>
            <w:shd w:val="clear" w:color="auto" w:fill="1F3864"/>
            <w:tcMar>
              <w:top w:w="80" w:type="dxa"/>
              <w:left w:w="100" w:type="dxa"/>
              <w:bottom w:w="80" w:type="dxa"/>
              <w:right w:w="100" w:type="dxa"/>
            </w:tcMar>
            <w:vAlign w:val="center"/>
          </w:tcPr>
          <w:p w14:paraId="1BD3636B"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Key Milestone</w:t>
            </w:r>
          </w:p>
        </w:tc>
      </w:tr>
      <w:tr w:rsidR="004D2DBF" w:rsidRPr="00DC4321" w14:paraId="7D56B1DF" w14:textId="77777777">
        <w:tblPrEx>
          <w:tblCellMar>
            <w:top w:w="0" w:type="dxa"/>
            <w:bottom w:w="0" w:type="dxa"/>
          </w:tblCellMar>
        </w:tblPrEx>
        <w:tc>
          <w:tcPr>
            <w:tcW w:w="3200" w:type="dxa"/>
            <w:shd w:val="clear" w:color="auto" w:fill="F2F5FB"/>
            <w:tcMar>
              <w:top w:w="80" w:type="dxa"/>
              <w:left w:w="100" w:type="dxa"/>
              <w:bottom w:w="80" w:type="dxa"/>
              <w:right w:w="100" w:type="dxa"/>
            </w:tcMar>
            <w:vAlign w:val="center"/>
          </w:tcPr>
          <w:p w14:paraId="01E647F4"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 Initiation</w:t>
            </w:r>
          </w:p>
        </w:tc>
        <w:tc>
          <w:tcPr>
            <w:tcW w:w="2600" w:type="dxa"/>
            <w:shd w:val="clear" w:color="auto" w:fill="F2F5FB"/>
            <w:tcMar>
              <w:top w:w="80" w:type="dxa"/>
              <w:left w:w="100" w:type="dxa"/>
              <w:bottom w:w="80" w:type="dxa"/>
              <w:right w:w="100" w:type="dxa"/>
            </w:tcMar>
            <w:vAlign w:val="center"/>
          </w:tcPr>
          <w:p w14:paraId="7A62FDBB"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Week 1 - 3</w:t>
            </w:r>
          </w:p>
        </w:tc>
        <w:tc>
          <w:tcPr>
            <w:tcW w:w="3000" w:type="dxa"/>
            <w:shd w:val="clear" w:color="auto" w:fill="F2F5FB"/>
            <w:tcMar>
              <w:top w:w="80" w:type="dxa"/>
              <w:left w:w="100" w:type="dxa"/>
              <w:bottom w:w="80" w:type="dxa"/>
              <w:right w:w="100" w:type="dxa"/>
            </w:tcMar>
            <w:vAlign w:val="center"/>
          </w:tcPr>
          <w:p w14:paraId="42ACE194"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Project Charter signed off; sandbox system provisioned</w:t>
            </w:r>
          </w:p>
        </w:tc>
      </w:tr>
      <w:tr w:rsidR="004D2DBF" w:rsidRPr="00DC4321" w14:paraId="4D12F2FF"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01F2A051"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2. Planning</w:t>
            </w:r>
          </w:p>
        </w:tc>
        <w:tc>
          <w:tcPr>
            <w:tcW w:w="2600" w:type="dxa"/>
            <w:shd w:val="clear" w:color="auto" w:fill="FFFFFF"/>
            <w:tcMar>
              <w:top w:w="80" w:type="dxa"/>
              <w:left w:w="100" w:type="dxa"/>
              <w:bottom w:w="80" w:type="dxa"/>
              <w:right w:w="100" w:type="dxa"/>
            </w:tcMar>
            <w:vAlign w:val="center"/>
          </w:tcPr>
          <w:p w14:paraId="53FCF0E8"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Week 4 - 8</w:t>
            </w:r>
          </w:p>
        </w:tc>
        <w:tc>
          <w:tcPr>
            <w:tcW w:w="3000" w:type="dxa"/>
            <w:shd w:val="clear" w:color="auto" w:fill="FFFFFF"/>
            <w:tcMar>
              <w:top w:w="80" w:type="dxa"/>
              <w:left w:w="100" w:type="dxa"/>
              <w:bottom w:w="80" w:type="dxa"/>
              <w:right w:w="100" w:type="dxa"/>
            </w:tcMar>
            <w:vAlign w:val="center"/>
          </w:tcPr>
          <w:p w14:paraId="29B2D7F1"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Solution Design Document approved; baseline schedule set</w:t>
            </w:r>
          </w:p>
        </w:tc>
      </w:tr>
      <w:tr w:rsidR="004D2DBF" w:rsidRPr="00DC4321" w14:paraId="3E91CE79" w14:textId="77777777">
        <w:tblPrEx>
          <w:tblCellMar>
            <w:top w:w="0" w:type="dxa"/>
            <w:bottom w:w="0" w:type="dxa"/>
          </w:tblCellMar>
        </w:tblPrEx>
        <w:tc>
          <w:tcPr>
            <w:tcW w:w="3200" w:type="dxa"/>
            <w:shd w:val="clear" w:color="auto" w:fill="F2F5FB"/>
            <w:tcMar>
              <w:top w:w="80" w:type="dxa"/>
              <w:left w:w="100" w:type="dxa"/>
              <w:bottom w:w="80" w:type="dxa"/>
              <w:right w:w="100" w:type="dxa"/>
            </w:tcMar>
            <w:vAlign w:val="center"/>
          </w:tcPr>
          <w:p w14:paraId="6B00EE2F"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3. Execution / Realization</w:t>
            </w:r>
          </w:p>
        </w:tc>
        <w:tc>
          <w:tcPr>
            <w:tcW w:w="2600" w:type="dxa"/>
            <w:shd w:val="clear" w:color="auto" w:fill="F2F5FB"/>
            <w:tcMar>
              <w:top w:w="80" w:type="dxa"/>
              <w:left w:w="100" w:type="dxa"/>
              <w:bottom w:w="80" w:type="dxa"/>
              <w:right w:w="100" w:type="dxa"/>
            </w:tcMar>
            <w:vAlign w:val="center"/>
          </w:tcPr>
          <w:p w14:paraId="1DBE8134"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Week 9 - 18</w:t>
            </w:r>
          </w:p>
        </w:tc>
        <w:tc>
          <w:tcPr>
            <w:tcW w:w="3000" w:type="dxa"/>
            <w:shd w:val="clear" w:color="auto" w:fill="F2F5FB"/>
            <w:tcMar>
              <w:top w:w="80" w:type="dxa"/>
              <w:left w:w="100" w:type="dxa"/>
              <w:bottom w:w="80" w:type="dxa"/>
              <w:right w:w="100" w:type="dxa"/>
            </w:tcMar>
            <w:vAlign w:val="center"/>
          </w:tcPr>
          <w:p w14:paraId="306F72BF"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UAT sign-off obtained</w:t>
            </w:r>
          </w:p>
        </w:tc>
      </w:tr>
      <w:tr w:rsidR="004D2DBF" w:rsidRPr="00DC4321" w14:paraId="30121DD7"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7AAABD90"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4. Monitoring &amp; Control (cutover)</w:t>
            </w:r>
          </w:p>
        </w:tc>
        <w:tc>
          <w:tcPr>
            <w:tcW w:w="2600" w:type="dxa"/>
            <w:shd w:val="clear" w:color="auto" w:fill="FFFFFF"/>
            <w:tcMar>
              <w:top w:w="80" w:type="dxa"/>
              <w:left w:w="100" w:type="dxa"/>
              <w:bottom w:w="80" w:type="dxa"/>
              <w:right w:w="100" w:type="dxa"/>
            </w:tcMar>
            <w:vAlign w:val="center"/>
          </w:tcPr>
          <w:p w14:paraId="033733B4"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Week 19 - 21</w:t>
            </w:r>
          </w:p>
        </w:tc>
        <w:tc>
          <w:tcPr>
            <w:tcW w:w="3000" w:type="dxa"/>
            <w:shd w:val="clear" w:color="auto" w:fill="FFFFFF"/>
            <w:tcMar>
              <w:top w:w="80" w:type="dxa"/>
              <w:left w:w="100" w:type="dxa"/>
              <w:bottom w:w="80" w:type="dxa"/>
              <w:right w:w="100" w:type="dxa"/>
            </w:tcMar>
            <w:vAlign w:val="center"/>
          </w:tcPr>
          <w:p w14:paraId="77C73390"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Mock cutover rehearsal completed; go/no-go decision</w:t>
            </w:r>
          </w:p>
        </w:tc>
      </w:tr>
      <w:tr w:rsidR="004D2DBF" w:rsidRPr="00DC4321" w14:paraId="7FF9746D" w14:textId="77777777">
        <w:tblPrEx>
          <w:tblCellMar>
            <w:top w:w="0" w:type="dxa"/>
            <w:bottom w:w="0" w:type="dxa"/>
          </w:tblCellMar>
        </w:tblPrEx>
        <w:tc>
          <w:tcPr>
            <w:tcW w:w="3200" w:type="dxa"/>
            <w:shd w:val="clear" w:color="auto" w:fill="F2F5FB"/>
            <w:tcMar>
              <w:top w:w="80" w:type="dxa"/>
              <w:left w:w="100" w:type="dxa"/>
              <w:bottom w:w="80" w:type="dxa"/>
              <w:right w:w="100" w:type="dxa"/>
            </w:tcMar>
            <w:vAlign w:val="center"/>
          </w:tcPr>
          <w:p w14:paraId="420F9BB2"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Go-Live</w:t>
            </w:r>
          </w:p>
        </w:tc>
        <w:tc>
          <w:tcPr>
            <w:tcW w:w="2600" w:type="dxa"/>
            <w:shd w:val="clear" w:color="auto" w:fill="F2F5FB"/>
            <w:tcMar>
              <w:top w:w="80" w:type="dxa"/>
              <w:left w:w="100" w:type="dxa"/>
              <w:bottom w:w="80" w:type="dxa"/>
              <w:right w:w="100" w:type="dxa"/>
            </w:tcMar>
            <w:vAlign w:val="center"/>
          </w:tcPr>
          <w:p w14:paraId="6BD4C64A"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Week 22</w:t>
            </w:r>
          </w:p>
        </w:tc>
        <w:tc>
          <w:tcPr>
            <w:tcW w:w="3000" w:type="dxa"/>
            <w:shd w:val="clear" w:color="auto" w:fill="F2F5FB"/>
            <w:tcMar>
              <w:top w:w="80" w:type="dxa"/>
              <w:left w:w="100" w:type="dxa"/>
              <w:bottom w:w="80" w:type="dxa"/>
              <w:right w:w="100" w:type="dxa"/>
            </w:tcMar>
            <w:vAlign w:val="center"/>
          </w:tcPr>
          <w:p w14:paraId="5CC801C9"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SAP FI/CO live in production</w:t>
            </w:r>
          </w:p>
        </w:tc>
      </w:tr>
      <w:tr w:rsidR="004D2DBF" w:rsidRPr="00DC4321" w14:paraId="22D2FDA4" w14:textId="77777777">
        <w:tblPrEx>
          <w:tblCellMar>
            <w:top w:w="0" w:type="dxa"/>
            <w:bottom w:w="0" w:type="dxa"/>
          </w:tblCellMar>
        </w:tblPrEx>
        <w:tc>
          <w:tcPr>
            <w:tcW w:w="3200" w:type="dxa"/>
            <w:shd w:val="clear" w:color="auto" w:fill="FFFFFF"/>
            <w:tcMar>
              <w:top w:w="80" w:type="dxa"/>
              <w:left w:w="100" w:type="dxa"/>
              <w:bottom w:w="80" w:type="dxa"/>
              <w:right w:w="100" w:type="dxa"/>
            </w:tcMar>
            <w:vAlign w:val="center"/>
          </w:tcPr>
          <w:p w14:paraId="1FF475D5"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Hypercare</w:t>
            </w:r>
          </w:p>
        </w:tc>
        <w:tc>
          <w:tcPr>
            <w:tcW w:w="2600" w:type="dxa"/>
            <w:shd w:val="clear" w:color="auto" w:fill="FFFFFF"/>
            <w:tcMar>
              <w:top w:w="80" w:type="dxa"/>
              <w:left w:w="100" w:type="dxa"/>
              <w:bottom w:w="80" w:type="dxa"/>
              <w:right w:w="100" w:type="dxa"/>
            </w:tcMar>
            <w:vAlign w:val="center"/>
          </w:tcPr>
          <w:p w14:paraId="00592627"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Week 22 - 25</w:t>
            </w:r>
          </w:p>
        </w:tc>
        <w:tc>
          <w:tcPr>
            <w:tcW w:w="3000" w:type="dxa"/>
            <w:shd w:val="clear" w:color="auto" w:fill="FFFFFF"/>
            <w:tcMar>
              <w:top w:w="80" w:type="dxa"/>
              <w:left w:w="100" w:type="dxa"/>
              <w:bottom w:w="80" w:type="dxa"/>
              <w:right w:w="100" w:type="dxa"/>
            </w:tcMar>
            <w:vAlign w:val="center"/>
          </w:tcPr>
          <w:p w14:paraId="77195B5D"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Stabilization support; defect burn-down</w:t>
            </w:r>
          </w:p>
        </w:tc>
      </w:tr>
      <w:tr w:rsidR="004D2DBF" w:rsidRPr="00DC4321" w14:paraId="0E8798BE" w14:textId="77777777">
        <w:tblPrEx>
          <w:tblCellMar>
            <w:top w:w="0" w:type="dxa"/>
            <w:bottom w:w="0" w:type="dxa"/>
          </w:tblCellMar>
        </w:tblPrEx>
        <w:tc>
          <w:tcPr>
            <w:tcW w:w="3200" w:type="dxa"/>
            <w:shd w:val="clear" w:color="auto" w:fill="F2F5FB"/>
            <w:tcMar>
              <w:top w:w="80" w:type="dxa"/>
              <w:left w:w="100" w:type="dxa"/>
              <w:bottom w:w="80" w:type="dxa"/>
              <w:right w:w="100" w:type="dxa"/>
            </w:tcMar>
            <w:vAlign w:val="center"/>
          </w:tcPr>
          <w:p w14:paraId="13595260"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5. Closure</w:t>
            </w:r>
          </w:p>
        </w:tc>
        <w:tc>
          <w:tcPr>
            <w:tcW w:w="2600" w:type="dxa"/>
            <w:shd w:val="clear" w:color="auto" w:fill="F2F5FB"/>
            <w:tcMar>
              <w:top w:w="80" w:type="dxa"/>
              <w:left w:w="100" w:type="dxa"/>
              <w:bottom w:w="80" w:type="dxa"/>
              <w:right w:w="100" w:type="dxa"/>
            </w:tcMar>
            <w:vAlign w:val="center"/>
          </w:tcPr>
          <w:p w14:paraId="64B9DF8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Week 26</w:t>
            </w:r>
          </w:p>
        </w:tc>
        <w:tc>
          <w:tcPr>
            <w:tcW w:w="3000" w:type="dxa"/>
            <w:shd w:val="clear" w:color="auto" w:fill="F2F5FB"/>
            <w:tcMar>
              <w:top w:w="80" w:type="dxa"/>
              <w:left w:w="100" w:type="dxa"/>
              <w:bottom w:w="80" w:type="dxa"/>
              <w:right w:w="100" w:type="dxa"/>
            </w:tcMar>
            <w:vAlign w:val="center"/>
          </w:tcPr>
          <w:p w14:paraId="49C10FCA"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Formal project closure sign-off</w:t>
            </w:r>
          </w:p>
        </w:tc>
      </w:tr>
    </w:tbl>
    <w:p w14:paraId="44C24EB5" w14:textId="77777777" w:rsidR="00DC4321" w:rsidRDefault="00DC4321">
      <w:pPr>
        <w:pStyle w:val="Heading1"/>
        <w:pBdr>
          <w:bottom w:val="single" w:sz="6" w:space="4" w:color="2E74B5"/>
        </w:pBdr>
        <w:rPr>
          <w:rFonts w:ascii="Times New Roman" w:hAnsi="Times New Roman" w:cs="Times New Roman"/>
        </w:rPr>
      </w:pPr>
    </w:p>
    <w:p w14:paraId="083D5D7C" w14:textId="77777777" w:rsidR="00DC4321" w:rsidRDefault="00DC4321">
      <w:pPr>
        <w:pStyle w:val="Heading1"/>
        <w:pBdr>
          <w:bottom w:val="single" w:sz="6" w:space="4" w:color="2E74B5"/>
        </w:pBdr>
        <w:rPr>
          <w:rFonts w:ascii="Times New Roman" w:hAnsi="Times New Roman" w:cs="Times New Roman"/>
        </w:rPr>
      </w:pPr>
    </w:p>
    <w:p w14:paraId="02FB7B22" w14:textId="6D524566" w:rsidR="004D2DBF" w:rsidRPr="00DC4321" w:rsidRDefault="00000000">
      <w:pPr>
        <w:pStyle w:val="Heading1"/>
        <w:pBdr>
          <w:bottom w:val="single" w:sz="6" w:space="4" w:color="2E74B5"/>
        </w:pBdr>
        <w:rPr>
          <w:rFonts w:ascii="Times New Roman" w:hAnsi="Times New Roman" w:cs="Times New Roman"/>
        </w:rPr>
      </w:pPr>
      <w:r w:rsidRPr="00DC4321">
        <w:rPr>
          <w:rFonts w:ascii="Times New Roman" w:hAnsi="Times New Roman" w:cs="Times New Roman"/>
        </w:rPr>
        <w:lastRenderedPageBreak/>
        <w:t>8. Resource Allocation</w:t>
      </w:r>
    </w:p>
    <w:p w14:paraId="04AF6D1F"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Resource allocation is expressed in full-time-equivalent (FTE) weeks across the project duration. The implementation partner provides the functional and technical consulting resources; the client provides business process owners, the data migration lead, and the project manager.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1600"/>
        <w:gridCol w:w="1600"/>
        <w:gridCol w:w="1600"/>
      </w:tblGrid>
      <w:tr w:rsidR="004D2DBF" w:rsidRPr="00DC4321" w14:paraId="19E277F8"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58F9E05B"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Resource</w:t>
            </w:r>
          </w:p>
        </w:tc>
        <w:tc>
          <w:tcPr>
            <w:tcW w:w="1400" w:type="dxa"/>
            <w:shd w:val="clear" w:color="auto" w:fill="1F3864"/>
            <w:tcMar>
              <w:top w:w="80" w:type="dxa"/>
              <w:left w:w="100" w:type="dxa"/>
              <w:bottom w:w="80" w:type="dxa"/>
              <w:right w:w="100" w:type="dxa"/>
            </w:tcMar>
            <w:vAlign w:val="center"/>
          </w:tcPr>
          <w:p w14:paraId="0520E655"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Source</w:t>
            </w:r>
          </w:p>
        </w:tc>
        <w:tc>
          <w:tcPr>
            <w:tcW w:w="1600" w:type="dxa"/>
            <w:shd w:val="clear" w:color="auto" w:fill="1F3864"/>
            <w:tcMar>
              <w:top w:w="80" w:type="dxa"/>
              <w:left w:w="100" w:type="dxa"/>
              <w:bottom w:w="80" w:type="dxa"/>
              <w:right w:w="100" w:type="dxa"/>
            </w:tcMar>
            <w:vAlign w:val="center"/>
          </w:tcPr>
          <w:p w14:paraId="5A3108EB"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Phase 1-2</w:t>
            </w:r>
          </w:p>
        </w:tc>
        <w:tc>
          <w:tcPr>
            <w:tcW w:w="1600" w:type="dxa"/>
            <w:shd w:val="clear" w:color="auto" w:fill="1F3864"/>
            <w:tcMar>
              <w:top w:w="80" w:type="dxa"/>
              <w:left w:w="100" w:type="dxa"/>
              <w:bottom w:w="80" w:type="dxa"/>
              <w:right w:w="100" w:type="dxa"/>
            </w:tcMar>
            <w:vAlign w:val="center"/>
          </w:tcPr>
          <w:p w14:paraId="2630087F"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Phase 3</w:t>
            </w:r>
          </w:p>
        </w:tc>
        <w:tc>
          <w:tcPr>
            <w:tcW w:w="1600" w:type="dxa"/>
            <w:shd w:val="clear" w:color="auto" w:fill="1F3864"/>
            <w:tcMar>
              <w:top w:w="80" w:type="dxa"/>
              <w:left w:w="100" w:type="dxa"/>
              <w:bottom w:w="80" w:type="dxa"/>
              <w:right w:w="100" w:type="dxa"/>
            </w:tcMar>
            <w:vAlign w:val="center"/>
          </w:tcPr>
          <w:p w14:paraId="1BC2C3E9"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Phase 4-5</w:t>
            </w:r>
          </w:p>
        </w:tc>
      </w:tr>
      <w:tr w:rsidR="004D2DBF" w:rsidRPr="00DC4321" w14:paraId="04492E25" w14:textId="77777777">
        <w:tblPrEx>
          <w:tblCellMar>
            <w:top w:w="0" w:type="dxa"/>
            <w:bottom w:w="0" w:type="dxa"/>
          </w:tblCellMar>
        </w:tblPrEx>
        <w:tc>
          <w:tcPr>
            <w:tcW w:w="3000" w:type="dxa"/>
            <w:shd w:val="clear" w:color="auto" w:fill="F2F5FB"/>
            <w:tcMar>
              <w:top w:w="80" w:type="dxa"/>
              <w:left w:w="100" w:type="dxa"/>
              <w:bottom w:w="80" w:type="dxa"/>
              <w:right w:w="100" w:type="dxa"/>
            </w:tcMar>
            <w:vAlign w:val="center"/>
          </w:tcPr>
          <w:p w14:paraId="20213305"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Project Manager</w:t>
            </w:r>
          </w:p>
        </w:tc>
        <w:tc>
          <w:tcPr>
            <w:tcW w:w="1400" w:type="dxa"/>
            <w:shd w:val="clear" w:color="auto" w:fill="F2F5FB"/>
            <w:tcMar>
              <w:top w:w="80" w:type="dxa"/>
              <w:left w:w="100" w:type="dxa"/>
              <w:bottom w:w="80" w:type="dxa"/>
              <w:right w:w="100" w:type="dxa"/>
            </w:tcMar>
            <w:vAlign w:val="center"/>
          </w:tcPr>
          <w:p w14:paraId="34AF1D0F"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Client</w:t>
            </w:r>
          </w:p>
        </w:tc>
        <w:tc>
          <w:tcPr>
            <w:tcW w:w="1600" w:type="dxa"/>
            <w:shd w:val="clear" w:color="auto" w:fill="F2F5FB"/>
            <w:tcMar>
              <w:top w:w="80" w:type="dxa"/>
              <w:left w:w="100" w:type="dxa"/>
              <w:bottom w:w="80" w:type="dxa"/>
              <w:right w:w="100" w:type="dxa"/>
            </w:tcMar>
            <w:vAlign w:val="center"/>
          </w:tcPr>
          <w:p w14:paraId="3CFAA4E9"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1.0 FTE</w:t>
            </w:r>
          </w:p>
        </w:tc>
        <w:tc>
          <w:tcPr>
            <w:tcW w:w="1600" w:type="dxa"/>
            <w:shd w:val="clear" w:color="auto" w:fill="F2F5FB"/>
            <w:tcMar>
              <w:top w:w="80" w:type="dxa"/>
              <w:left w:w="100" w:type="dxa"/>
              <w:bottom w:w="80" w:type="dxa"/>
              <w:right w:w="100" w:type="dxa"/>
            </w:tcMar>
            <w:vAlign w:val="center"/>
          </w:tcPr>
          <w:p w14:paraId="76955E0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1.0 FTE</w:t>
            </w:r>
          </w:p>
        </w:tc>
        <w:tc>
          <w:tcPr>
            <w:tcW w:w="1600" w:type="dxa"/>
            <w:shd w:val="clear" w:color="auto" w:fill="F2F5FB"/>
            <w:tcMar>
              <w:top w:w="80" w:type="dxa"/>
              <w:left w:w="100" w:type="dxa"/>
              <w:bottom w:w="80" w:type="dxa"/>
              <w:right w:w="100" w:type="dxa"/>
            </w:tcMar>
            <w:vAlign w:val="center"/>
          </w:tcPr>
          <w:p w14:paraId="5B45152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0.75 FTE</w:t>
            </w:r>
          </w:p>
        </w:tc>
      </w:tr>
      <w:tr w:rsidR="004D2DBF" w:rsidRPr="00DC4321" w14:paraId="56967799"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067C0508"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SAP FICO Lead Consultant</w:t>
            </w:r>
          </w:p>
        </w:tc>
        <w:tc>
          <w:tcPr>
            <w:tcW w:w="1400" w:type="dxa"/>
            <w:shd w:val="clear" w:color="auto" w:fill="FFFFFF"/>
            <w:tcMar>
              <w:top w:w="80" w:type="dxa"/>
              <w:left w:w="100" w:type="dxa"/>
              <w:bottom w:w="80" w:type="dxa"/>
              <w:right w:w="100" w:type="dxa"/>
            </w:tcMar>
            <w:vAlign w:val="center"/>
          </w:tcPr>
          <w:p w14:paraId="5ED9B13C"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Partner</w:t>
            </w:r>
          </w:p>
        </w:tc>
        <w:tc>
          <w:tcPr>
            <w:tcW w:w="1600" w:type="dxa"/>
            <w:shd w:val="clear" w:color="auto" w:fill="FFFFFF"/>
            <w:tcMar>
              <w:top w:w="80" w:type="dxa"/>
              <w:left w:w="100" w:type="dxa"/>
              <w:bottom w:w="80" w:type="dxa"/>
              <w:right w:w="100" w:type="dxa"/>
            </w:tcMar>
            <w:vAlign w:val="center"/>
          </w:tcPr>
          <w:p w14:paraId="607146E0"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1.0 FTE</w:t>
            </w:r>
          </w:p>
        </w:tc>
        <w:tc>
          <w:tcPr>
            <w:tcW w:w="1600" w:type="dxa"/>
            <w:shd w:val="clear" w:color="auto" w:fill="FFFFFF"/>
            <w:tcMar>
              <w:top w:w="80" w:type="dxa"/>
              <w:left w:w="100" w:type="dxa"/>
              <w:bottom w:w="80" w:type="dxa"/>
              <w:right w:w="100" w:type="dxa"/>
            </w:tcMar>
            <w:vAlign w:val="center"/>
          </w:tcPr>
          <w:p w14:paraId="74B8F7C8"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1.0 FTE</w:t>
            </w:r>
          </w:p>
        </w:tc>
        <w:tc>
          <w:tcPr>
            <w:tcW w:w="1600" w:type="dxa"/>
            <w:shd w:val="clear" w:color="auto" w:fill="FFFFFF"/>
            <w:tcMar>
              <w:top w:w="80" w:type="dxa"/>
              <w:left w:w="100" w:type="dxa"/>
              <w:bottom w:w="80" w:type="dxa"/>
              <w:right w:w="100" w:type="dxa"/>
            </w:tcMar>
            <w:vAlign w:val="center"/>
          </w:tcPr>
          <w:p w14:paraId="7706AFE2"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0.5 FTE</w:t>
            </w:r>
          </w:p>
        </w:tc>
      </w:tr>
      <w:tr w:rsidR="004D2DBF" w:rsidRPr="00DC4321" w14:paraId="0D4EC8BF" w14:textId="77777777">
        <w:tblPrEx>
          <w:tblCellMar>
            <w:top w:w="0" w:type="dxa"/>
            <w:bottom w:w="0" w:type="dxa"/>
          </w:tblCellMar>
        </w:tblPrEx>
        <w:tc>
          <w:tcPr>
            <w:tcW w:w="3000" w:type="dxa"/>
            <w:shd w:val="clear" w:color="auto" w:fill="F2F5FB"/>
            <w:tcMar>
              <w:top w:w="80" w:type="dxa"/>
              <w:left w:w="100" w:type="dxa"/>
              <w:bottom w:w="80" w:type="dxa"/>
              <w:right w:w="100" w:type="dxa"/>
            </w:tcMar>
            <w:vAlign w:val="center"/>
          </w:tcPr>
          <w:p w14:paraId="65770438"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FI Functional Consultant</w:t>
            </w:r>
          </w:p>
        </w:tc>
        <w:tc>
          <w:tcPr>
            <w:tcW w:w="1400" w:type="dxa"/>
            <w:shd w:val="clear" w:color="auto" w:fill="F2F5FB"/>
            <w:tcMar>
              <w:top w:w="80" w:type="dxa"/>
              <w:left w:w="100" w:type="dxa"/>
              <w:bottom w:w="80" w:type="dxa"/>
              <w:right w:w="100" w:type="dxa"/>
            </w:tcMar>
            <w:vAlign w:val="center"/>
          </w:tcPr>
          <w:p w14:paraId="21E9B7CE"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Partner</w:t>
            </w:r>
          </w:p>
        </w:tc>
        <w:tc>
          <w:tcPr>
            <w:tcW w:w="1600" w:type="dxa"/>
            <w:shd w:val="clear" w:color="auto" w:fill="F2F5FB"/>
            <w:tcMar>
              <w:top w:w="80" w:type="dxa"/>
              <w:left w:w="100" w:type="dxa"/>
              <w:bottom w:w="80" w:type="dxa"/>
              <w:right w:w="100" w:type="dxa"/>
            </w:tcMar>
            <w:vAlign w:val="center"/>
          </w:tcPr>
          <w:p w14:paraId="1E3D1D0D"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0.75 FTE</w:t>
            </w:r>
          </w:p>
        </w:tc>
        <w:tc>
          <w:tcPr>
            <w:tcW w:w="1600" w:type="dxa"/>
            <w:shd w:val="clear" w:color="auto" w:fill="F2F5FB"/>
            <w:tcMar>
              <w:top w:w="80" w:type="dxa"/>
              <w:left w:w="100" w:type="dxa"/>
              <w:bottom w:w="80" w:type="dxa"/>
              <w:right w:w="100" w:type="dxa"/>
            </w:tcMar>
            <w:vAlign w:val="center"/>
          </w:tcPr>
          <w:p w14:paraId="29902C94"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1.0 FTE</w:t>
            </w:r>
          </w:p>
        </w:tc>
        <w:tc>
          <w:tcPr>
            <w:tcW w:w="1600" w:type="dxa"/>
            <w:shd w:val="clear" w:color="auto" w:fill="F2F5FB"/>
            <w:tcMar>
              <w:top w:w="80" w:type="dxa"/>
              <w:left w:w="100" w:type="dxa"/>
              <w:bottom w:w="80" w:type="dxa"/>
              <w:right w:w="100" w:type="dxa"/>
            </w:tcMar>
            <w:vAlign w:val="center"/>
          </w:tcPr>
          <w:p w14:paraId="1B0AEDBA"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0.5 FTE</w:t>
            </w:r>
          </w:p>
        </w:tc>
      </w:tr>
      <w:tr w:rsidR="004D2DBF" w:rsidRPr="00DC4321" w14:paraId="68D97A77"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22780880"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CO Functional Consultant</w:t>
            </w:r>
          </w:p>
        </w:tc>
        <w:tc>
          <w:tcPr>
            <w:tcW w:w="1400" w:type="dxa"/>
            <w:shd w:val="clear" w:color="auto" w:fill="FFFFFF"/>
            <w:tcMar>
              <w:top w:w="80" w:type="dxa"/>
              <w:left w:w="100" w:type="dxa"/>
              <w:bottom w:w="80" w:type="dxa"/>
              <w:right w:w="100" w:type="dxa"/>
            </w:tcMar>
            <w:vAlign w:val="center"/>
          </w:tcPr>
          <w:p w14:paraId="71EAEA6B"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Partner</w:t>
            </w:r>
          </w:p>
        </w:tc>
        <w:tc>
          <w:tcPr>
            <w:tcW w:w="1600" w:type="dxa"/>
            <w:shd w:val="clear" w:color="auto" w:fill="FFFFFF"/>
            <w:tcMar>
              <w:top w:w="80" w:type="dxa"/>
              <w:left w:w="100" w:type="dxa"/>
              <w:bottom w:w="80" w:type="dxa"/>
              <w:right w:w="100" w:type="dxa"/>
            </w:tcMar>
            <w:vAlign w:val="center"/>
          </w:tcPr>
          <w:p w14:paraId="5C2FF57E"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0.75 FTE</w:t>
            </w:r>
          </w:p>
        </w:tc>
        <w:tc>
          <w:tcPr>
            <w:tcW w:w="1600" w:type="dxa"/>
            <w:shd w:val="clear" w:color="auto" w:fill="FFFFFF"/>
            <w:tcMar>
              <w:top w:w="80" w:type="dxa"/>
              <w:left w:w="100" w:type="dxa"/>
              <w:bottom w:w="80" w:type="dxa"/>
              <w:right w:w="100" w:type="dxa"/>
            </w:tcMar>
            <w:vAlign w:val="center"/>
          </w:tcPr>
          <w:p w14:paraId="36E9CEE5"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1.0 FTE</w:t>
            </w:r>
          </w:p>
        </w:tc>
        <w:tc>
          <w:tcPr>
            <w:tcW w:w="1600" w:type="dxa"/>
            <w:shd w:val="clear" w:color="auto" w:fill="FFFFFF"/>
            <w:tcMar>
              <w:top w:w="80" w:type="dxa"/>
              <w:left w:w="100" w:type="dxa"/>
              <w:bottom w:w="80" w:type="dxa"/>
              <w:right w:w="100" w:type="dxa"/>
            </w:tcMar>
            <w:vAlign w:val="center"/>
          </w:tcPr>
          <w:p w14:paraId="42B30527"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0.5 FTE</w:t>
            </w:r>
          </w:p>
        </w:tc>
      </w:tr>
      <w:tr w:rsidR="004D2DBF" w:rsidRPr="00DC4321" w14:paraId="6DE47BCB" w14:textId="77777777">
        <w:tblPrEx>
          <w:tblCellMar>
            <w:top w:w="0" w:type="dxa"/>
            <w:bottom w:w="0" w:type="dxa"/>
          </w:tblCellMar>
        </w:tblPrEx>
        <w:tc>
          <w:tcPr>
            <w:tcW w:w="3000" w:type="dxa"/>
            <w:shd w:val="clear" w:color="auto" w:fill="F2F5FB"/>
            <w:tcMar>
              <w:top w:w="80" w:type="dxa"/>
              <w:left w:w="100" w:type="dxa"/>
              <w:bottom w:w="80" w:type="dxa"/>
              <w:right w:w="100" w:type="dxa"/>
            </w:tcMar>
            <w:vAlign w:val="center"/>
          </w:tcPr>
          <w:p w14:paraId="7A3C0423"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Data Migration Lead</w:t>
            </w:r>
          </w:p>
        </w:tc>
        <w:tc>
          <w:tcPr>
            <w:tcW w:w="1400" w:type="dxa"/>
            <w:shd w:val="clear" w:color="auto" w:fill="F2F5FB"/>
            <w:tcMar>
              <w:top w:w="80" w:type="dxa"/>
              <w:left w:w="100" w:type="dxa"/>
              <w:bottom w:w="80" w:type="dxa"/>
              <w:right w:w="100" w:type="dxa"/>
            </w:tcMar>
            <w:vAlign w:val="center"/>
          </w:tcPr>
          <w:p w14:paraId="6B77BBE8"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Client</w:t>
            </w:r>
          </w:p>
        </w:tc>
        <w:tc>
          <w:tcPr>
            <w:tcW w:w="1600" w:type="dxa"/>
            <w:shd w:val="clear" w:color="auto" w:fill="F2F5FB"/>
            <w:tcMar>
              <w:top w:w="80" w:type="dxa"/>
              <w:left w:w="100" w:type="dxa"/>
              <w:bottom w:w="80" w:type="dxa"/>
              <w:right w:w="100" w:type="dxa"/>
            </w:tcMar>
            <w:vAlign w:val="center"/>
          </w:tcPr>
          <w:p w14:paraId="6B70A399"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0.5 FTE</w:t>
            </w:r>
          </w:p>
        </w:tc>
        <w:tc>
          <w:tcPr>
            <w:tcW w:w="1600" w:type="dxa"/>
            <w:shd w:val="clear" w:color="auto" w:fill="F2F5FB"/>
            <w:tcMar>
              <w:top w:w="80" w:type="dxa"/>
              <w:left w:w="100" w:type="dxa"/>
              <w:bottom w:w="80" w:type="dxa"/>
              <w:right w:w="100" w:type="dxa"/>
            </w:tcMar>
            <w:vAlign w:val="center"/>
          </w:tcPr>
          <w:p w14:paraId="5B41093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1.0 FTE</w:t>
            </w:r>
          </w:p>
        </w:tc>
        <w:tc>
          <w:tcPr>
            <w:tcW w:w="1600" w:type="dxa"/>
            <w:shd w:val="clear" w:color="auto" w:fill="F2F5FB"/>
            <w:tcMar>
              <w:top w:w="80" w:type="dxa"/>
              <w:left w:w="100" w:type="dxa"/>
              <w:bottom w:w="80" w:type="dxa"/>
              <w:right w:w="100" w:type="dxa"/>
            </w:tcMar>
            <w:vAlign w:val="center"/>
          </w:tcPr>
          <w:p w14:paraId="690B345B"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0.25 FTE</w:t>
            </w:r>
          </w:p>
        </w:tc>
      </w:tr>
      <w:tr w:rsidR="004D2DBF" w:rsidRPr="00DC4321" w14:paraId="395FFDBB"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716E1ACC"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Basis/Technical Consultant</w:t>
            </w:r>
          </w:p>
        </w:tc>
        <w:tc>
          <w:tcPr>
            <w:tcW w:w="1400" w:type="dxa"/>
            <w:shd w:val="clear" w:color="auto" w:fill="FFFFFF"/>
            <w:tcMar>
              <w:top w:w="80" w:type="dxa"/>
              <w:left w:w="100" w:type="dxa"/>
              <w:bottom w:w="80" w:type="dxa"/>
              <w:right w:w="100" w:type="dxa"/>
            </w:tcMar>
            <w:vAlign w:val="center"/>
          </w:tcPr>
          <w:p w14:paraId="2806EE49"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Partner</w:t>
            </w:r>
          </w:p>
        </w:tc>
        <w:tc>
          <w:tcPr>
            <w:tcW w:w="1600" w:type="dxa"/>
            <w:shd w:val="clear" w:color="auto" w:fill="FFFFFF"/>
            <w:tcMar>
              <w:top w:w="80" w:type="dxa"/>
              <w:left w:w="100" w:type="dxa"/>
              <w:bottom w:w="80" w:type="dxa"/>
              <w:right w:w="100" w:type="dxa"/>
            </w:tcMar>
            <w:vAlign w:val="center"/>
          </w:tcPr>
          <w:p w14:paraId="2CF028D5"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0.5 FTE</w:t>
            </w:r>
          </w:p>
        </w:tc>
        <w:tc>
          <w:tcPr>
            <w:tcW w:w="1600" w:type="dxa"/>
            <w:shd w:val="clear" w:color="auto" w:fill="FFFFFF"/>
            <w:tcMar>
              <w:top w:w="80" w:type="dxa"/>
              <w:left w:w="100" w:type="dxa"/>
              <w:bottom w:w="80" w:type="dxa"/>
              <w:right w:w="100" w:type="dxa"/>
            </w:tcMar>
            <w:vAlign w:val="center"/>
          </w:tcPr>
          <w:p w14:paraId="145B43B4"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0.5 FTE</w:t>
            </w:r>
          </w:p>
        </w:tc>
        <w:tc>
          <w:tcPr>
            <w:tcW w:w="1600" w:type="dxa"/>
            <w:shd w:val="clear" w:color="auto" w:fill="FFFFFF"/>
            <w:tcMar>
              <w:top w:w="80" w:type="dxa"/>
              <w:left w:w="100" w:type="dxa"/>
              <w:bottom w:w="80" w:type="dxa"/>
              <w:right w:w="100" w:type="dxa"/>
            </w:tcMar>
            <w:vAlign w:val="center"/>
          </w:tcPr>
          <w:p w14:paraId="0C411F72"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0.5 FTE</w:t>
            </w:r>
          </w:p>
        </w:tc>
      </w:tr>
      <w:tr w:rsidR="004D2DBF" w:rsidRPr="00DC4321" w14:paraId="4EFF9451" w14:textId="77777777">
        <w:tblPrEx>
          <w:tblCellMar>
            <w:top w:w="0" w:type="dxa"/>
            <w:bottom w:w="0" w:type="dxa"/>
          </w:tblCellMar>
        </w:tblPrEx>
        <w:tc>
          <w:tcPr>
            <w:tcW w:w="3000" w:type="dxa"/>
            <w:shd w:val="clear" w:color="auto" w:fill="F2F5FB"/>
            <w:tcMar>
              <w:top w:w="80" w:type="dxa"/>
              <w:left w:w="100" w:type="dxa"/>
              <w:bottom w:w="80" w:type="dxa"/>
              <w:right w:w="100" w:type="dxa"/>
            </w:tcMar>
            <w:vAlign w:val="center"/>
          </w:tcPr>
          <w:p w14:paraId="3295B3F2"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Business Process Owners (x4)</w:t>
            </w:r>
          </w:p>
        </w:tc>
        <w:tc>
          <w:tcPr>
            <w:tcW w:w="1400" w:type="dxa"/>
            <w:shd w:val="clear" w:color="auto" w:fill="F2F5FB"/>
            <w:tcMar>
              <w:top w:w="80" w:type="dxa"/>
              <w:left w:w="100" w:type="dxa"/>
              <w:bottom w:w="80" w:type="dxa"/>
              <w:right w:w="100" w:type="dxa"/>
            </w:tcMar>
            <w:vAlign w:val="center"/>
          </w:tcPr>
          <w:p w14:paraId="3425098E"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Client</w:t>
            </w:r>
          </w:p>
        </w:tc>
        <w:tc>
          <w:tcPr>
            <w:tcW w:w="1600" w:type="dxa"/>
            <w:shd w:val="clear" w:color="auto" w:fill="F2F5FB"/>
            <w:tcMar>
              <w:top w:w="80" w:type="dxa"/>
              <w:left w:w="100" w:type="dxa"/>
              <w:bottom w:w="80" w:type="dxa"/>
              <w:right w:w="100" w:type="dxa"/>
            </w:tcMar>
            <w:vAlign w:val="center"/>
          </w:tcPr>
          <w:p w14:paraId="0BEC60BC"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0.3 FTE each</w:t>
            </w:r>
          </w:p>
        </w:tc>
        <w:tc>
          <w:tcPr>
            <w:tcW w:w="1600" w:type="dxa"/>
            <w:shd w:val="clear" w:color="auto" w:fill="F2F5FB"/>
            <w:tcMar>
              <w:top w:w="80" w:type="dxa"/>
              <w:left w:w="100" w:type="dxa"/>
              <w:bottom w:w="80" w:type="dxa"/>
              <w:right w:w="100" w:type="dxa"/>
            </w:tcMar>
            <w:vAlign w:val="center"/>
          </w:tcPr>
          <w:p w14:paraId="0647BF1A"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0.5 FTE each</w:t>
            </w:r>
          </w:p>
        </w:tc>
        <w:tc>
          <w:tcPr>
            <w:tcW w:w="1600" w:type="dxa"/>
            <w:shd w:val="clear" w:color="auto" w:fill="F2F5FB"/>
            <w:tcMar>
              <w:top w:w="80" w:type="dxa"/>
              <w:left w:w="100" w:type="dxa"/>
              <w:bottom w:w="80" w:type="dxa"/>
              <w:right w:w="100" w:type="dxa"/>
            </w:tcMar>
            <w:vAlign w:val="center"/>
          </w:tcPr>
          <w:p w14:paraId="097B01C5"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0.3 FTE each</w:t>
            </w:r>
          </w:p>
        </w:tc>
      </w:tr>
      <w:tr w:rsidR="004D2DBF" w:rsidRPr="00DC4321" w14:paraId="358B5BC5"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3DE9D8A5"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Training &amp; Change Lead</w:t>
            </w:r>
          </w:p>
        </w:tc>
        <w:tc>
          <w:tcPr>
            <w:tcW w:w="1400" w:type="dxa"/>
            <w:shd w:val="clear" w:color="auto" w:fill="FFFFFF"/>
            <w:tcMar>
              <w:top w:w="80" w:type="dxa"/>
              <w:left w:w="100" w:type="dxa"/>
              <w:bottom w:w="80" w:type="dxa"/>
              <w:right w:w="100" w:type="dxa"/>
            </w:tcMar>
            <w:vAlign w:val="center"/>
          </w:tcPr>
          <w:p w14:paraId="4F28F70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Client</w:t>
            </w:r>
          </w:p>
        </w:tc>
        <w:tc>
          <w:tcPr>
            <w:tcW w:w="1600" w:type="dxa"/>
            <w:shd w:val="clear" w:color="auto" w:fill="FFFFFF"/>
            <w:tcMar>
              <w:top w:w="80" w:type="dxa"/>
              <w:left w:w="100" w:type="dxa"/>
              <w:bottom w:w="80" w:type="dxa"/>
              <w:right w:w="100" w:type="dxa"/>
            </w:tcMar>
            <w:vAlign w:val="center"/>
          </w:tcPr>
          <w:p w14:paraId="71998D2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0.25 FTE</w:t>
            </w:r>
          </w:p>
        </w:tc>
        <w:tc>
          <w:tcPr>
            <w:tcW w:w="1600" w:type="dxa"/>
            <w:shd w:val="clear" w:color="auto" w:fill="FFFFFF"/>
            <w:tcMar>
              <w:top w:w="80" w:type="dxa"/>
              <w:left w:w="100" w:type="dxa"/>
              <w:bottom w:w="80" w:type="dxa"/>
              <w:right w:w="100" w:type="dxa"/>
            </w:tcMar>
            <w:vAlign w:val="center"/>
          </w:tcPr>
          <w:p w14:paraId="2AC8E131"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0.75 FTE</w:t>
            </w:r>
          </w:p>
        </w:tc>
        <w:tc>
          <w:tcPr>
            <w:tcW w:w="1600" w:type="dxa"/>
            <w:shd w:val="clear" w:color="auto" w:fill="FFFFFF"/>
            <w:tcMar>
              <w:top w:w="80" w:type="dxa"/>
              <w:left w:w="100" w:type="dxa"/>
              <w:bottom w:w="80" w:type="dxa"/>
              <w:right w:w="100" w:type="dxa"/>
            </w:tcMar>
            <w:vAlign w:val="center"/>
          </w:tcPr>
          <w:p w14:paraId="7773EE5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0.75 FTE</w:t>
            </w:r>
          </w:p>
        </w:tc>
      </w:tr>
    </w:tbl>
    <w:p w14:paraId="3E4C583A" w14:textId="77777777" w:rsidR="004D2DBF" w:rsidRPr="00DC4321" w:rsidRDefault="00000000">
      <w:pPr>
        <w:pStyle w:val="Heading1"/>
        <w:pBdr>
          <w:bottom w:val="single" w:sz="6" w:space="4" w:color="2E74B5"/>
        </w:pBdr>
        <w:rPr>
          <w:rFonts w:ascii="Times New Roman" w:hAnsi="Times New Roman" w:cs="Times New Roman"/>
        </w:rPr>
      </w:pPr>
      <w:r w:rsidRPr="00DC4321">
        <w:rPr>
          <w:rFonts w:ascii="Times New Roman" w:hAnsi="Times New Roman" w:cs="Times New Roman"/>
        </w:rPr>
        <w:t>9. Budget Estimate</w:t>
      </w:r>
    </w:p>
    <w:p w14:paraId="11E183BD"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The budget below is a planning-level estimate expressed in USD, intended to support Steering Committee approval. It will be refined into a detailed cost baseline during Phase 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600"/>
        <w:gridCol w:w="1600"/>
      </w:tblGrid>
      <w:tr w:rsidR="004D2DBF" w:rsidRPr="00DC4321" w14:paraId="67A52EFA"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138794E6"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Cost Category</w:t>
            </w:r>
          </w:p>
        </w:tc>
        <w:tc>
          <w:tcPr>
            <w:tcW w:w="4600" w:type="dxa"/>
            <w:shd w:val="clear" w:color="auto" w:fill="1F3864"/>
            <w:tcMar>
              <w:top w:w="80" w:type="dxa"/>
              <w:left w:w="100" w:type="dxa"/>
              <w:bottom w:w="80" w:type="dxa"/>
              <w:right w:w="100" w:type="dxa"/>
            </w:tcMar>
            <w:vAlign w:val="center"/>
          </w:tcPr>
          <w:p w14:paraId="5367E79D"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Description</w:t>
            </w:r>
          </w:p>
        </w:tc>
        <w:tc>
          <w:tcPr>
            <w:tcW w:w="1600" w:type="dxa"/>
            <w:shd w:val="clear" w:color="auto" w:fill="1F3864"/>
            <w:tcMar>
              <w:top w:w="80" w:type="dxa"/>
              <w:left w:w="100" w:type="dxa"/>
              <w:bottom w:w="80" w:type="dxa"/>
              <w:right w:w="100" w:type="dxa"/>
            </w:tcMar>
            <w:vAlign w:val="center"/>
          </w:tcPr>
          <w:p w14:paraId="542D4461"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Estimated Cost (USD)</w:t>
            </w:r>
          </w:p>
        </w:tc>
      </w:tr>
      <w:tr w:rsidR="004D2DBF" w:rsidRPr="00DC4321" w14:paraId="395190BC" w14:textId="77777777">
        <w:tblPrEx>
          <w:tblCellMar>
            <w:top w:w="0" w:type="dxa"/>
            <w:bottom w:w="0" w:type="dxa"/>
          </w:tblCellMar>
        </w:tblPrEx>
        <w:tc>
          <w:tcPr>
            <w:tcW w:w="3000" w:type="dxa"/>
            <w:shd w:val="clear" w:color="auto" w:fill="F2F5FB"/>
            <w:tcMar>
              <w:top w:w="80" w:type="dxa"/>
              <w:left w:w="100" w:type="dxa"/>
              <w:bottom w:w="80" w:type="dxa"/>
              <w:right w:w="100" w:type="dxa"/>
            </w:tcMar>
            <w:vAlign w:val="center"/>
          </w:tcPr>
          <w:p w14:paraId="470822AF"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SAP Licensing</w:t>
            </w:r>
          </w:p>
        </w:tc>
        <w:tc>
          <w:tcPr>
            <w:tcW w:w="4600" w:type="dxa"/>
            <w:shd w:val="clear" w:color="auto" w:fill="F2F5FB"/>
            <w:tcMar>
              <w:top w:w="80" w:type="dxa"/>
              <w:left w:w="100" w:type="dxa"/>
              <w:bottom w:w="80" w:type="dxa"/>
              <w:right w:w="100" w:type="dxa"/>
            </w:tcMar>
            <w:vAlign w:val="center"/>
          </w:tcPr>
          <w:p w14:paraId="1E2762B3"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S/4HANA Finance user licenses (indicative, based on ~60 named users)</w:t>
            </w:r>
          </w:p>
        </w:tc>
        <w:tc>
          <w:tcPr>
            <w:tcW w:w="1600" w:type="dxa"/>
            <w:shd w:val="clear" w:color="auto" w:fill="F2F5FB"/>
            <w:tcMar>
              <w:top w:w="80" w:type="dxa"/>
              <w:left w:w="100" w:type="dxa"/>
              <w:bottom w:w="80" w:type="dxa"/>
              <w:right w:w="100" w:type="dxa"/>
            </w:tcMar>
            <w:vAlign w:val="center"/>
          </w:tcPr>
          <w:p w14:paraId="68023FAC"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65,000</w:t>
            </w:r>
          </w:p>
        </w:tc>
      </w:tr>
      <w:tr w:rsidR="004D2DBF" w:rsidRPr="00DC4321" w14:paraId="360D8183"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092A61AE"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Implementation Partner Fees</w:t>
            </w:r>
          </w:p>
        </w:tc>
        <w:tc>
          <w:tcPr>
            <w:tcW w:w="4600" w:type="dxa"/>
            <w:shd w:val="clear" w:color="auto" w:fill="FFFFFF"/>
            <w:tcMar>
              <w:top w:w="80" w:type="dxa"/>
              <w:left w:w="100" w:type="dxa"/>
              <w:bottom w:w="80" w:type="dxa"/>
              <w:right w:w="100" w:type="dxa"/>
            </w:tcMar>
            <w:vAlign w:val="center"/>
          </w:tcPr>
          <w:p w14:paraId="39F1FA79"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Functional/technical consulting, Phases 1-5</w:t>
            </w:r>
          </w:p>
        </w:tc>
        <w:tc>
          <w:tcPr>
            <w:tcW w:w="1600" w:type="dxa"/>
            <w:shd w:val="clear" w:color="auto" w:fill="FFFFFF"/>
            <w:tcMar>
              <w:top w:w="80" w:type="dxa"/>
              <w:left w:w="100" w:type="dxa"/>
              <w:bottom w:w="80" w:type="dxa"/>
              <w:right w:w="100" w:type="dxa"/>
            </w:tcMar>
            <w:vAlign w:val="center"/>
          </w:tcPr>
          <w:p w14:paraId="1322B885"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140,000</w:t>
            </w:r>
          </w:p>
        </w:tc>
      </w:tr>
      <w:tr w:rsidR="004D2DBF" w:rsidRPr="00DC4321" w14:paraId="7EEC1182" w14:textId="77777777">
        <w:tblPrEx>
          <w:tblCellMar>
            <w:top w:w="0" w:type="dxa"/>
            <w:bottom w:w="0" w:type="dxa"/>
          </w:tblCellMar>
        </w:tblPrEx>
        <w:tc>
          <w:tcPr>
            <w:tcW w:w="3000" w:type="dxa"/>
            <w:shd w:val="clear" w:color="auto" w:fill="F2F5FB"/>
            <w:tcMar>
              <w:top w:w="80" w:type="dxa"/>
              <w:left w:w="100" w:type="dxa"/>
              <w:bottom w:w="80" w:type="dxa"/>
              <w:right w:w="100" w:type="dxa"/>
            </w:tcMar>
            <w:vAlign w:val="center"/>
          </w:tcPr>
          <w:p w14:paraId="3F2E4519"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Internal Resource Cost</w:t>
            </w:r>
          </w:p>
        </w:tc>
        <w:tc>
          <w:tcPr>
            <w:tcW w:w="4600" w:type="dxa"/>
            <w:shd w:val="clear" w:color="auto" w:fill="F2F5FB"/>
            <w:tcMar>
              <w:top w:w="80" w:type="dxa"/>
              <w:left w:w="100" w:type="dxa"/>
              <w:bottom w:w="80" w:type="dxa"/>
              <w:right w:w="100" w:type="dxa"/>
            </w:tcMar>
            <w:vAlign w:val="center"/>
          </w:tcPr>
          <w:p w14:paraId="6D1DA6FF"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Backfill / opportunity cost of client team time</w:t>
            </w:r>
          </w:p>
        </w:tc>
        <w:tc>
          <w:tcPr>
            <w:tcW w:w="1600" w:type="dxa"/>
            <w:shd w:val="clear" w:color="auto" w:fill="F2F5FB"/>
            <w:tcMar>
              <w:top w:w="80" w:type="dxa"/>
              <w:left w:w="100" w:type="dxa"/>
              <w:bottom w:w="80" w:type="dxa"/>
              <w:right w:w="100" w:type="dxa"/>
            </w:tcMar>
            <w:vAlign w:val="center"/>
          </w:tcPr>
          <w:p w14:paraId="259C7974"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35,000</w:t>
            </w:r>
          </w:p>
        </w:tc>
      </w:tr>
      <w:tr w:rsidR="004D2DBF" w:rsidRPr="00DC4321" w14:paraId="6868C56B"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4168952C"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Infrastructure &amp; Hosting</w:t>
            </w:r>
          </w:p>
        </w:tc>
        <w:tc>
          <w:tcPr>
            <w:tcW w:w="4600" w:type="dxa"/>
            <w:shd w:val="clear" w:color="auto" w:fill="FFFFFF"/>
            <w:tcMar>
              <w:top w:w="80" w:type="dxa"/>
              <w:left w:w="100" w:type="dxa"/>
              <w:bottom w:w="80" w:type="dxa"/>
              <w:right w:w="100" w:type="dxa"/>
            </w:tcMar>
            <w:vAlign w:val="center"/>
          </w:tcPr>
          <w:p w14:paraId="642F9704"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Sandbox, development, QA, and production environments (cloud-hosted)</w:t>
            </w:r>
          </w:p>
        </w:tc>
        <w:tc>
          <w:tcPr>
            <w:tcW w:w="1600" w:type="dxa"/>
            <w:shd w:val="clear" w:color="auto" w:fill="FFFFFF"/>
            <w:tcMar>
              <w:top w:w="80" w:type="dxa"/>
              <w:left w:w="100" w:type="dxa"/>
              <w:bottom w:w="80" w:type="dxa"/>
              <w:right w:w="100" w:type="dxa"/>
            </w:tcMar>
            <w:vAlign w:val="center"/>
          </w:tcPr>
          <w:p w14:paraId="10C1731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18,000</w:t>
            </w:r>
          </w:p>
        </w:tc>
      </w:tr>
      <w:tr w:rsidR="004D2DBF" w:rsidRPr="00DC4321" w14:paraId="73ECD77F" w14:textId="77777777">
        <w:tblPrEx>
          <w:tblCellMar>
            <w:top w:w="0" w:type="dxa"/>
            <w:bottom w:w="0" w:type="dxa"/>
          </w:tblCellMar>
        </w:tblPrEx>
        <w:tc>
          <w:tcPr>
            <w:tcW w:w="3000" w:type="dxa"/>
            <w:shd w:val="clear" w:color="auto" w:fill="F2F5FB"/>
            <w:tcMar>
              <w:top w:w="80" w:type="dxa"/>
              <w:left w:w="100" w:type="dxa"/>
              <w:bottom w:w="80" w:type="dxa"/>
              <w:right w:w="100" w:type="dxa"/>
            </w:tcMar>
            <w:vAlign w:val="center"/>
          </w:tcPr>
          <w:p w14:paraId="166A7D14"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Data Migration Tools</w:t>
            </w:r>
          </w:p>
        </w:tc>
        <w:tc>
          <w:tcPr>
            <w:tcW w:w="4600" w:type="dxa"/>
            <w:shd w:val="clear" w:color="auto" w:fill="F2F5FB"/>
            <w:tcMar>
              <w:top w:w="80" w:type="dxa"/>
              <w:left w:w="100" w:type="dxa"/>
              <w:bottom w:w="80" w:type="dxa"/>
              <w:right w:w="100" w:type="dxa"/>
            </w:tcMar>
            <w:vAlign w:val="center"/>
          </w:tcPr>
          <w:p w14:paraId="0E4D2EA0"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ETL/staging tooling and one-time cleansing effort</w:t>
            </w:r>
          </w:p>
        </w:tc>
        <w:tc>
          <w:tcPr>
            <w:tcW w:w="1600" w:type="dxa"/>
            <w:shd w:val="clear" w:color="auto" w:fill="F2F5FB"/>
            <w:tcMar>
              <w:top w:w="80" w:type="dxa"/>
              <w:left w:w="100" w:type="dxa"/>
              <w:bottom w:w="80" w:type="dxa"/>
              <w:right w:w="100" w:type="dxa"/>
            </w:tcMar>
            <w:vAlign w:val="center"/>
          </w:tcPr>
          <w:p w14:paraId="4202791B"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8,000</w:t>
            </w:r>
          </w:p>
        </w:tc>
      </w:tr>
      <w:tr w:rsidR="004D2DBF" w:rsidRPr="00DC4321" w14:paraId="320844BA"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60142968"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Training &amp; Change Management</w:t>
            </w:r>
          </w:p>
        </w:tc>
        <w:tc>
          <w:tcPr>
            <w:tcW w:w="4600" w:type="dxa"/>
            <w:shd w:val="clear" w:color="auto" w:fill="FFFFFF"/>
            <w:tcMar>
              <w:top w:w="80" w:type="dxa"/>
              <w:left w:w="100" w:type="dxa"/>
              <w:bottom w:w="80" w:type="dxa"/>
              <w:right w:w="100" w:type="dxa"/>
            </w:tcMar>
            <w:vAlign w:val="center"/>
          </w:tcPr>
          <w:p w14:paraId="008567CE"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Materials development, sessions, communication campaign</w:t>
            </w:r>
          </w:p>
        </w:tc>
        <w:tc>
          <w:tcPr>
            <w:tcW w:w="1600" w:type="dxa"/>
            <w:shd w:val="clear" w:color="auto" w:fill="FFFFFF"/>
            <w:tcMar>
              <w:top w:w="80" w:type="dxa"/>
              <w:left w:w="100" w:type="dxa"/>
              <w:bottom w:w="80" w:type="dxa"/>
              <w:right w:w="100" w:type="dxa"/>
            </w:tcMar>
            <w:vAlign w:val="center"/>
          </w:tcPr>
          <w:p w14:paraId="18EC0854"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9,000</w:t>
            </w:r>
          </w:p>
        </w:tc>
      </w:tr>
      <w:tr w:rsidR="004D2DBF" w:rsidRPr="00DC4321" w14:paraId="0736D172" w14:textId="77777777">
        <w:tblPrEx>
          <w:tblCellMar>
            <w:top w:w="0" w:type="dxa"/>
            <w:bottom w:w="0" w:type="dxa"/>
          </w:tblCellMar>
        </w:tblPrEx>
        <w:tc>
          <w:tcPr>
            <w:tcW w:w="3000" w:type="dxa"/>
            <w:shd w:val="clear" w:color="auto" w:fill="F2F5FB"/>
            <w:tcMar>
              <w:top w:w="80" w:type="dxa"/>
              <w:left w:w="100" w:type="dxa"/>
              <w:bottom w:w="80" w:type="dxa"/>
              <w:right w:w="100" w:type="dxa"/>
            </w:tcMar>
            <w:vAlign w:val="center"/>
          </w:tcPr>
          <w:p w14:paraId="02415A1F"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Contingency Reserve (~4%)</w:t>
            </w:r>
          </w:p>
        </w:tc>
        <w:tc>
          <w:tcPr>
            <w:tcW w:w="4600" w:type="dxa"/>
            <w:shd w:val="clear" w:color="auto" w:fill="F2F5FB"/>
            <w:tcMar>
              <w:top w:w="80" w:type="dxa"/>
              <w:left w:w="100" w:type="dxa"/>
              <w:bottom w:w="80" w:type="dxa"/>
              <w:right w:w="100" w:type="dxa"/>
            </w:tcMar>
            <w:vAlign w:val="center"/>
          </w:tcPr>
          <w:p w14:paraId="202AF81F"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Management reserve for identified and unforeseen risk</w:t>
            </w:r>
          </w:p>
        </w:tc>
        <w:tc>
          <w:tcPr>
            <w:tcW w:w="1600" w:type="dxa"/>
            <w:shd w:val="clear" w:color="auto" w:fill="F2F5FB"/>
            <w:tcMar>
              <w:top w:w="80" w:type="dxa"/>
              <w:left w:w="100" w:type="dxa"/>
              <w:bottom w:w="80" w:type="dxa"/>
              <w:right w:w="100" w:type="dxa"/>
            </w:tcMar>
            <w:vAlign w:val="center"/>
          </w:tcPr>
          <w:p w14:paraId="2B7D7679"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10,000</w:t>
            </w:r>
          </w:p>
        </w:tc>
      </w:tr>
      <w:tr w:rsidR="004D2DBF" w:rsidRPr="00DC4321" w14:paraId="722DF4D0" w14:textId="77777777">
        <w:tblPrEx>
          <w:tblCellMar>
            <w:top w:w="0" w:type="dxa"/>
            <w:bottom w:w="0" w:type="dxa"/>
          </w:tblCellMar>
        </w:tblPrEx>
        <w:tc>
          <w:tcPr>
            <w:tcW w:w="3000" w:type="dxa"/>
            <w:shd w:val="clear" w:color="auto" w:fill="FFFFFF"/>
            <w:tcMar>
              <w:top w:w="80" w:type="dxa"/>
              <w:left w:w="100" w:type="dxa"/>
              <w:bottom w:w="80" w:type="dxa"/>
              <w:right w:w="100" w:type="dxa"/>
            </w:tcMar>
            <w:vAlign w:val="center"/>
          </w:tcPr>
          <w:p w14:paraId="5D0DB733"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Total Estimated Budget</w:t>
            </w:r>
          </w:p>
        </w:tc>
        <w:tc>
          <w:tcPr>
            <w:tcW w:w="4600" w:type="dxa"/>
            <w:shd w:val="clear" w:color="auto" w:fill="FFFFFF"/>
            <w:tcMar>
              <w:top w:w="80" w:type="dxa"/>
              <w:left w:w="100" w:type="dxa"/>
              <w:bottom w:w="80" w:type="dxa"/>
              <w:right w:w="100" w:type="dxa"/>
            </w:tcMar>
            <w:vAlign w:val="center"/>
          </w:tcPr>
          <w:p w14:paraId="723A0B3C" w14:textId="77777777" w:rsidR="004D2DBF" w:rsidRPr="00DC4321" w:rsidRDefault="004D2DBF">
            <w:pPr>
              <w:rPr>
                <w:rFonts w:ascii="Times New Roman" w:hAnsi="Times New Roman" w:cs="Times New Roman"/>
              </w:rPr>
            </w:pPr>
          </w:p>
        </w:tc>
        <w:tc>
          <w:tcPr>
            <w:tcW w:w="1600" w:type="dxa"/>
            <w:shd w:val="clear" w:color="auto" w:fill="FFFFFF"/>
            <w:tcMar>
              <w:top w:w="80" w:type="dxa"/>
              <w:left w:w="100" w:type="dxa"/>
              <w:bottom w:w="80" w:type="dxa"/>
              <w:right w:w="100" w:type="dxa"/>
            </w:tcMar>
            <w:vAlign w:val="center"/>
          </w:tcPr>
          <w:p w14:paraId="37CDEDF0"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285,000</w:t>
            </w:r>
          </w:p>
        </w:tc>
      </w:tr>
    </w:tbl>
    <w:p w14:paraId="6815CD97" w14:textId="77777777" w:rsidR="004D2DBF" w:rsidRPr="00DC4321" w:rsidRDefault="00000000">
      <w:pPr>
        <w:rPr>
          <w:rFonts w:ascii="Times New Roman" w:hAnsi="Times New Roman" w:cs="Times New Roman"/>
        </w:rPr>
      </w:pPr>
      <w:r w:rsidRPr="00DC4321">
        <w:rPr>
          <w:rFonts w:ascii="Times New Roman" w:hAnsi="Times New Roman" w:cs="Times New Roman"/>
        </w:rPr>
        <w:br w:type="page"/>
      </w:r>
    </w:p>
    <w:p w14:paraId="277D07C7" w14:textId="77777777" w:rsidR="004D2DBF" w:rsidRPr="00DC4321" w:rsidRDefault="00000000">
      <w:pPr>
        <w:pStyle w:val="Heading1"/>
        <w:pBdr>
          <w:bottom w:val="single" w:sz="6" w:space="4" w:color="2E74B5"/>
        </w:pBdr>
        <w:rPr>
          <w:rFonts w:ascii="Times New Roman" w:hAnsi="Times New Roman" w:cs="Times New Roman"/>
        </w:rPr>
      </w:pPr>
      <w:r w:rsidRPr="00DC4321">
        <w:rPr>
          <w:rFonts w:ascii="Times New Roman" w:hAnsi="Times New Roman" w:cs="Times New Roman"/>
        </w:rPr>
        <w:lastRenderedPageBreak/>
        <w:t>10. Risk Assessment and Mitigation Strategy</w:t>
      </w:r>
    </w:p>
    <w:p w14:paraId="02A022AE"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Risks are scored on Likelihood (L) and Impact (I) using a 1-5 scale, with the Risk Score calculated as L x I. Scores of 15+ are treated as high priority and reviewed at every Steering Committee meeting.</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00"/>
        <w:gridCol w:w="600"/>
        <w:gridCol w:w="800"/>
        <w:gridCol w:w="3400"/>
      </w:tblGrid>
      <w:tr w:rsidR="004D2DBF" w:rsidRPr="00DC4321" w14:paraId="0A514EA7"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545F2854"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Risk</w:t>
            </w:r>
          </w:p>
        </w:tc>
        <w:tc>
          <w:tcPr>
            <w:tcW w:w="600" w:type="dxa"/>
            <w:shd w:val="clear" w:color="auto" w:fill="1F3864"/>
            <w:tcMar>
              <w:top w:w="80" w:type="dxa"/>
              <w:left w:w="100" w:type="dxa"/>
              <w:bottom w:w="80" w:type="dxa"/>
              <w:right w:w="100" w:type="dxa"/>
            </w:tcMar>
            <w:vAlign w:val="center"/>
          </w:tcPr>
          <w:p w14:paraId="619B046B"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L</w:t>
            </w:r>
          </w:p>
        </w:tc>
        <w:tc>
          <w:tcPr>
            <w:tcW w:w="600" w:type="dxa"/>
            <w:shd w:val="clear" w:color="auto" w:fill="1F3864"/>
            <w:tcMar>
              <w:top w:w="80" w:type="dxa"/>
              <w:left w:w="100" w:type="dxa"/>
              <w:bottom w:w="80" w:type="dxa"/>
              <w:right w:w="100" w:type="dxa"/>
            </w:tcMar>
            <w:vAlign w:val="center"/>
          </w:tcPr>
          <w:p w14:paraId="13056EEA"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I</w:t>
            </w:r>
          </w:p>
        </w:tc>
        <w:tc>
          <w:tcPr>
            <w:tcW w:w="800" w:type="dxa"/>
            <w:shd w:val="clear" w:color="auto" w:fill="1F3864"/>
            <w:tcMar>
              <w:top w:w="80" w:type="dxa"/>
              <w:left w:w="100" w:type="dxa"/>
              <w:bottom w:w="80" w:type="dxa"/>
              <w:right w:w="100" w:type="dxa"/>
            </w:tcMar>
            <w:vAlign w:val="center"/>
          </w:tcPr>
          <w:p w14:paraId="527CCC04"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Score</w:t>
            </w:r>
          </w:p>
        </w:tc>
        <w:tc>
          <w:tcPr>
            <w:tcW w:w="3400" w:type="dxa"/>
            <w:shd w:val="clear" w:color="auto" w:fill="1F3864"/>
            <w:tcMar>
              <w:top w:w="80" w:type="dxa"/>
              <w:left w:w="100" w:type="dxa"/>
              <w:bottom w:w="80" w:type="dxa"/>
              <w:right w:w="100" w:type="dxa"/>
            </w:tcMar>
            <w:vAlign w:val="center"/>
          </w:tcPr>
          <w:p w14:paraId="18AB9A76"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Mitigation Strategy</w:t>
            </w:r>
          </w:p>
        </w:tc>
      </w:tr>
      <w:tr w:rsidR="004D2DBF" w:rsidRPr="00DC4321" w14:paraId="2D27094E" w14:textId="77777777">
        <w:tblPrEx>
          <w:tblCellMar>
            <w:top w:w="0" w:type="dxa"/>
            <w:bottom w:w="0" w:type="dxa"/>
          </w:tblCellMar>
        </w:tblPrEx>
        <w:tc>
          <w:tcPr>
            <w:tcW w:w="3400" w:type="dxa"/>
            <w:shd w:val="clear" w:color="auto" w:fill="F2F5FB"/>
            <w:tcMar>
              <w:top w:w="80" w:type="dxa"/>
              <w:left w:w="100" w:type="dxa"/>
              <w:bottom w:w="80" w:type="dxa"/>
              <w:right w:w="100" w:type="dxa"/>
            </w:tcMar>
            <w:vAlign w:val="center"/>
          </w:tcPr>
          <w:p w14:paraId="6C430F78"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 xml:space="preserve">Poor master data quality (GL accounts, vendor/customer, cost </w:t>
            </w:r>
            <w:proofErr w:type="spellStart"/>
            <w:r w:rsidRPr="00DC4321">
              <w:rPr>
                <w:rFonts w:ascii="Times New Roman" w:hAnsi="Times New Roman" w:cs="Times New Roman"/>
                <w:color w:val="000000"/>
                <w:sz w:val="20"/>
                <w:szCs w:val="20"/>
              </w:rPr>
              <w:t>centers</w:t>
            </w:r>
            <w:proofErr w:type="spellEnd"/>
            <w:r w:rsidRPr="00DC4321">
              <w:rPr>
                <w:rFonts w:ascii="Times New Roman" w:hAnsi="Times New Roman" w:cs="Times New Roman"/>
                <w:color w:val="000000"/>
                <w:sz w:val="20"/>
                <w:szCs w:val="20"/>
              </w:rPr>
              <w:t>) delays migration</w:t>
            </w:r>
          </w:p>
        </w:tc>
        <w:tc>
          <w:tcPr>
            <w:tcW w:w="600" w:type="dxa"/>
            <w:shd w:val="clear" w:color="auto" w:fill="F2F5FB"/>
            <w:tcMar>
              <w:top w:w="80" w:type="dxa"/>
              <w:left w:w="100" w:type="dxa"/>
              <w:bottom w:w="80" w:type="dxa"/>
              <w:right w:w="100" w:type="dxa"/>
            </w:tcMar>
            <w:vAlign w:val="center"/>
          </w:tcPr>
          <w:p w14:paraId="63B54E4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4</w:t>
            </w:r>
          </w:p>
        </w:tc>
        <w:tc>
          <w:tcPr>
            <w:tcW w:w="600" w:type="dxa"/>
            <w:shd w:val="clear" w:color="auto" w:fill="F2F5FB"/>
            <w:tcMar>
              <w:top w:w="80" w:type="dxa"/>
              <w:left w:w="100" w:type="dxa"/>
              <w:bottom w:w="80" w:type="dxa"/>
              <w:right w:w="100" w:type="dxa"/>
            </w:tcMar>
            <w:vAlign w:val="center"/>
          </w:tcPr>
          <w:p w14:paraId="3D88D1FC"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5</w:t>
            </w:r>
          </w:p>
        </w:tc>
        <w:tc>
          <w:tcPr>
            <w:tcW w:w="800" w:type="dxa"/>
            <w:shd w:val="clear" w:color="auto" w:fill="F2F5FB"/>
            <w:tcMar>
              <w:top w:w="80" w:type="dxa"/>
              <w:left w:w="100" w:type="dxa"/>
              <w:bottom w:w="80" w:type="dxa"/>
              <w:right w:w="100" w:type="dxa"/>
            </w:tcMar>
            <w:vAlign w:val="center"/>
          </w:tcPr>
          <w:p w14:paraId="44EC825E"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20</w:t>
            </w:r>
          </w:p>
        </w:tc>
        <w:tc>
          <w:tcPr>
            <w:tcW w:w="3400" w:type="dxa"/>
            <w:shd w:val="clear" w:color="auto" w:fill="F2F5FB"/>
            <w:tcMar>
              <w:top w:w="80" w:type="dxa"/>
              <w:left w:w="100" w:type="dxa"/>
              <w:bottom w:w="80" w:type="dxa"/>
              <w:right w:w="100" w:type="dxa"/>
            </w:tcMar>
            <w:vAlign w:val="center"/>
          </w:tcPr>
          <w:p w14:paraId="4052377A"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Run a dedicated data quality workstream from Week 4; perform mock loads with defect tracking before final migration.</w:t>
            </w:r>
          </w:p>
        </w:tc>
      </w:tr>
      <w:tr w:rsidR="004D2DBF" w:rsidRPr="00DC4321" w14:paraId="46284865"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4D9CC1D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Scope creep from business units requesting customization beyond fit-to-standard</w:t>
            </w:r>
          </w:p>
        </w:tc>
        <w:tc>
          <w:tcPr>
            <w:tcW w:w="600" w:type="dxa"/>
            <w:shd w:val="clear" w:color="auto" w:fill="FFFFFF"/>
            <w:tcMar>
              <w:top w:w="80" w:type="dxa"/>
              <w:left w:w="100" w:type="dxa"/>
              <w:bottom w:w="80" w:type="dxa"/>
              <w:right w:w="100" w:type="dxa"/>
            </w:tcMar>
            <w:vAlign w:val="center"/>
          </w:tcPr>
          <w:p w14:paraId="11C51A0B"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4</w:t>
            </w:r>
          </w:p>
        </w:tc>
        <w:tc>
          <w:tcPr>
            <w:tcW w:w="600" w:type="dxa"/>
            <w:shd w:val="clear" w:color="auto" w:fill="FFFFFF"/>
            <w:tcMar>
              <w:top w:w="80" w:type="dxa"/>
              <w:left w:w="100" w:type="dxa"/>
              <w:bottom w:w="80" w:type="dxa"/>
              <w:right w:w="100" w:type="dxa"/>
            </w:tcMar>
            <w:vAlign w:val="center"/>
          </w:tcPr>
          <w:p w14:paraId="5184CFAB"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4</w:t>
            </w:r>
          </w:p>
        </w:tc>
        <w:tc>
          <w:tcPr>
            <w:tcW w:w="800" w:type="dxa"/>
            <w:shd w:val="clear" w:color="auto" w:fill="FFFFFF"/>
            <w:tcMar>
              <w:top w:w="80" w:type="dxa"/>
              <w:left w:w="100" w:type="dxa"/>
              <w:bottom w:w="80" w:type="dxa"/>
              <w:right w:w="100" w:type="dxa"/>
            </w:tcMar>
            <w:vAlign w:val="center"/>
          </w:tcPr>
          <w:p w14:paraId="6F1FAB62"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16</w:t>
            </w:r>
          </w:p>
        </w:tc>
        <w:tc>
          <w:tcPr>
            <w:tcW w:w="3400" w:type="dxa"/>
            <w:shd w:val="clear" w:color="auto" w:fill="FFFFFF"/>
            <w:tcMar>
              <w:top w:w="80" w:type="dxa"/>
              <w:left w:w="100" w:type="dxa"/>
              <w:bottom w:w="80" w:type="dxa"/>
              <w:right w:w="100" w:type="dxa"/>
            </w:tcMar>
            <w:vAlign w:val="center"/>
          </w:tcPr>
          <w:p w14:paraId="2CFECDC2"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Enforce formal change control; require Steering Committee sign-off for any scope change with cost/schedule impact.</w:t>
            </w:r>
          </w:p>
        </w:tc>
      </w:tr>
      <w:tr w:rsidR="004D2DBF" w:rsidRPr="00DC4321" w14:paraId="71E20188" w14:textId="77777777">
        <w:tblPrEx>
          <w:tblCellMar>
            <w:top w:w="0" w:type="dxa"/>
            <w:bottom w:w="0" w:type="dxa"/>
          </w:tblCellMar>
        </w:tblPrEx>
        <w:tc>
          <w:tcPr>
            <w:tcW w:w="3400" w:type="dxa"/>
            <w:shd w:val="clear" w:color="auto" w:fill="F2F5FB"/>
            <w:tcMar>
              <w:top w:w="80" w:type="dxa"/>
              <w:left w:w="100" w:type="dxa"/>
              <w:bottom w:w="80" w:type="dxa"/>
              <w:right w:w="100" w:type="dxa"/>
            </w:tcMar>
            <w:vAlign w:val="center"/>
          </w:tcPr>
          <w:p w14:paraId="126E1805"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End-user resistance to new processes and system</w:t>
            </w:r>
          </w:p>
        </w:tc>
        <w:tc>
          <w:tcPr>
            <w:tcW w:w="600" w:type="dxa"/>
            <w:shd w:val="clear" w:color="auto" w:fill="F2F5FB"/>
            <w:tcMar>
              <w:top w:w="80" w:type="dxa"/>
              <w:left w:w="100" w:type="dxa"/>
              <w:bottom w:w="80" w:type="dxa"/>
              <w:right w:w="100" w:type="dxa"/>
            </w:tcMar>
            <w:vAlign w:val="center"/>
          </w:tcPr>
          <w:p w14:paraId="249C3CAD"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3</w:t>
            </w:r>
          </w:p>
        </w:tc>
        <w:tc>
          <w:tcPr>
            <w:tcW w:w="600" w:type="dxa"/>
            <w:shd w:val="clear" w:color="auto" w:fill="F2F5FB"/>
            <w:tcMar>
              <w:top w:w="80" w:type="dxa"/>
              <w:left w:w="100" w:type="dxa"/>
              <w:bottom w:w="80" w:type="dxa"/>
              <w:right w:w="100" w:type="dxa"/>
            </w:tcMar>
            <w:vAlign w:val="center"/>
          </w:tcPr>
          <w:p w14:paraId="18D08FEB"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4</w:t>
            </w:r>
          </w:p>
        </w:tc>
        <w:tc>
          <w:tcPr>
            <w:tcW w:w="800" w:type="dxa"/>
            <w:shd w:val="clear" w:color="auto" w:fill="F2F5FB"/>
            <w:tcMar>
              <w:top w:w="80" w:type="dxa"/>
              <w:left w:w="100" w:type="dxa"/>
              <w:bottom w:w="80" w:type="dxa"/>
              <w:right w:w="100" w:type="dxa"/>
            </w:tcMar>
            <w:vAlign w:val="center"/>
          </w:tcPr>
          <w:p w14:paraId="142DE06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12</w:t>
            </w:r>
          </w:p>
        </w:tc>
        <w:tc>
          <w:tcPr>
            <w:tcW w:w="3400" w:type="dxa"/>
            <w:shd w:val="clear" w:color="auto" w:fill="F2F5FB"/>
            <w:tcMar>
              <w:top w:w="80" w:type="dxa"/>
              <w:left w:w="100" w:type="dxa"/>
              <w:bottom w:w="80" w:type="dxa"/>
              <w:right w:w="100" w:type="dxa"/>
            </w:tcMar>
            <w:vAlign w:val="center"/>
          </w:tcPr>
          <w:p w14:paraId="3F065B1B"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Start change management and communication in Phase 1; involve process owners early; run structured training with hands-on sandboxes.</w:t>
            </w:r>
          </w:p>
        </w:tc>
      </w:tr>
      <w:tr w:rsidR="004D2DBF" w:rsidRPr="00DC4321" w14:paraId="5FA8698A"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0661BFBD"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Key resource unavailability (client SMEs pulled to other priorities)</w:t>
            </w:r>
          </w:p>
        </w:tc>
        <w:tc>
          <w:tcPr>
            <w:tcW w:w="600" w:type="dxa"/>
            <w:shd w:val="clear" w:color="auto" w:fill="FFFFFF"/>
            <w:tcMar>
              <w:top w:w="80" w:type="dxa"/>
              <w:left w:w="100" w:type="dxa"/>
              <w:bottom w:w="80" w:type="dxa"/>
              <w:right w:w="100" w:type="dxa"/>
            </w:tcMar>
            <w:vAlign w:val="center"/>
          </w:tcPr>
          <w:p w14:paraId="6F05568D"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3</w:t>
            </w:r>
          </w:p>
        </w:tc>
        <w:tc>
          <w:tcPr>
            <w:tcW w:w="600" w:type="dxa"/>
            <w:shd w:val="clear" w:color="auto" w:fill="FFFFFF"/>
            <w:tcMar>
              <w:top w:w="80" w:type="dxa"/>
              <w:left w:w="100" w:type="dxa"/>
              <w:bottom w:w="80" w:type="dxa"/>
              <w:right w:w="100" w:type="dxa"/>
            </w:tcMar>
            <w:vAlign w:val="center"/>
          </w:tcPr>
          <w:p w14:paraId="3AD6557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4</w:t>
            </w:r>
          </w:p>
        </w:tc>
        <w:tc>
          <w:tcPr>
            <w:tcW w:w="800" w:type="dxa"/>
            <w:shd w:val="clear" w:color="auto" w:fill="FFFFFF"/>
            <w:tcMar>
              <w:top w:w="80" w:type="dxa"/>
              <w:left w:w="100" w:type="dxa"/>
              <w:bottom w:w="80" w:type="dxa"/>
              <w:right w:w="100" w:type="dxa"/>
            </w:tcMar>
            <w:vAlign w:val="center"/>
          </w:tcPr>
          <w:p w14:paraId="4B995B9F"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12</w:t>
            </w:r>
          </w:p>
        </w:tc>
        <w:tc>
          <w:tcPr>
            <w:tcW w:w="3400" w:type="dxa"/>
            <w:shd w:val="clear" w:color="auto" w:fill="FFFFFF"/>
            <w:tcMar>
              <w:top w:w="80" w:type="dxa"/>
              <w:left w:w="100" w:type="dxa"/>
              <w:bottom w:w="80" w:type="dxa"/>
              <w:right w:w="100" w:type="dxa"/>
            </w:tcMar>
            <w:vAlign w:val="center"/>
          </w:tcPr>
          <w:p w14:paraId="555CAEBD"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Formalize resource commitments in the charter; secure sponsor backing to protect allocated time.</w:t>
            </w:r>
          </w:p>
        </w:tc>
      </w:tr>
      <w:tr w:rsidR="004D2DBF" w:rsidRPr="00DC4321" w14:paraId="316B3544" w14:textId="77777777">
        <w:tblPrEx>
          <w:tblCellMar>
            <w:top w:w="0" w:type="dxa"/>
            <w:bottom w:w="0" w:type="dxa"/>
          </w:tblCellMar>
        </w:tblPrEx>
        <w:tc>
          <w:tcPr>
            <w:tcW w:w="3400" w:type="dxa"/>
            <w:shd w:val="clear" w:color="auto" w:fill="F2F5FB"/>
            <w:tcMar>
              <w:top w:w="80" w:type="dxa"/>
              <w:left w:w="100" w:type="dxa"/>
              <w:bottom w:w="80" w:type="dxa"/>
              <w:right w:w="100" w:type="dxa"/>
            </w:tcMar>
            <w:vAlign w:val="center"/>
          </w:tcPr>
          <w:p w14:paraId="5AE5CE04"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Integration defects between FI-CO and legacy/interim systems</w:t>
            </w:r>
          </w:p>
        </w:tc>
        <w:tc>
          <w:tcPr>
            <w:tcW w:w="600" w:type="dxa"/>
            <w:shd w:val="clear" w:color="auto" w:fill="F2F5FB"/>
            <w:tcMar>
              <w:top w:w="80" w:type="dxa"/>
              <w:left w:w="100" w:type="dxa"/>
              <w:bottom w:w="80" w:type="dxa"/>
              <w:right w:w="100" w:type="dxa"/>
            </w:tcMar>
            <w:vAlign w:val="center"/>
          </w:tcPr>
          <w:p w14:paraId="3D1D4519"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3</w:t>
            </w:r>
          </w:p>
        </w:tc>
        <w:tc>
          <w:tcPr>
            <w:tcW w:w="600" w:type="dxa"/>
            <w:shd w:val="clear" w:color="auto" w:fill="F2F5FB"/>
            <w:tcMar>
              <w:top w:w="80" w:type="dxa"/>
              <w:left w:w="100" w:type="dxa"/>
              <w:bottom w:w="80" w:type="dxa"/>
              <w:right w:w="100" w:type="dxa"/>
            </w:tcMar>
            <w:vAlign w:val="center"/>
          </w:tcPr>
          <w:p w14:paraId="26F09B29"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4</w:t>
            </w:r>
          </w:p>
        </w:tc>
        <w:tc>
          <w:tcPr>
            <w:tcW w:w="800" w:type="dxa"/>
            <w:shd w:val="clear" w:color="auto" w:fill="F2F5FB"/>
            <w:tcMar>
              <w:top w:w="80" w:type="dxa"/>
              <w:left w:w="100" w:type="dxa"/>
              <w:bottom w:w="80" w:type="dxa"/>
              <w:right w:w="100" w:type="dxa"/>
            </w:tcMar>
            <w:vAlign w:val="center"/>
          </w:tcPr>
          <w:p w14:paraId="777D4DE1"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12</w:t>
            </w:r>
          </w:p>
        </w:tc>
        <w:tc>
          <w:tcPr>
            <w:tcW w:w="3400" w:type="dxa"/>
            <w:shd w:val="clear" w:color="auto" w:fill="F2F5FB"/>
            <w:tcMar>
              <w:top w:w="80" w:type="dxa"/>
              <w:left w:w="100" w:type="dxa"/>
              <w:bottom w:w="80" w:type="dxa"/>
              <w:right w:w="100" w:type="dxa"/>
            </w:tcMar>
            <w:vAlign w:val="center"/>
          </w:tcPr>
          <w:p w14:paraId="1D21B6B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Dedicate a full integration testing cycle; define clear interface specifications early in Phase 2.</w:t>
            </w:r>
          </w:p>
        </w:tc>
      </w:tr>
      <w:tr w:rsidR="004D2DBF" w:rsidRPr="00DC4321" w14:paraId="4BD16375"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78E740AD"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Underestimated data migration effort/timeline</w:t>
            </w:r>
          </w:p>
        </w:tc>
        <w:tc>
          <w:tcPr>
            <w:tcW w:w="600" w:type="dxa"/>
            <w:shd w:val="clear" w:color="auto" w:fill="FFFFFF"/>
            <w:tcMar>
              <w:top w:w="80" w:type="dxa"/>
              <w:left w:w="100" w:type="dxa"/>
              <w:bottom w:w="80" w:type="dxa"/>
              <w:right w:w="100" w:type="dxa"/>
            </w:tcMar>
            <w:vAlign w:val="center"/>
          </w:tcPr>
          <w:p w14:paraId="5AA917EB"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3</w:t>
            </w:r>
          </w:p>
        </w:tc>
        <w:tc>
          <w:tcPr>
            <w:tcW w:w="600" w:type="dxa"/>
            <w:shd w:val="clear" w:color="auto" w:fill="FFFFFF"/>
            <w:tcMar>
              <w:top w:w="80" w:type="dxa"/>
              <w:left w:w="100" w:type="dxa"/>
              <w:bottom w:w="80" w:type="dxa"/>
              <w:right w:w="100" w:type="dxa"/>
            </w:tcMar>
            <w:vAlign w:val="center"/>
          </w:tcPr>
          <w:p w14:paraId="240781F1"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4</w:t>
            </w:r>
          </w:p>
        </w:tc>
        <w:tc>
          <w:tcPr>
            <w:tcW w:w="800" w:type="dxa"/>
            <w:shd w:val="clear" w:color="auto" w:fill="FFFFFF"/>
            <w:tcMar>
              <w:top w:w="80" w:type="dxa"/>
              <w:left w:w="100" w:type="dxa"/>
              <w:bottom w:w="80" w:type="dxa"/>
              <w:right w:w="100" w:type="dxa"/>
            </w:tcMar>
            <w:vAlign w:val="center"/>
          </w:tcPr>
          <w:p w14:paraId="4F10BFC9"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12</w:t>
            </w:r>
          </w:p>
        </w:tc>
        <w:tc>
          <w:tcPr>
            <w:tcW w:w="3400" w:type="dxa"/>
            <w:shd w:val="clear" w:color="auto" w:fill="FFFFFF"/>
            <w:tcMar>
              <w:top w:w="80" w:type="dxa"/>
              <w:left w:w="100" w:type="dxa"/>
              <w:bottom w:w="80" w:type="dxa"/>
              <w:right w:w="100" w:type="dxa"/>
            </w:tcMar>
            <w:vAlign w:val="center"/>
          </w:tcPr>
          <w:p w14:paraId="509A5590"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Build in two mock-load cycles with buffer; treat migration as its own mini-project with a dedicated lead.</w:t>
            </w:r>
          </w:p>
        </w:tc>
      </w:tr>
      <w:tr w:rsidR="004D2DBF" w:rsidRPr="00DC4321" w14:paraId="101446CE" w14:textId="77777777">
        <w:tblPrEx>
          <w:tblCellMar>
            <w:top w:w="0" w:type="dxa"/>
            <w:bottom w:w="0" w:type="dxa"/>
          </w:tblCellMar>
        </w:tblPrEx>
        <w:tc>
          <w:tcPr>
            <w:tcW w:w="3400" w:type="dxa"/>
            <w:shd w:val="clear" w:color="auto" w:fill="F2F5FB"/>
            <w:tcMar>
              <w:top w:w="80" w:type="dxa"/>
              <w:left w:w="100" w:type="dxa"/>
              <w:bottom w:w="80" w:type="dxa"/>
              <w:right w:w="100" w:type="dxa"/>
            </w:tcMar>
            <w:vAlign w:val="center"/>
          </w:tcPr>
          <w:p w14:paraId="3AE159CB"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Inadequate testing coverage before go-live</w:t>
            </w:r>
          </w:p>
        </w:tc>
        <w:tc>
          <w:tcPr>
            <w:tcW w:w="600" w:type="dxa"/>
            <w:shd w:val="clear" w:color="auto" w:fill="F2F5FB"/>
            <w:tcMar>
              <w:top w:w="80" w:type="dxa"/>
              <w:left w:w="100" w:type="dxa"/>
              <w:bottom w:w="80" w:type="dxa"/>
              <w:right w:w="100" w:type="dxa"/>
            </w:tcMar>
            <w:vAlign w:val="center"/>
          </w:tcPr>
          <w:p w14:paraId="723E95DD"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3</w:t>
            </w:r>
          </w:p>
        </w:tc>
        <w:tc>
          <w:tcPr>
            <w:tcW w:w="600" w:type="dxa"/>
            <w:shd w:val="clear" w:color="auto" w:fill="F2F5FB"/>
            <w:tcMar>
              <w:top w:w="80" w:type="dxa"/>
              <w:left w:w="100" w:type="dxa"/>
              <w:bottom w:w="80" w:type="dxa"/>
              <w:right w:w="100" w:type="dxa"/>
            </w:tcMar>
            <w:vAlign w:val="center"/>
          </w:tcPr>
          <w:p w14:paraId="6608264F"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5</w:t>
            </w:r>
          </w:p>
        </w:tc>
        <w:tc>
          <w:tcPr>
            <w:tcW w:w="800" w:type="dxa"/>
            <w:shd w:val="clear" w:color="auto" w:fill="F2F5FB"/>
            <w:tcMar>
              <w:top w:w="80" w:type="dxa"/>
              <w:left w:w="100" w:type="dxa"/>
              <w:bottom w:w="80" w:type="dxa"/>
              <w:right w:w="100" w:type="dxa"/>
            </w:tcMar>
            <w:vAlign w:val="center"/>
          </w:tcPr>
          <w:p w14:paraId="61B29B9C"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15</w:t>
            </w:r>
          </w:p>
        </w:tc>
        <w:tc>
          <w:tcPr>
            <w:tcW w:w="3400" w:type="dxa"/>
            <w:shd w:val="clear" w:color="auto" w:fill="F2F5FB"/>
            <w:tcMar>
              <w:top w:w="80" w:type="dxa"/>
              <w:left w:w="100" w:type="dxa"/>
              <w:bottom w:w="80" w:type="dxa"/>
              <w:right w:w="100" w:type="dxa"/>
            </w:tcMar>
            <w:vAlign w:val="center"/>
          </w:tcPr>
          <w:p w14:paraId="1C0893A1"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Define a formal test strategy with traceability to requirements; require documented UAT sign-off per process area.</w:t>
            </w:r>
          </w:p>
        </w:tc>
      </w:tr>
      <w:tr w:rsidR="004D2DBF" w:rsidRPr="00DC4321" w14:paraId="1E23630D"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74ED12F7"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Statutory/tax configuration errors causing compliance exposure</w:t>
            </w:r>
          </w:p>
        </w:tc>
        <w:tc>
          <w:tcPr>
            <w:tcW w:w="600" w:type="dxa"/>
            <w:shd w:val="clear" w:color="auto" w:fill="FFFFFF"/>
            <w:tcMar>
              <w:top w:w="80" w:type="dxa"/>
              <w:left w:w="100" w:type="dxa"/>
              <w:bottom w:w="80" w:type="dxa"/>
              <w:right w:w="100" w:type="dxa"/>
            </w:tcMar>
            <w:vAlign w:val="center"/>
          </w:tcPr>
          <w:p w14:paraId="45FD8E88"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2</w:t>
            </w:r>
          </w:p>
        </w:tc>
        <w:tc>
          <w:tcPr>
            <w:tcW w:w="600" w:type="dxa"/>
            <w:shd w:val="clear" w:color="auto" w:fill="FFFFFF"/>
            <w:tcMar>
              <w:top w:w="80" w:type="dxa"/>
              <w:left w:w="100" w:type="dxa"/>
              <w:bottom w:w="80" w:type="dxa"/>
              <w:right w:w="100" w:type="dxa"/>
            </w:tcMar>
            <w:vAlign w:val="center"/>
          </w:tcPr>
          <w:p w14:paraId="2B51DA8A"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5</w:t>
            </w:r>
          </w:p>
        </w:tc>
        <w:tc>
          <w:tcPr>
            <w:tcW w:w="800" w:type="dxa"/>
            <w:shd w:val="clear" w:color="auto" w:fill="FFFFFF"/>
            <w:tcMar>
              <w:top w:w="80" w:type="dxa"/>
              <w:left w:w="100" w:type="dxa"/>
              <w:bottom w:w="80" w:type="dxa"/>
              <w:right w:w="100" w:type="dxa"/>
            </w:tcMar>
            <w:vAlign w:val="center"/>
          </w:tcPr>
          <w:p w14:paraId="7E399F85"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10</w:t>
            </w:r>
          </w:p>
        </w:tc>
        <w:tc>
          <w:tcPr>
            <w:tcW w:w="3400" w:type="dxa"/>
            <w:shd w:val="clear" w:color="auto" w:fill="FFFFFF"/>
            <w:tcMar>
              <w:top w:w="80" w:type="dxa"/>
              <w:left w:w="100" w:type="dxa"/>
              <w:bottom w:w="80" w:type="dxa"/>
              <w:right w:w="100" w:type="dxa"/>
            </w:tcMar>
            <w:vAlign w:val="center"/>
          </w:tcPr>
          <w:p w14:paraId="03A9A4C9"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Engage a tax/compliance SME to validate GST and statutory reporting configuration before UAT.</w:t>
            </w:r>
          </w:p>
        </w:tc>
      </w:tr>
      <w:tr w:rsidR="004D2DBF" w:rsidRPr="00DC4321" w14:paraId="36D2936A" w14:textId="77777777">
        <w:tblPrEx>
          <w:tblCellMar>
            <w:top w:w="0" w:type="dxa"/>
            <w:bottom w:w="0" w:type="dxa"/>
          </w:tblCellMar>
        </w:tblPrEx>
        <w:tc>
          <w:tcPr>
            <w:tcW w:w="3400" w:type="dxa"/>
            <w:shd w:val="clear" w:color="auto" w:fill="F2F5FB"/>
            <w:tcMar>
              <w:top w:w="80" w:type="dxa"/>
              <w:left w:w="100" w:type="dxa"/>
              <w:bottom w:w="80" w:type="dxa"/>
              <w:right w:w="100" w:type="dxa"/>
            </w:tcMar>
            <w:vAlign w:val="center"/>
          </w:tcPr>
          <w:p w14:paraId="4E9BADC2"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Cutover window disruption to daily finance operations</w:t>
            </w:r>
          </w:p>
        </w:tc>
        <w:tc>
          <w:tcPr>
            <w:tcW w:w="600" w:type="dxa"/>
            <w:shd w:val="clear" w:color="auto" w:fill="F2F5FB"/>
            <w:tcMar>
              <w:top w:w="80" w:type="dxa"/>
              <w:left w:w="100" w:type="dxa"/>
              <w:bottom w:w="80" w:type="dxa"/>
              <w:right w:w="100" w:type="dxa"/>
            </w:tcMar>
            <w:vAlign w:val="center"/>
          </w:tcPr>
          <w:p w14:paraId="4565C29E"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3</w:t>
            </w:r>
          </w:p>
        </w:tc>
        <w:tc>
          <w:tcPr>
            <w:tcW w:w="600" w:type="dxa"/>
            <w:shd w:val="clear" w:color="auto" w:fill="F2F5FB"/>
            <w:tcMar>
              <w:top w:w="80" w:type="dxa"/>
              <w:left w:w="100" w:type="dxa"/>
              <w:bottom w:w="80" w:type="dxa"/>
              <w:right w:w="100" w:type="dxa"/>
            </w:tcMar>
            <w:vAlign w:val="center"/>
          </w:tcPr>
          <w:p w14:paraId="6BE80AC0"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3</w:t>
            </w:r>
          </w:p>
        </w:tc>
        <w:tc>
          <w:tcPr>
            <w:tcW w:w="800" w:type="dxa"/>
            <w:shd w:val="clear" w:color="auto" w:fill="F2F5FB"/>
            <w:tcMar>
              <w:top w:w="80" w:type="dxa"/>
              <w:left w:w="100" w:type="dxa"/>
              <w:bottom w:w="80" w:type="dxa"/>
              <w:right w:w="100" w:type="dxa"/>
            </w:tcMar>
            <w:vAlign w:val="center"/>
          </w:tcPr>
          <w:p w14:paraId="3FF16268"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9</w:t>
            </w:r>
          </w:p>
        </w:tc>
        <w:tc>
          <w:tcPr>
            <w:tcW w:w="3400" w:type="dxa"/>
            <w:shd w:val="clear" w:color="auto" w:fill="F2F5FB"/>
            <w:tcMar>
              <w:top w:w="80" w:type="dxa"/>
              <w:left w:w="100" w:type="dxa"/>
              <w:bottom w:w="80" w:type="dxa"/>
              <w:right w:w="100" w:type="dxa"/>
            </w:tcMar>
            <w:vAlign w:val="center"/>
          </w:tcPr>
          <w:p w14:paraId="2A5916F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Schedule cutover over a low-transaction period (e.g., month-end lull); rehearse with a full mock cutover.</w:t>
            </w:r>
          </w:p>
        </w:tc>
      </w:tr>
      <w:tr w:rsidR="004D2DBF" w:rsidRPr="00DC4321" w14:paraId="449C44C3"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476E1E40"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Budget overrun due to unplanned customization or delays</w:t>
            </w:r>
          </w:p>
        </w:tc>
        <w:tc>
          <w:tcPr>
            <w:tcW w:w="600" w:type="dxa"/>
            <w:shd w:val="clear" w:color="auto" w:fill="FFFFFF"/>
            <w:tcMar>
              <w:top w:w="80" w:type="dxa"/>
              <w:left w:w="100" w:type="dxa"/>
              <w:bottom w:w="80" w:type="dxa"/>
              <w:right w:w="100" w:type="dxa"/>
            </w:tcMar>
            <w:vAlign w:val="center"/>
          </w:tcPr>
          <w:p w14:paraId="668B67CC"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3</w:t>
            </w:r>
          </w:p>
        </w:tc>
        <w:tc>
          <w:tcPr>
            <w:tcW w:w="600" w:type="dxa"/>
            <w:shd w:val="clear" w:color="auto" w:fill="FFFFFF"/>
            <w:tcMar>
              <w:top w:w="80" w:type="dxa"/>
              <w:left w:w="100" w:type="dxa"/>
              <w:bottom w:w="80" w:type="dxa"/>
              <w:right w:w="100" w:type="dxa"/>
            </w:tcMar>
            <w:vAlign w:val="center"/>
          </w:tcPr>
          <w:p w14:paraId="0D19E231"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3</w:t>
            </w:r>
          </w:p>
        </w:tc>
        <w:tc>
          <w:tcPr>
            <w:tcW w:w="800" w:type="dxa"/>
            <w:shd w:val="clear" w:color="auto" w:fill="FFFFFF"/>
            <w:tcMar>
              <w:top w:w="80" w:type="dxa"/>
              <w:left w:w="100" w:type="dxa"/>
              <w:bottom w:w="80" w:type="dxa"/>
              <w:right w:w="100" w:type="dxa"/>
            </w:tcMar>
            <w:vAlign w:val="center"/>
          </w:tcPr>
          <w:p w14:paraId="3507268D"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9</w:t>
            </w:r>
          </w:p>
        </w:tc>
        <w:tc>
          <w:tcPr>
            <w:tcW w:w="3400" w:type="dxa"/>
            <w:shd w:val="clear" w:color="auto" w:fill="FFFFFF"/>
            <w:tcMar>
              <w:top w:w="80" w:type="dxa"/>
              <w:left w:w="100" w:type="dxa"/>
              <w:bottom w:w="80" w:type="dxa"/>
              <w:right w:w="100" w:type="dxa"/>
            </w:tcMar>
            <w:vAlign w:val="center"/>
          </w:tcPr>
          <w:p w14:paraId="6E5EC444"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Maintain a 4% contingency reserve; track budget burn weekly against baseline; escalate variances early.</w:t>
            </w:r>
          </w:p>
        </w:tc>
      </w:tr>
      <w:tr w:rsidR="004D2DBF" w:rsidRPr="00DC4321" w14:paraId="0CA3E675" w14:textId="77777777">
        <w:tblPrEx>
          <w:tblCellMar>
            <w:top w:w="0" w:type="dxa"/>
            <w:bottom w:w="0" w:type="dxa"/>
          </w:tblCellMar>
        </w:tblPrEx>
        <w:tc>
          <w:tcPr>
            <w:tcW w:w="3400" w:type="dxa"/>
            <w:shd w:val="clear" w:color="auto" w:fill="F2F5FB"/>
            <w:tcMar>
              <w:top w:w="80" w:type="dxa"/>
              <w:left w:w="100" w:type="dxa"/>
              <w:bottom w:w="80" w:type="dxa"/>
              <w:right w:w="100" w:type="dxa"/>
            </w:tcMar>
            <w:vAlign w:val="center"/>
          </w:tcPr>
          <w:p w14:paraId="3A06C19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Vendor/consulting resource turnover mid-project</w:t>
            </w:r>
          </w:p>
        </w:tc>
        <w:tc>
          <w:tcPr>
            <w:tcW w:w="600" w:type="dxa"/>
            <w:shd w:val="clear" w:color="auto" w:fill="F2F5FB"/>
            <w:tcMar>
              <w:top w:w="80" w:type="dxa"/>
              <w:left w:w="100" w:type="dxa"/>
              <w:bottom w:w="80" w:type="dxa"/>
              <w:right w:w="100" w:type="dxa"/>
            </w:tcMar>
            <w:vAlign w:val="center"/>
          </w:tcPr>
          <w:p w14:paraId="303D5BAE"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2</w:t>
            </w:r>
          </w:p>
        </w:tc>
        <w:tc>
          <w:tcPr>
            <w:tcW w:w="600" w:type="dxa"/>
            <w:shd w:val="clear" w:color="auto" w:fill="F2F5FB"/>
            <w:tcMar>
              <w:top w:w="80" w:type="dxa"/>
              <w:left w:w="100" w:type="dxa"/>
              <w:bottom w:w="80" w:type="dxa"/>
              <w:right w:w="100" w:type="dxa"/>
            </w:tcMar>
            <w:vAlign w:val="center"/>
          </w:tcPr>
          <w:p w14:paraId="3CF2E0ED"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4</w:t>
            </w:r>
          </w:p>
        </w:tc>
        <w:tc>
          <w:tcPr>
            <w:tcW w:w="800" w:type="dxa"/>
            <w:shd w:val="clear" w:color="auto" w:fill="F2F5FB"/>
            <w:tcMar>
              <w:top w:w="80" w:type="dxa"/>
              <w:left w:w="100" w:type="dxa"/>
              <w:bottom w:w="80" w:type="dxa"/>
              <w:right w:w="100" w:type="dxa"/>
            </w:tcMar>
            <w:vAlign w:val="center"/>
          </w:tcPr>
          <w:p w14:paraId="4CABBF3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8</w:t>
            </w:r>
          </w:p>
        </w:tc>
        <w:tc>
          <w:tcPr>
            <w:tcW w:w="3400" w:type="dxa"/>
            <w:shd w:val="clear" w:color="auto" w:fill="F2F5FB"/>
            <w:tcMar>
              <w:top w:w="80" w:type="dxa"/>
              <w:left w:w="100" w:type="dxa"/>
              <w:bottom w:w="80" w:type="dxa"/>
              <w:right w:w="100" w:type="dxa"/>
            </w:tcMar>
            <w:vAlign w:val="center"/>
          </w:tcPr>
          <w:p w14:paraId="73D34FA8"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Require knowledge transfer documentation from consultants; maintain a shared solution design repository.</w:t>
            </w:r>
          </w:p>
        </w:tc>
      </w:tr>
      <w:tr w:rsidR="004D2DBF" w:rsidRPr="00DC4321" w14:paraId="43FDEAA1" w14:textId="77777777">
        <w:tblPrEx>
          <w:tblCellMar>
            <w:top w:w="0" w:type="dxa"/>
            <w:bottom w:w="0" w:type="dxa"/>
          </w:tblCellMar>
        </w:tblPrEx>
        <w:tc>
          <w:tcPr>
            <w:tcW w:w="3400" w:type="dxa"/>
            <w:shd w:val="clear" w:color="auto" w:fill="FFFFFF"/>
            <w:tcMar>
              <w:top w:w="80" w:type="dxa"/>
              <w:left w:w="100" w:type="dxa"/>
              <w:bottom w:w="80" w:type="dxa"/>
              <w:right w:w="100" w:type="dxa"/>
            </w:tcMar>
            <w:vAlign w:val="center"/>
          </w:tcPr>
          <w:p w14:paraId="06CCC4E3"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Post-go-live performance or stability issues</w:t>
            </w:r>
          </w:p>
        </w:tc>
        <w:tc>
          <w:tcPr>
            <w:tcW w:w="600" w:type="dxa"/>
            <w:shd w:val="clear" w:color="auto" w:fill="FFFFFF"/>
            <w:tcMar>
              <w:top w:w="80" w:type="dxa"/>
              <w:left w:w="100" w:type="dxa"/>
              <w:bottom w:w="80" w:type="dxa"/>
              <w:right w:w="100" w:type="dxa"/>
            </w:tcMar>
            <w:vAlign w:val="center"/>
          </w:tcPr>
          <w:p w14:paraId="78A9FCA5"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2</w:t>
            </w:r>
          </w:p>
        </w:tc>
        <w:tc>
          <w:tcPr>
            <w:tcW w:w="600" w:type="dxa"/>
            <w:shd w:val="clear" w:color="auto" w:fill="FFFFFF"/>
            <w:tcMar>
              <w:top w:w="80" w:type="dxa"/>
              <w:left w:w="100" w:type="dxa"/>
              <w:bottom w:w="80" w:type="dxa"/>
              <w:right w:w="100" w:type="dxa"/>
            </w:tcMar>
            <w:vAlign w:val="center"/>
          </w:tcPr>
          <w:p w14:paraId="2C4E5162"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3</w:t>
            </w:r>
          </w:p>
        </w:tc>
        <w:tc>
          <w:tcPr>
            <w:tcW w:w="800" w:type="dxa"/>
            <w:shd w:val="clear" w:color="auto" w:fill="FFFFFF"/>
            <w:tcMar>
              <w:top w:w="80" w:type="dxa"/>
              <w:left w:w="100" w:type="dxa"/>
              <w:bottom w:w="80" w:type="dxa"/>
              <w:right w:w="100" w:type="dxa"/>
            </w:tcMar>
            <w:vAlign w:val="center"/>
          </w:tcPr>
          <w:p w14:paraId="5394F7CA"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6</w:t>
            </w:r>
          </w:p>
        </w:tc>
        <w:tc>
          <w:tcPr>
            <w:tcW w:w="3400" w:type="dxa"/>
            <w:shd w:val="clear" w:color="auto" w:fill="FFFFFF"/>
            <w:tcMar>
              <w:top w:w="80" w:type="dxa"/>
              <w:left w:w="100" w:type="dxa"/>
              <w:bottom w:w="80" w:type="dxa"/>
              <w:right w:w="100" w:type="dxa"/>
            </w:tcMar>
            <w:vAlign w:val="center"/>
          </w:tcPr>
          <w:p w14:paraId="14F2DC66"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 xml:space="preserve">Conduct performance/load testing in Phase 3; size infrastructure with headroom; maintain 4-week </w:t>
            </w:r>
            <w:proofErr w:type="spellStart"/>
            <w:r w:rsidRPr="00DC4321">
              <w:rPr>
                <w:rFonts w:ascii="Times New Roman" w:hAnsi="Times New Roman" w:cs="Times New Roman"/>
                <w:color w:val="000000"/>
                <w:sz w:val="20"/>
                <w:szCs w:val="20"/>
              </w:rPr>
              <w:t>hypercare</w:t>
            </w:r>
            <w:proofErr w:type="spellEnd"/>
            <w:r w:rsidRPr="00DC4321">
              <w:rPr>
                <w:rFonts w:ascii="Times New Roman" w:hAnsi="Times New Roman" w:cs="Times New Roman"/>
                <w:color w:val="000000"/>
                <w:sz w:val="20"/>
                <w:szCs w:val="20"/>
              </w:rPr>
              <w:t>.</w:t>
            </w:r>
          </w:p>
        </w:tc>
      </w:tr>
    </w:tbl>
    <w:p w14:paraId="7F1EF774" w14:textId="77777777" w:rsidR="004D2DBF" w:rsidRPr="00DC4321" w:rsidRDefault="00000000">
      <w:pPr>
        <w:pStyle w:val="Heading1"/>
        <w:pBdr>
          <w:bottom w:val="single" w:sz="6" w:space="4" w:color="2E74B5"/>
        </w:pBdr>
        <w:rPr>
          <w:rFonts w:ascii="Times New Roman" w:hAnsi="Times New Roman" w:cs="Times New Roman"/>
        </w:rPr>
      </w:pPr>
      <w:r w:rsidRPr="00DC4321">
        <w:rPr>
          <w:rFonts w:ascii="Times New Roman" w:hAnsi="Times New Roman" w:cs="Times New Roman"/>
        </w:rPr>
        <w:lastRenderedPageBreak/>
        <w:t>11. Change Management and Training Strategy</w:t>
      </w:r>
    </w:p>
    <w:p w14:paraId="62081C98"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Adoption risk is treated as seriously as technical risk. The change management approach follows a simple awareness-desire-knowledge-ability-reinforcement (ADKAR-aligned) structure, starting in Phase 1 rather than being deferred to just before go-live.</w:t>
      </w:r>
    </w:p>
    <w:p w14:paraId="6C3DCC02" w14:textId="77777777" w:rsidR="004D2DBF" w:rsidRPr="00DC4321" w:rsidRDefault="00000000">
      <w:pPr>
        <w:pStyle w:val="ListParagraph"/>
        <w:numPr>
          <w:ilvl w:val="0"/>
          <w:numId w:val="1"/>
        </w:numPr>
        <w:spacing w:after="80"/>
        <w:rPr>
          <w:rFonts w:ascii="Times New Roman" w:hAnsi="Times New Roman" w:cs="Times New Roman"/>
        </w:rPr>
      </w:pPr>
      <w:r w:rsidRPr="00DC4321">
        <w:rPr>
          <w:rFonts w:ascii="Times New Roman" w:hAnsi="Times New Roman" w:cs="Times New Roman"/>
        </w:rPr>
        <w:t xml:space="preserve">Stakeholder communication plan issued at </w:t>
      </w:r>
      <w:proofErr w:type="spellStart"/>
      <w:r w:rsidRPr="00DC4321">
        <w:rPr>
          <w:rFonts w:ascii="Times New Roman" w:hAnsi="Times New Roman" w:cs="Times New Roman"/>
        </w:rPr>
        <w:t>kickoff</w:t>
      </w:r>
      <w:proofErr w:type="spellEnd"/>
      <w:r w:rsidRPr="00DC4321">
        <w:rPr>
          <w:rFonts w:ascii="Times New Roman" w:hAnsi="Times New Roman" w:cs="Times New Roman"/>
        </w:rPr>
        <w:t>, with monthly updates to all affected finance staff.</w:t>
      </w:r>
    </w:p>
    <w:p w14:paraId="19C84BEF" w14:textId="77777777" w:rsidR="004D2DBF" w:rsidRPr="00DC4321" w:rsidRDefault="00000000">
      <w:pPr>
        <w:pStyle w:val="ListParagraph"/>
        <w:numPr>
          <w:ilvl w:val="0"/>
          <w:numId w:val="1"/>
        </w:numPr>
        <w:spacing w:after="80"/>
        <w:rPr>
          <w:rFonts w:ascii="Times New Roman" w:hAnsi="Times New Roman" w:cs="Times New Roman"/>
        </w:rPr>
      </w:pPr>
      <w:r w:rsidRPr="00DC4321">
        <w:rPr>
          <w:rFonts w:ascii="Times New Roman" w:hAnsi="Times New Roman" w:cs="Times New Roman"/>
        </w:rPr>
        <w:t>Super-user network nominated from each plant to act as first-line support and feedback channel.</w:t>
      </w:r>
    </w:p>
    <w:p w14:paraId="3415D62F" w14:textId="77777777" w:rsidR="004D2DBF" w:rsidRPr="00DC4321" w:rsidRDefault="00000000">
      <w:pPr>
        <w:pStyle w:val="ListParagraph"/>
        <w:numPr>
          <w:ilvl w:val="0"/>
          <w:numId w:val="1"/>
        </w:numPr>
        <w:spacing w:after="80"/>
        <w:rPr>
          <w:rFonts w:ascii="Times New Roman" w:hAnsi="Times New Roman" w:cs="Times New Roman"/>
        </w:rPr>
      </w:pPr>
      <w:r w:rsidRPr="00DC4321">
        <w:rPr>
          <w:rFonts w:ascii="Times New Roman" w:hAnsi="Times New Roman" w:cs="Times New Roman"/>
        </w:rPr>
        <w:t>Role-based training curriculum (AP clerk, AR clerk, cost accountant, plant controller, finance manager).</w:t>
      </w:r>
    </w:p>
    <w:p w14:paraId="44C6920E" w14:textId="77777777" w:rsidR="004D2DBF" w:rsidRPr="00DC4321" w:rsidRDefault="00000000">
      <w:pPr>
        <w:pStyle w:val="ListParagraph"/>
        <w:numPr>
          <w:ilvl w:val="0"/>
          <w:numId w:val="1"/>
        </w:numPr>
        <w:spacing w:after="80"/>
        <w:rPr>
          <w:rFonts w:ascii="Times New Roman" w:hAnsi="Times New Roman" w:cs="Times New Roman"/>
        </w:rPr>
      </w:pPr>
      <w:r w:rsidRPr="00DC4321">
        <w:rPr>
          <w:rFonts w:ascii="Times New Roman" w:hAnsi="Times New Roman" w:cs="Times New Roman"/>
        </w:rPr>
        <w:t>Hands-on training in a dedicated training client with realistic (masked) data before go-live.</w:t>
      </w:r>
    </w:p>
    <w:p w14:paraId="10DDF9C8" w14:textId="77777777" w:rsidR="004D2DBF" w:rsidRPr="00DC4321" w:rsidRDefault="00000000">
      <w:pPr>
        <w:pStyle w:val="ListParagraph"/>
        <w:numPr>
          <w:ilvl w:val="0"/>
          <w:numId w:val="1"/>
        </w:numPr>
        <w:spacing w:after="80"/>
        <w:rPr>
          <w:rFonts w:ascii="Times New Roman" w:hAnsi="Times New Roman" w:cs="Times New Roman"/>
        </w:rPr>
      </w:pPr>
      <w:r w:rsidRPr="00DC4321">
        <w:rPr>
          <w:rFonts w:ascii="Times New Roman" w:hAnsi="Times New Roman" w:cs="Times New Roman"/>
        </w:rPr>
        <w:t xml:space="preserve">Post-go-live reinforcement: office-hours support, quick-reference guides, and a feedback loop into the </w:t>
      </w:r>
      <w:proofErr w:type="spellStart"/>
      <w:r w:rsidRPr="00DC4321">
        <w:rPr>
          <w:rFonts w:ascii="Times New Roman" w:hAnsi="Times New Roman" w:cs="Times New Roman"/>
        </w:rPr>
        <w:t>hypercare</w:t>
      </w:r>
      <w:proofErr w:type="spellEnd"/>
      <w:r w:rsidRPr="00DC4321">
        <w:rPr>
          <w:rFonts w:ascii="Times New Roman" w:hAnsi="Times New Roman" w:cs="Times New Roman"/>
        </w:rPr>
        <w:t xml:space="preserve"> defect log.</w:t>
      </w:r>
    </w:p>
    <w:p w14:paraId="2EC42734" w14:textId="77777777" w:rsidR="004D2DBF" w:rsidRPr="00DC4321" w:rsidRDefault="00000000">
      <w:pPr>
        <w:pStyle w:val="Heading1"/>
        <w:pBdr>
          <w:bottom w:val="single" w:sz="6" w:space="4" w:color="2E74B5"/>
        </w:pBdr>
        <w:rPr>
          <w:rFonts w:ascii="Times New Roman" w:hAnsi="Times New Roman" w:cs="Times New Roman"/>
        </w:rPr>
      </w:pPr>
      <w:r w:rsidRPr="00DC4321">
        <w:rPr>
          <w:rFonts w:ascii="Times New Roman" w:hAnsi="Times New Roman" w:cs="Times New Roman"/>
        </w:rPr>
        <w:t>12. Success Criteria and KPIs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00"/>
        <w:gridCol w:w="2600"/>
      </w:tblGrid>
      <w:tr w:rsidR="004D2DBF" w:rsidRPr="00DC4321" w14:paraId="35EC2E58" w14:textId="77777777">
        <w:tblPrEx>
          <w:tblCellMar>
            <w:top w:w="0" w:type="dxa"/>
            <w:bottom w:w="0" w:type="dxa"/>
          </w:tblCellMar>
        </w:tblPrEx>
        <w:trPr>
          <w:tblHeader/>
        </w:trPr>
        <w:tc>
          <w:tcPr>
            <w:tcW w:w="3800" w:type="dxa"/>
            <w:shd w:val="clear" w:color="auto" w:fill="1F3864"/>
            <w:tcMar>
              <w:top w:w="80" w:type="dxa"/>
              <w:left w:w="100" w:type="dxa"/>
              <w:bottom w:w="80" w:type="dxa"/>
              <w:right w:w="100" w:type="dxa"/>
            </w:tcMar>
            <w:vAlign w:val="center"/>
          </w:tcPr>
          <w:p w14:paraId="3620BC8D"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KPI</w:t>
            </w:r>
          </w:p>
        </w:tc>
        <w:tc>
          <w:tcPr>
            <w:tcW w:w="2600" w:type="dxa"/>
            <w:shd w:val="clear" w:color="auto" w:fill="1F3864"/>
            <w:tcMar>
              <w:top w:w="80" w:type="dxa"/>
              <w:left w:w="100" w:type="dxa"/>
              <w:bottom w:w="80" w:type="dxa"/>
              <w:right w:w="100" w:type="dxa"/>
            </w:tcMar>
            <w:vAlign w:val="center"/>
          </w:tcPr>
          <w:p w14:paraId="20EE2BB7"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Baseline (Legacy)</w:t>
            </w:r>
          </w:p>
        </w:tc>
        <w:tc>
          <w:tcPr>
            <w:tcW w:w="2600" w:type="dxa"/>
            <w:shd w:val="clear" w:color="auto" w:fill="1F3864"/>
            <w:tcMar>
              <w:top w:w="80" w:type="dxa"/>
              <w:left w:w="100" w:type="dxa"/>
              <w:bottom w:w="80" w:type="dxa"/>
              <w:right w:w="100" w:type="dxa"/>
            </w:tcMar>
            <w:vAlign w:val="center"/>
          </w:tcPr>
          <w:p w14:paraId="6C0FD1B0" w14:textId="77777777" w:rsidR="004D2DBF" w:rsidRPr="00DC4321" w:rsidRDefault="00000000">
            <w:pPr>
              <w:jc w:val="center"/>
              <w:rPr>
                <w:rFonts w:ascii="Times New Roman" w:hAnsi="Times New Roman" w:cs="Times New Roman"/>
              </w:rPr>
            </w:pPr>
            <w:r w:rsidRPr="00DC4321">
              <w:rPr>
                <w:rFonts w:ascii="Times New Roman" w:hAnsi="Times New Roman" w:cs="Times New Roman"/>
                <w:b/>
                <w:bCs/>
                <w:color w:val="FFFFFF"/>
                <w:sz w:val="20"/>
                <w:szCs w:val="20"/>
              </w:rPr>
              <w:t>Target (Post Go-Live)</w:t>
            </w:r>
          </w:p>
        </w:tc>
      </w:tr>
      <w:tr w:rsidR="004D2DBF" w:rsidRPr="00DC4321" w14:paraId="2B8F006F" w14:textId="77777777">
        <w:tblPrEx>
          <w:tblCellMar>
            <w:top w:w="0" w:type="dxa"/>
            <w:bottom w:w="0" w:type="dxa"/>
          </w:tblCellMar>
        </w:tblPrEx>
        <w:tc>
          <w:tcPr>
            <w:tcW w:w="3800" w:type="dxa"/>
            <w:shd w:val="clear" w:color="auto" w:fill="F2F5FB"/>
            <w:tcMar>
              <w:top w:w="80" w:type="dxa"/>
              <w:left w:w="100" w:type="dxa"/>
              <w:bottom w:w="80" w:type="dxa"/>
              <w:right w:w="100" w:type="dxa"/>
            </w:tcMar>
            <w:vAlign w:val="center"/>
          </w:tcPr>
          <w:p w14:paraId="40BAC4E7"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Monthly financial close cycle time</w:t>
            </w:r>
          </w:p>
        </w:tc>
        <w:tc>
          <w:tcPr>
            <w:tcW w:w="2600" w:type="dxa"/>
            <w:shd w:val="clear" w:color="auto" w:fill="F2F5FB"/>
            <w:tcMar>
              <w:top w:w="80" w:type="dxa"/>
              <w:left w:w="100" w:type="dxa"/>
              <w:bottom w:w="80" w:type="dxa"/>
              <w:right w:w="100" w:type="dxa"/>
            </w:tcMar>
            <w:vAlign w:val="center"/>
          </w:tcPr>
          <w:p w14:paraId="5820B113"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10 working days</w:t>
            </w:r>
          </w:p>
        </w:tc>
        <w:tc>
          <w:tcPr>
            <w:tcW w:w="2600" w:type="dxa"/>
            <w:shd w:val="clear" w:color="auto" w:fill="F2F5FB"/>
            <w:tcMar>
              <w:top w:w="80" w:type="dxa"/>
              <w:left w:w="100" w:type="dxa"/>
              <w:bottom w:w="80" w:type="dxa"/>
              <w:right w:w="100" w:type="dxa"/>
            </w:tcMar>
            <w:vAlign w:val="center"/>
          </w:tcPr>
          <w:p w14:paraId="793619F7"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4 working days</w:t>
            </w:r>
          </w:p>
        </w:tc>
      </w:tr>
      <w:tr w:rsidR="004D2DBF" w:rsidRPr="00DC4321" w14:paraId="491CB928" w14:textId="77777777">
        <w:tblPrEx>
          <w:tblCellMar>
            <w:top w:w="0" w:type="dxa"/>
            <w:bottom w:w="0" w:type="dxa"/>
          </w:tblCellMar>
        </w:tblPrEx>
        <w:tc>
          <w:tcPr>
            <w:tcW w:w="3800" w:type="dxa"/>
            <w:shd w:val="clear" w:color="auto" w:fill="FFFFFF"/>
            <w:tcMar>
              <w:top w:w="80" w:type="dxa"/>
              <w:left w:w="100" w:type="dxa"/>
              <w:bottom w:w="80" w:type="dxa"/>
              <w:right w:w="100" w:type="dxa"/>
            </w:tcMar>
            <w:vAlign w:val="center"/>
          </w:tcPr>
          <w:p w14:paraId="281064CA"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Manual reconciliation effort (finance team hours/month)</w:t>
            </w:r>
          </w:p>
        </w:tc>
        <w:tc>
          <w:tcPr>
            <w:tcW w:w="2600" w:type="dxa"/>
            <w:shd w:val="clear" w:color="auto" w:fill="FFFFFF"/>
            <w:tcMar>
              <w:top w:w="80" w:type="dxa"/>
              <w:left w:w="100" w:type="dxa"/>
              <w:bottom w:w="80" w:type="dxa"/>
              <w:right w:w="100" w:type="dxa"/>
            </w:tcMar>
            <w:vAlign w:val="center"/>
          </w:tcPr>
          <w:p w14:paraId="17F75148"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~120 hours</w:t>
            </w:r>
          </w:p>
        </w:tc>
        <w:tc>
          <w:tcPr>
            <w:tcW w:w="2600" w:type="dxa"/>
            <w:shd w:val="clear" w:color="auto" w:fill="FFFFFF"/>
            <w:tcMar>
              <w:top w:w="80" w:type="dxa"/>
              <w:left w:w="100" w:type="dxa"/>
              <w:bottom w:w="80" w:type="dxa"/>
              <w:right w:w="100" w:type="dxa"/>
            </w:tcMar>
            <w:vAlign w:val="center"/>
          </w:tcPr>
          <w:p w14:paraId="05F5FDF8"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&lt; 40 hours</w:t>
            </w:r>
          </w:p>
        </w:tc>
      </w:tr>
      <w:tr w:rsidR="004D2DBF" w:rsidRPr="00DC4321" w14:paraId="0D865296" w14:textId="77777777">
        <w:tblPrEx>
          <w:tblCellMar>
            <w:top w:w="0" w:type="dxa"/>
            <w:bottom w:w="0" w:type="dxa"/>
          </w:tblCellMar>
        </w:tblPrEx>
        <w:tc>
          <w:tcPr>
            <w:tcW w:w="3800" w:type="dxa"/>
            <w:shd w:val="clear" w:color="auto" w:fill="F2F5FB"/>
            <w:tcMar>
              <w:top w:w="80" w:type="dxa"/>
              <w:left w:w="100" w:type="dxa"/>
              <w:bottom w:w="80" w:type="dxa"/>
              <w:right w:w="100" w:type="dxa"/>
            </w:tcMar>
            <w:vAlign w:val="center"/>
          </w:tcPr>
          <w:p w14:paraId="6DF817DC"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 xml:space="preserve">Cost </w:t>
            </w:r>
            <w:proofErr w:type="spellStart"/>
            <w:r w:rsidRPr="00DC4321">
              <w:rPr>
                <w:rFonts w:ascii="Times New Roman" w:hAnsi="Times New Roman" w:cs="Times New Roman"/>
                <w:color w:val="000000"/>
                <w:sz w:val="20"/>
                <w:szCs w:val="20"/>
              </w:rPr>
              <w:t>center</w:t>
            </w:r>
            <w:proofErr w:type="spellEnd"/>
            <w:r w:rsidRPr="00DC4321">
              <w:rPr>
                <w:rFonts w:ascii="Times New Roman" w:hAnsi="Times New Roman" w:cs="Times New Roman"/>
                <w:color w:val="000000"/>
                <w:sz w:val="20"/>
                <w:szCs w:val="20"/>
              </w:rPr>
              <w:t xml:space="preserve"> reporting availability</w:t>
            </w:r>
          </w:p>
        </w:tc>
        <w:tc>
          <w:tcPr>
            <w:tcW w:w="2600" w:type="dxa"/>
            <w:shd w:val="clear" w:color="auto" w:fill="F2F5FB"/>
            <w:tcMar>
              <w:top w:w="80" w:type="dxa"/>
              <w:left w:w="100" w:type="dxa"/>
              <w:bottom w:w="80" w:type="dxa"/>
              <w:right w:w="100" w:type="dxa"/>
            </w:tcMar>
            <w:vAlign w:val="center"/>
          </w:tcPr>
          <w:p w14:paraId="61B83514"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 xml:space="preserve">Monthly, </w:t>
            </w:r>
            <w:proofErr w:type="gramStart"/>
            <w:r w:rsidRPr="00DC4321">
              <w:rPr>
                <w:rFonts w:ascii="Times New Roman" w:hAnsi="Times New Roman" w:cs="Times New Roman"/>
                <w:color w:val="000000"/>
                <w:sz w:val="20"/>
                <w:szCs w:val="20"/>
              </w:rPr>
              <w:t>3-4 week</w:t>
            </w:r>
            <w:proofErr w:type="gramEnd"/>
            <w:r w:rsidRPr="00DC4321">
              <w:rPr>
                <w:rFonts w:ascii="Times New Roman" w:hAnsi="Times New Roman" w:cs="Times New Roman"/>
                <w:color w:val="000000"/>
                <w:sz w:val="20"/>
                <w:szCs w:val="20"/>
              </w:rPr>
              <w:t xml:space="preserve"> lag</w:t>
            </w:r>
          </w:p>
        </w:tc>
        <w:tc>
          <w:tcPr>
            <w:tcW w:w="2600" w:type="dxa"/>
            <w:shd w:val="clear" w:color="auto" w:fill="F2F5FB"/>
            <w:tcMar>
              <w:top w:w="80" w:type="dxa"/>
              <w:left w:w="100" w:type="dxa"/>
              <w:bottom w:w="80" w:type="dxa"/>
              <w:right w:w="100" w:type="dxa"/>
            </w:tcMar>
            <w:vAlign w:val="center"/>
          </w:tcPr>
          <w:p w14:paraId="72D9184E"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Real-time / daily</w:t>
            </w:r>
          </w:p>
        </w:tc>
      </w:tr>
      <w:tr w:rsidR="004D2DBF" w:rsidRPr="00DC4321" w14:paraId="75E70E64" w14:textId="77777777">
        <w:tblPrEx>
          <w:tblCellMar>
            <w:top w:w="0" w:type="dxa"/>
            <w:bottom w:w="0" w:type="dxa"/>
          </w:tblCellMar>
        </w:tblPrEx>
        <w:tc>
          <w:tcPr>
            <w:tcW w:w="3800" w:type="dxa"/>
            <w:shd w:val="clear" w:color="auto" w:fill="FFFFFF"/>
            <w:tcMar>
              <w:top w:w="80" w:type="dxa"/>
              <w:left w:w="100" w:type="dxa"/>
              <w:bottom w:w="80" w:type="dxa"/>
              <w:right w:w="100" w:type="dxa"/>
            </w:tcMar>
            <w:vAlign w:val="center"/>
          </w:tcPr>
          <w:p w14:paraId="751B0DD8"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Number of critical go-live defects</w:t>
            </w:r>
          </w:p>
        </w:tc>
        <w:tc>
          <w:tcPr>
            <w:tcW w:w="2600" w:type="dxa"/>
            <w:shd w:val="clear" w:color="auto" w:fill="FFFFFF"/>
            <w:tcMar>
              <w:top w:w="80" w:type="dxa"/>
              <w:left w:w="100" w:type="dxa"/>
              <w:bottom w:w="80" w:type="dxa"/>
              <w:right w:w="100" w:type="dxa"/>
            </w:tcMar>
            <w:vAlign w:val="center"/>
          </w:tcPr>
          <w:p w14:paraId="29EF1101"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N/A</w:t>
            </w:r>
          </w:p>
        </w:tc>
        <w:tc>
          <w:tcPr>
            <w:tcW w:w="2600" w:type="dxa"/>
            <w:shd w:val="clear" w:color="auto" w:fill="FFFFFF"/>
            <w:tcMar>
              <w:top w:w="80" w:type="dxa"/>
              <w:left w:w="100" w:type="dxa"/>
              <w:bottom w:w="80" w:type="dxa"/>
              <w:right w:w="100" w:type="dxa"/>
            </w:tcMar>
            <w:vAlign w:val="center"/>
          </w:tcPr>
          <w:p w14:paraId="536C1ED1"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 xml:space="preserve">0 unresolved after </w:t>
            </w:r>
            <w:proofErr w:type="spellStart"/>
            <w:r w:rsidRPr="00DC4321">
              <w:rPr>
                <w:rFonts w:ascii="Times New Roman" w:hAnsi="Times New Roman" w:cs="Times New Roman"/>
                <w:color w:val="000000"/>
                <w:sz w:val="20"/>
                <w:szCs w:val="20"/>
              </w:rPr>
              <w:t>hypercare</w:t>
            </w:r>
            <w:proofErr w:type="spellEnd"/>
          </w:p>
        </w:tc>
      </w:tr>
      <w:tr w:rsidR="004D2DBF" w:rsidRPr="00DC4321" w14:paraId="18A03A01" w14:textId="77777777">
        <w:tblPrEx>
          <w:tblCellMar>
            <w:top w:w="0" w:type="dxa"/>
            <w:bottom w:w="0" w:type="dxa"/>
          </w:tblCellMar>
        </w:tblPrEx>
        <w:tc>
          <w:tcPr>
            <w:tcW w:w="3800" w:type="dxa"/>
            <w:shd w:val="clear" w:color="auto" w:fill="F2F5FB"/>
            <w:tcMar>
              <w:top w:w="80" w:type="dxa"/>
              <w:left w:w="100" w:type="dxa"/>
              <w:bottom w:w="80" w:type="dxa"/>
              <w:right w:w="100" w:type="dxa"/>
            </w:tcMar>
            <w:vAlign w:val="center"/>
          </w:tcPr>
          <w:p w14:paraId="3C2003B2"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UAT sign-off coverage</w:t>
            </w:r>
          </w:p>
        </w:tc>
        <w:tc>
          <w:tcPr>
            <w:tcW w:w="2600" w:type="dxa"/>
            <w:shd w:val="clear" w:color="auto" w:fill="F2F5FB"/>
            <w:tcMar>
              <w:top w:w="80" w:type="dxa"/>
              <w:left w:w="100" w:type="dxa"/>
              <w:bottom w:w="80" w:type="dxa"/>
              <w:right w:w="100" w:type="dxa"/>
            </w:tcMar>
            <w:vAlign w:val="center"/>
          </w:tcPr>
          <w:p w14:paraId="333A96C3"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N/A</w:t>
            </w:r>
          </w:p>
        </w:tc>
        <w:tc>
          <w:tcPr>
            <w:tcW w:w="2600" w:type="dxa"/>
            <w:shd w:val="clear" w:color="auto" w:fill="F2F5FB"/>
            <w:tcMar>
              <w:top w:w="80" w:type="dxa"/>
              <w:left w:w="100" w:type="dxa"/>
              <w:bottom w:w="80" w:type="dxa"/>
              <w:right w:w="100" w:type="dxa"/>
            </w:tcMar>
            <w:vAlign w:val="center"/>
          </w:tcPr>
          <w:p w14:paraId="69B67B2C"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100% of in-scope processes</w:t>
            </w:r>
          </w:p>
        </w:tc>
      </w:tr>
      <w:tr w:rsidR="004D2DBF" w:rsidRPr="00DC4321" w14:paraId="273EABF2" w14:textId="77777777">
        <w:tblPrEx>
          <w:tblCellMar>
            <w:top w:w="0" w:type="dxa"/>
            <w:bottom w:w="0" w:type="dxa"/>
          </w:tblCellMar>
        </w:tblPrEx>
        <w:tc>
          <w:tcPr>
            <w:tcW w:w="3800" w:type="dxa"/>
            <w:shd w:val="clear" w:color="auto" w:fill="FFFFFF"/>
            <w:tcMar>
              <w:top w:w="80" w:type="dxa"/>
              <w:left w:w="100" w:type="dxa"/>
              <w:bottom w:w="80" w:type="dxa"/>
              <w:right w:w="100" w:type="dxa"/>
            </w:tcMar>
            <w:vAlign w:val="center"/>
          </w:tcPr>
          <w:p w14:paraId="55DDE4DF"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User adoption (active system usage, 30 days post go-live)</w:t>
            </w:r>
          </w:p>
        </w:tc>
        <w:tc>
          <w:tcPr>
            <w:tcW w:w="2600" w:type="dxa"/>
            <w:shd w:val="clear" w:color="auto" w:fill="FFFFFF"/>
            <w:tcMar>
              <w:top w:w="80" w:type="dxa"/>
              <w:left w:w="100" w:type="dxa"/>
              <w:bottom w:w="80" w:type="dxa"/>
              <w:right w:w="100" w:type="dxa"/>
            </w:tcMar>
            <w:vAlign w:val="center"/>
          </w:tcPr>
          <w:p w14:paraId="3CA214CE"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N/A</w:t>
            </w:r>
          </w:p>
        </w:tc>
        <w:tc>
          <w:tcPr>
            <w:tcW w:w="2600" w:type="dxa"/>
            <w:shd w:val="clear" w:color="auto" w:fill="FFFFFF"/>
            <w:tcMar>
              <w:top w:w="80" w:type="dxa"/>
              <w:left w:w="100" w:type="dxa"/>
              <w:bottom w:w="80" w:type="dxa"/>
              <w:right w:w="100" w:type="dxa"/>
            </w:tcMar>
            <w:vAlign w:val="center"/>
          </w:tcPr>
          <w:p w14:paraId="3104FBDA" w14:textId="77777777" w:rsidR="004D2DBF" w:rsidRPr="00DC4321" w:rsidRDefault="00000000">
            <w:pPr>
              <w:rPr>
                <w:rFonts w:ascii="Times New Roman" w:hAnsi="Times New Roman" w:cs="Times New Roman"/>
              </w:rPr>
            </w:pPr>
            <w:r w:rsidRPr="00DC4321">
              <w:rPr>
                <w:rFonts w:ascii="Times New Roman" w:hAnsi="Times New Roman" w:cs="Times New Roman"/>
                <w:color w:val="000000"/>
                <w:sz w:val="20"/>
                <w:szCs w:val="20"/>
              </w:rPr>
              <w:t>&gt; 90% of trained users</w:t>
            </w:r>
          </w:p>
        </w:tc>
      </w:tr>
    </w:tbl>
    <w:p w14:paraId="2A571CE9" w14:textId="77777777" w:rsidR="004D2DBF" w:rsidRPr="00DC4321" w:rsidRDefault="00000000">
      <w:pPr>
        <w:pStyle w:val="Heading1"/>
        <w:pBdr>
          <w:bottom w:val="single" w:sz="6" w:space="4" w:color="2E74B5"/>
        </w:pBdr>
        <w:rPr>
          <w:rFonts w:ascii="Times New Roman" w:hAnsi="Times New Roman" w:cs="Times New Roman"/>
        </w:rPr>
      </w:pPr>
      <w:r w:rsidRPr="00DC4321">
        <w:rPr>
          <w:rFonts w:ascii="Times New Roman" w:hAnsi="Times New Roman" w:cs="Times New Roman"/>
        </w:rPr>
        <w:t>13. Conclusion</w:t>
      </w:r>
    </w:p>
    <w:p w14:paraId="6AFCE0BF"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 xml:space="preserve">This planning and strategy document establishes the foundation for a structured, risk-aware implementation of SAP FI and CO at Meridian Industrial Products </w:t>
      </w:r>
      <w:proofErr w:type="spellStart"/>
      <w:r w:rsidRPr="00DC4321">
        <w:rPr>
          <w:rFonts w:ascii="Times New Roman" w:hAnsi="Times New Roman" w:cs="Times New Roman"/>
        </w:rPr>
        <w:t>Pvt.</w:t>
      </w:r>
      <w:proofErr w:type="spellEnd"/>
      <w:r w:rsidRPr="00DC4321">
        <w:rPr>
          <w:rFonts w:ascii="Times New Roman" w:hAnsi="Times New Roman" w:cs="Times New Roman"/>
        </w:rPr>
        <w:t xml:space="preserve"> Ltd. By sequencing the work into Initiation, Planning, Execution, Monitoring and Control, and Closure phases, and by pairing each phase with concrete deliverables, a realistic timeline, defined resource allocation, and an explicit risk register, the project is positioned to move into detailed configuration with clear guardrails around scope, budget, and quality.</w:t>
      </w:r>
    </w:p>
    <w:p w14:paraId="0246F1E2" w14:textId="77777777" w:rsidR="004D2DBF" w:rsidRPr="00DC4321" w:rsidRDefault="00000000">
      <w:pPr>
        <w:spacing w:after="160" w:line="276" w:lineRule="auto"/>
        <w:rPr>
          <w:rFonts w:ascii="Times New Roman" w:hAnsi="Times New Roman" w:cs="Times New Roman"/>
        </w:rPr>
      </w:pPr>
      <w:r w:rsidRPr="00DC4321">
        <w:rPr>
          <w:rFonts w:ascii="Times New Roman" w:hAnsi="Times New Roman" w:cs="Times New Roman"/>
        </w:rPr>
        <w:t xml:space="preserve">The next step is formal Steering Committee review and sign-off of this document, after which the team will proceed into Phase 1 (Initiation) activities, beginning with the project </w:t>
      </w:r>
      <w:proofErr w:type="spellStart"/>
      <w:r w:rsidRPr="00DC4321">
        <w:rPr>
          <w:rFonts w:ascii="Times New Roman" w:hAnsi="Times New Roman" w:cs="Times New Roman"/>
        </w:rPr>
        <w:t>kickoff</w:t>
      </w:r>
      <w:proofErr w:type="spellEnd"/>
      <w:r w:rsidRPr="00DC4321">
        <w:rPr>
          <w:rFonts w:ascii="Times New Roman" w:hAnsi="Times New Roman" w:cs="Times New Roman"/>
        </w:rPr>
        <w:t xml:space="preserve"> workshop and sandbox system provisioning.</w:t>
      </w:r>
    </w:p>
    <w:sectPr w:rsidR="004D2DBF" w:rsidRPr="00DC4321" w:rsidSect="00DC4321">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A587A"/>
    <w:multiLevelType w:val="hybridMultilevel"/>
    <w:tmpl w:val="94949F14"/>
    <w:lvl w:ilvl="0" w:tplc="3FAAB330">
      <w:start w:val="1"/>
      <w:numFmt w:val="bullet"/>
      <w:lvlText w:val="●"/>
      <w:lvlJc w:val="left"/>
      <w:pPr>
        <w:ind w:left="720" w:hanging="360"/>
      </w:pPr>
    </w:lvl>
    <w:lvl w:ilvl="1" w:tplc="B798BF56">
      <w:start w:val="1"/>
      <w:numFmt w:val="bullet"/>
      <w:lvlText w:val="○"/>
      <w:lvlJc w:val="left"/>
      <w:pPr>
        <w:ind w:left="1440" w:hanging="360"/>
      </w:pPr>
    </w:lvl>
    <w:lvl w:ilvl="2" w:tplc="EE1C5B68">
      <w:start w:val="1"/>
      <w:numFmt w:val="bullet"/>
      <w:lvlText w:val="■"/>
      <w:lvlJc w:val="left"/>
      <w:pPr>
        <w:ind w:left="2160" w:hanging="360"/>
      </w:pPr>
    </w:lvl>
    <w:lvl w:ilvl="3" w:tplc="1C681E0C">
      <w:start w:val="1"/>
      <w:numFmt w:val="bullet"/>
      <w:lvlText w:val="●"/>
      <w:lvlJc w:val="left"/>
      <w:pPr>
        <w:ind w:left="2880" w:hanging="360"/>
      </w:pPr>
    </w:lvl>
    <w:lvl w:ilvl="4" w:tplc="01E63EB4">
      <w:start w:val="1"/>
      <w:numFmt w:val="bullet"/>
      <w:lvlText w:val="○"/>
      <w:lvlJc w:val="left"/>
      <w:pPr>
        <w:ind w:left="3600" w:hanging="360"/>
      </w:pPr>
    </w:lvl>
    <w:lvl w:ilvl="5" w:tplc="F6CA47D0">
      <w:start w:val="1"/>
      <w:numFmt w:val="bullet"/>
      <w:lvlText w:val="■"/>
      <w:lvlJc w:val="left"/>
      <w:pPr>
        <w:ind w:left="4320" w:hanging="360"/>
      </w:pPr>
    </w:lvl>
    <w:lvl w:ilvl="6" w:tplc="443875EE">
      <w:start w:val="1"/>
      <w:numFmt w:val="bullet"/>
      <w:lvlText w:val="●"/>
      <w:lvlJc w:val="left"/>
      <w:pPr>
        <w:ind w:left="5040" w:hanging="360"/>
      </w:pPr>
    </w:lvl>
    <w:lvl w:ilvl="7" w:tplc="B5D8C1DA">
      <w:start w:val="1"/>
      <w:numFmt w:val="bullet"/>
      <w:lvlText w:val="●"/>
      <w:lvlJc w:val="left"/>
      <w:pPr>
        <w:ind w:left="5760" w:hanging="360"/>
      </w:pPr>
    </w:lvl>
    <w:lvl w:ilvl="8" w:tplc="55B6A81C">
      <w:start w:val="1"/>
      <w:numFmt w:val="bullet"/>
      <w:lvlText w:val="●"/>
      <w:lvlJc w:val="left"/>
      <w:pPr>
        <w:ind w:left="6480" w:hanging="360"/>
      </w:pPr>
    </w:lvl>
  </w:abstractNum>
  <w:abstractNum w:abstractNumId="1" w15:restartNumberingAfterBreak="0">
    <w:nsid w:val="68C93ECF"/>
    <w:multiLevelType w:val="hybridMultilevel"/>
    <w:tmpl w:val="7D8497B0"/>
    <w:lvl w:ilvl="0" w:tplc="DA742DA2">
      <w:start w:val="1"/>
      <w:numFmt w:val="decimal"/>
      <w:lvlText w:val="%1."/>
      <w:lvlJc w:val="left"/>
      <w:pPr>
        <w:ind w:left="720" w:hanging="360"/>
      </w:pPr>
    </w:lvl>
    <w:lvl w:ilvl="1" w:tplc="245EA260">
      <w:start w:val="1"/>
      <w:numFmt w:val="lowerLetter"/>
      <w:lvlText w:val="%2)"/>
      <w:lvlJc w:val="left"/>
      <w:pPr>
        <w:ind w:left="1080" w:hanging="360"/>
      </w:pPr>
    </w:lvl>
    <w:lvl w:ilvl="2" w:tplc="D77E8B46">
      <w:numFmt w:val="decimal"/>
      <w:lvlText w:val=""/>
      <w:lvlJc w:val="left"/>
    </w:lvl>
    <w:lvl w:ilvl="3" w:tplc="69A690A0">
      <w:numFmt w:val="decimal"/>
      <w:lvlText w:val=""/>
      <w:lvlJc w:val="left"/>
    </w:lvl>
    <w:lvl w:ilvl="4" w:tplc="E3DC0BCA">
      <w:numFmt w:val="decimal"/>
      <w:lvlText w:val=""/>
      <w:lvlJc w:val="left"/>
    </w:lvl>
    <w:lvl w:ilvl="5" w:tplc="C20A86DC">
      <w:numFmt w:val="decimal"/>
      <w:lvlText w:val=""/>
      <w:lvlJc w:val="left"/>
    </w:lvl>
    <w:lvl w:ilvl="6" w:tplc="3CD2B4BC">
      <w:numFmt w:val="decimal"/>
      <w:lvlText w:val=""/>
      <w:lvlJc w:val="left"/>
    </w:lvl>
    <w:lvl w:ilvl="7" w:tplc="10B092D0">
      <w:numFmt w:val="decimal"/>
      <w:lvlText w:val=""/>
      <w:lvlJc w:val="left"/>
    </w:lvl>
    <w:lvl w:ilvl="8" w:tplc="9AEE1EEC">
      <w:numFmt w:val="decimal"/>
      <w:lvlText w:val=""/>
      <w:lvlJc w:val="left"/>
    </w:lvl>
  </w:abstractNum>
  <w:num w:numId="1" w16cid:durableId="1180124756">
    <w:abstractNumId w:val="0"/>
    <w:lvlOverride w:ilvl="0">
      <w:startOverride w:val="1"/>
    </w:lvlOverride>
  </w:num>
  <w:num w:numId="2" w16cid:durableId="9340897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DBF"/>
    <w:rsid w:val="004D2DBF"/>
    <w:rsid w:val="005023F7"/>
    <w:rsid w:val="00DC43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C1D9E"/>
  <w15:docId w15:val="{2FF83AE7-AB65-4606-B93F-110C15EFA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60" w:after="120"/>
      <w:outlineLvl w:val="1"/>
    </w:pPr>
    <w:rPr>
      <w:b/>
      <w:bCs/>
      <w:color w:val="2E74B5"/>
      <w:sz w:val="26"/>
      <w:szCs w:val="26"/>
    </w:rPr>
  </w:style>
  <w:style w:type="paragraph" w:styleId="Heading3">
    <w:name w:val="heading 3"/>
    <w:uiPriority w:val="9"/>
    <w:semiHidden/>
    <w:unhideWhenUsed/>
    <w:qFormat/>
    <w:pPr>
      <w:spacing w:before="200" w:after="100"/>
      <w:outlineLvl w:val="2"/>
    </w:pPr>
    <w:rPr>
      <w:b/>
      <w:bCs/>
      <w:color w:val="59595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2887</Words>
  <Characters>16458</Characters>
  <Application>Microsoft Office Word</Application>
  <DocSecurity>0</DocSecurity>
  <Lines>137</Lines>
  <Paragraphs>38</Paragraphs>
  <ScaleCrop>false</ScaleCrop>
  <Company/>
  <LinksUpToDate>false</LinksUpToDate>
  <CharactersWithSpaces>19307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Ezhil Bharghavi</cp:lastModifiedBy>
  <cp:revision>2</cp:revision>
  <dcterms:created xsi:type="dcterms:W3CDTF">2026-08-19T17:21:00Z</dcterms:created>
  <dcterms:modified xsi:type="dcterms:W3CDTF">2026-08-19T17:30:00Z</dcterms:modified>
</cp:coreProperties>
</file>