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80" w:rsidRPr="00D578E4" w:rsidRDefault="00113C80" w:rsidP="00113C80">
      <w:pPr>
        <w:spacing w:line="360" w:lineRule="auto"/>
        <w:jc w:val="both"/>
      </w:pPr>
      <w:r w:rsidRPr="007A17EF">
        <w:rPr>
          <w:u w:val="single"/>
        </w:rPr>
        <w:t>Problem 1</w:t>
      </w:r>
      <w:r w:rsidRPr="00D578E4">
        <w:t xml:space="preserve">: Assume that you have a </w:t>
      </w:r>
      <w:r>
        <w:t xml:space="preserve">random </w:t>
      </w:r>
      <w:r w:rsidRPr="00D578E4">
        <w:t xml:space="preserve">sample of 40 burgers the weight of which is normally distributed with sample mean 24.9 grams. Assume that you know that the population standard deviation of all burgers is 1.2 grams. </w:t>
      </w:r>
    </w:p>
    <w:p w:rsidR="00113C80" w:rsidRPr="00D578E4" w:rsidRDefault="00113C80" w:rsidP="00113C80">
      <w:pPr>
        <w:pStyle w:val="ListParagraph"/>
        <w:numPr>
          <w:ilvl w:val="0"/>
          <w:numId w:val="1"/>
        </w:numPr>
        <w:spacing w:line="360" w:lineRule="auto"/>
        <w:jc w:val="both"/>
      </w:pPr>
      <w:r w:rsidRPr="00D578E4">
        <w:t xml:space="preserve">Calculate the 95% confidence interval and the 90% confidence interval for the mean burger weight. Be sure to include the relevant formulas. </w:t>
      </w:r>
    </w:p>
    <w:p w:rsidR="00113C80" w:rsidRDefault="00113C80" w:rsidP="00113C80">
      <w:pPr>
        <w:pStyle w:val="ListParagraph"/>
        <w:numPr>
          <w:ilvl w:val="1"/>
          <w:numId w:val="1"/>
        </w:numPr>
        <w:spacing w:line="360" w:lineRule="auto"/>
        <w:jc w:val="both"/>
        <w:rPr>
          <w:rFonts w:eastAsiaTheme="minorEastAsia"/>
        </w:rPr>
      </w:pPr>
      <w:r>
        <w:t>T</w:t>
      </w:r>
      <w:r w:rsidRPr="00D578E4">
        <w:t>he 95% confidence interval</w:t>
      </w:r>
      <w:r>
        <w:t xml:space="preserve"> for </w:t>
      </w:r>
      <w:r w:rsidRPr="008A5251">
        <w:rPr>
          <w:i/>
        </w:rPr>
        <w:t>μ</w:t>
      </w:r>
      <w:r w:rsidRPr="00D578E4">
        <w:t xml:space="preserve"> </w:t>
      </w:r>
      <w:r>
        <w:t xml:space="preserve">may be computed with the </w:t>
      </w:r>
      <w:proofErr w:type="gramStart"/>
      <w:r>
        <w:t xml:space="preserve">formula </w:t>
      </w:r>
      <w:proofErr w:type="gramEnd"/>
      <m:oMath>
        <m:acc>
          <m:accPr>
            <m:chr m:val="̅"/>
            <m:ctrlPr>
              <w:rPr>
                <w:rFonts w:ascii="Cambria Math" w:hAnsi="Cambria Math"/>
                <w:i/>
              </w:rPr>
            </m:ctrlPr>
          </m:accPr>
          <m:e>
            <m:r>
              <w:rPr>
                <w:rFonts w:ascii="Cambria Math" w:hAnsi="Cambria Math"/>
              </w:rPr>
              <m:t>x</m:t>
            </m:r>
          </m:e>
        </m:acc>
        <m:r>
          <w:rPr>
            <w:rFonts w:asci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hAnsi="Cambria Math"/>
          </w:rPr>
          <m:t>*</m:t>
        </m:r>
        <m:f>
          <m:fPr>
            <m:ctrlPr>
              <w:rPr>
                <w:rFonts w:ascii="Cambria Math" w:hAnsi="Cambria Math"/>
                <w:i/>
              </w:rPr>
            </m:ctrlPr>
          </m:fPr>
          <m:num>
            <m:r>
              <w:rPr>
                <w:rFonts w:ascii="Cambria Math" w:hAnsi="Cambria Math"/>
              </w:rPr>
              <m:t>σ</m:t>
            </m:r>
          </m:num>
          <m:den>
            <m:r>
              <w:rPr>
                <w:rFonts w:ascii="Cambria Math"/>
              </w:rPr>
              <m:t>√</m:t>
            </m:r>
            <m:r>
              <w:rPr>
                <w:rFonts w:ascii="Cambria Math" w:hAnsi="Cambria Math"/>
              </w:rPr>
              <m:t>n</m:t>
            </m:r>
          </m:den>
        </m:f>
      </m:oMath>
      <w:r w:rsidRPr="00D578E4">
        <w:rPr>
          <w:rFonts w:eastAsiaTheme="minorEastAsia"/>
        </w:rPr>
        <w:t xml:space="preserve">. </w:t>
      </w:r>
      <w:r w:rsidRPr="00D578E4">
        <w:t xml:space="preserve">Here, </w:t>
      </w:r>
      <m:oMath>
        <m:acc>
          <m:accPr>
            <m:chr m:val="̅"/>
            <m:ctrlPr>
              <w:rPr>
                <w:rFonts w:ascii="Cambria Math" w:hAnsi="Cambria Math"/>
                <w:i/>
              </w:rPr>
            </m:ctrlPr>
          </m:accPr>
          <m:e>
            <m:r>
              <w:rPr>
                <w:rFonts w:ascii="Cambria Math" w:hAnsi="Cambria Math"/>
              </w:rPr>
              <m:t>x</m:t>
            </m:r>
          </m:e>
        </m:acc>
      </m:oMath>
      <w:r w:rsidRPr="00D578E4">
        <w:rPr>
          <w:rFonts w:eastAsiaTheme="minorEastAsia"/>
        </w:rPr>
        <w:t>=24.9,</w:t>
      </w:r>
      <m:oMath>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α/2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(1-0.95)/2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0.025</m:t>
            </m:r>
          </m:sub>
        </m:sSub>
        <m:r>
          <w:rPr>
            <w:rFonts w:ascii="Cambria Math" w:eastAsiaTheme="minorEastAsia" w:hAnsi="Cambria Math"/>
          </w:rPr>
          <m:t>=1.96</m:t>
        </m:r>
      </m:oMath>
      <w:proofErr w:type="gramStart"/>
      <w:r>
        <w:rPr>
          <w:rFonts w:eastAsiaTheme="minorEastAsia"/>
        </w:rPr>
        <w:t>,</w:t>
      </w:r>
      <w:proofErr w:type="gramEnd"/>
      <w:r>
        <w:rPr>
          <w:rFonts w:eastAsiaTheme="minorEastAsia"/>
        </w:rPr>
        <w:t xml:space="preserve"> </w:t>
      </w:r>
      <w:r w:rsidRPr="00513AC6">
        <w:rPr>
          <w:rFonts w:eastAsiaTheme="minorEastAsia"/>
          <w:i/>
        </w:rPr>
        <w:t>σ</w:t>
      </w:r>
      <w:r w:rsidRPr="00D578E4">
        <w:rPr>
          <w:rFonts w:eastAsiaTheme="minorEastAsia"/>
        </w:rPr>
        <w:t xml:space="preserve"> =1.2, and </w:t>
      </w:r>
      <w:r w:rsidRPr="00D578E4">
        <w:rPr>
          <w:rFonts w:eastAsiaTheme="minorEastAsia"/>
          <w:i/>
        </w:rPr>
        <w:t xml:space="preserve">n </w:t>
      </w:r>
      <w:r w:rsidRPr="00D578E4">
        <w:rPr>
          <w:rFonts w:eastAsiaTheme="minorEastAsia"/>
        </w:rPr>
        <w:t>= 40.  Plugging these values into the formula above, we get: 24.9</w:t>
      </w:r>
      <m:oMath>
        <m:r>
          <w:rPr>
            <w:rFonts w:ascii="Cambria Math" w:eastAsiaTheme="minorEastAsia" w:hAnsi="Cambria Math"/>
          </w:rPr>
          <m:t xml:space="preserve"> </m:t>
        </m:r>
        <m:r>
          <w:rPr>
            <w:rFonts w:ascii="Cambria Math"/>
          </w:rPr>
          <m:t>±</m:t>
        </m:r>
        <m:r>
          <w:rPr>
            <w:rFonts w:ascii="Cambria Math"/>
          </w:rPr>
          <m:t xml:space="preserve"> 1.96</m:t>
        </m:r>
        <m:r>
          <w:rPr>
            <w:rFonts w:ascii="Cambria Math" w:hAnsi="Cambria Math"/>
          </w:rPr>
          <m:t>*</m:t>
        </m:r>
        <m:f>
          <m:fPr>
            <m:ctrlPr>
              <w:rPr>
                <w:rFonts w:ascii="Cambria Math" w:hAnsi="Cambria Math"/>
                <w:i/>
              </w:rPr>
            </m:ctrlPr>
          </m:fPr>
          <m:num>
            <m:r>
              <w:rPr>
                <w:rFonts w:ascii="Cambria Math"/>
              </w:rPr>
              <m:t>1.2</m:t>
            </m:r>
          </m:num>
          <m:den>
            <m:r>
              <w:rPr>
                <w:rFonts w:ascii="Cambria Math"/>
              </w:rPr>
              <m:t>√</m:t>
            </m:r>
            <m:r>
              <w:rPr>
                <w:rFonts w:ascii="Cambria Math"/>
              </w:rPr>
              <m:t>40</m:t>
            </m:r>
          </m:den>
        </m:f>
      </m:oMath>
      <w:r w:rsidRPr="00D578E4">
        <w:rPr>
          <w:rFonts w:eastAsiaTheme="minorEastAsia"/>
        </w:rPr>
        <w:t xml:space="preserve"> = 24.9</w:t>
      </w:r>
      <m:oMath>
        <m:r>
          <w:rPr>
            <w:rFonts w:ascii="Cambria Math" w:eastAsiaTheme="minorEastAsia" w:hAnsi="Cambria Math"/>
          </w:rPr>
          <m:t xml:space="preserve"> </m:t>
        </m:r>
        <m:r>
          <w:rPr>
            <w:rFonts w:ascii="Cambria Math" w:eastAsiaTheme="minorEastAsia"/>
          </w:rPr>
          <m:t>±</m:t>
        </m:r>
        <m:r>
          <w:rPr>
            <w:rFonts w:ascii="Cambria Math" w:eastAsiaTheme="minorEastAsia"/>
          </w:rPr>
          <m:t xml:space="preserve"> </m:t>
        </m:r>
      </m:oMath>
      <w:r w:rsidRPr="00D578E4">
        <w:rPr>
          <w:rFonts w:eastAsiaTheme="minorEastAsia"/>
        </w:rPr>
        <w:t>.3719 = (24.53, 25.27).</w:t>
      </w:r>
    </w:p>
    <w:p w:rsidR="00113C80" w:rsidRDefault="00113C80" w:rsidP="00113C80">
      <w:pPr>
        <w:pStyle w:val="ListParagraph"/>
        <w:numPr>
          <w:ilvl w:val="1"/>
          <w:numId w:val="1"/>
        </w:numPr>
        <w:spacing w:line="360" w:lineRule="auto"/>
        <w:jc w:val="both"/>
        <w:rPr>
          <w:rFonts w:eastAsiaTheme="minorEastAsia"/>
        </w:rPr>
      </w:pPr>
      <w:r w:rsidRPr="00D578E4">
        <w:rPr>
          <w:rFonts w:eastAsiaTheme="minorEastAsia"/>
        </w:rPr>
        <w:t>Similarly, the formula for</w:t>
      </w:r>
      <w:r>
        <w:rPr>
          <w:rFonts w:eastAsiaTheme="minorEastAsia"/>
        </w:rPr>
        <w:t xml:space="preserve"> the 90% confidence interval </w:t>
      </w:r>
      <w:r>
        <w:t xml:space="preserve">for </w:t>
      </w:r>
      <w:r w:rsidRPr="008A5251">
        <w:rPr>
          <w:i/>
        </w:rPr>
        <w:t>μ</w:t>
      </w:r>
      <w:r>
        <w:rPr>
          <w:rFonts w:eastAsiaTheme="minorEastAsia"/>
        </w:rPr>
        <w:t xml:space="preserve"> </w:t>
      </w:r>
      <w:proofErr w:type="gramStart"/>
      <w:r>
        <w:rPr>
          <w:rFonts w:eastAsiaTheme="minorEastAsia"/>
        </w:rPr>
        <w:t xml:space="preserve">is </w:t>
      </w:r>
      <w:proofErr w:type="gramEnd"/>
      <m:oMath>
        <m:acc>
          <m:accPr>
            <m:chr m:val="̅"/>
            <m:ctrlPr>
              <w:rPr>
                <w:rFonts w:ascii="Cambria Math" w:hAnsi="Cambria Math"/>
                <w:i/>
              </w:rPr>
            </m:ctrlPr>
          </m:accPr>
          <m:e>
            <m:r>
              <w:rPr>
                <w:rFonts w:ascii="Cambria Math" w:hAnsi="Cambria Math"/>
              </w:rPr>
              <m:t>x</m:t>
            </m:r>
          </m:e>
        </m:acc>
        <m:r>
          <w:rPr>
            <w:rFonts w:asci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hAnsi="Cambria Math"/>
          </w:rPr>
          <m:t>*</m:t>
        </m:r>
        <m:f>
          <m:fPr>
            <m:ctrlPr>
              <w:rPr>
                <w:rFonts w:ascii="Cambria Math" w:hAnsi="Cambria Math"/>
                <w:i/>
              </w:rPr>
            </m:ctrlPr>
          </m:fPr>
          <m:num>
            <m:r>
              <w:rPr>
                <w:rFonts w:ascii="Cambria Math" w:hAnsi="Cambria Math"/>
              </w:rPr>
              <m:t>σ</m:t>
            </m:r>
          </m:num>
          <m:den>
            <m:r>
              <w:rPr>
                <w:rFonts w:ascii="Cambria Math"/>
              </w:rPr>
              <m:t>√</m:t>
            </m:r>
            <m:r>
              <w:rPr>
                <w:rFonts w:ascii="Cambria Math" w:hAnsi="Cambria Math"/>
              </w:rPr>
              <m:t>n</m:t>
            </m:r>
          </m:den>
        </m:f>
      </m:oMath>
      <w:r>
        <w:rPr>
          <w:rFonts w:eastAsiaTheme="minorEastAsia"/>
        </w:rPr>
        <w:t>.</w:t>
      </w:r>
      <w:r w:rsidRPr="00D578E4">
        <w:rPr>
          <w:rFonts w:eastAsiaTheme="minorEastAsia"/>
        </w:rPr>
        <w:t xml:space="preserve"> </w:t>
      </w:r>
      <w:r>
        <w:rPr>
          <w:rFonts w:eastAsiaTheme="minorEastAsia"/>
        </w:rPr>
        <w:t xml:space="preserve">When we plug in the </w:t>
      </w:r>
      <w:proofErr w:type="gramStart"/>
      <w:r>
        <w:rPr>
          <w:rFonts w:eastAsiaTheme="minorEastAsia"/>
        </w:rPr>
        <w:t xml:space="preserve">values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=24.9</m:t>
        </m:r>
      </m:oMath>
      <w:r w:rsidRPr="00D578E4">
        <w:rPr>
          <w:rFonts w:eastAsiaTheme="minorEastAsia"/>
        </w:rPr>
        <w:t>, σ</w:t>
      </w:r>
      <w:r>
        <w:rPr>
          <w:rFonts w:eastAsiaTheme="minorEastAsia"/>
        </w:rPr>
        <w:t xml:space="preserve"> = 1.2, </w:t>
      </w:r>
      <m:oMath>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α/2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(1-0.9)/2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0.05</m:t>
            </m:r>
          </m:sub>
        </m:sSub>
        <m:r>
          <w:rPr>
            <w:rFonts w:ascii="Cambria Math" w:eastAsiaTheme="minorEastAsia" w:hAnsi="Cambria Math"/>
          </w:rPr>
          <m:t>=1.645</m:t>
        </m:r>
      </m:oMath>
      <w:r>
        <w:rPr>
          <w:rFonts w:eastAsiaTheme="minorEastAsia"/>
        </w:rPr>
        <w:t xml:space="preserve"> </w:t>
      </w:r>
      <w:r w:rsidRPr="00D578E4">
        <w:rPr>
          <w:rFonts w:eastAsiaTheme="minorEastAsia"/>
        </w:rPr>
        <w:t xml:space="preserve">and </w:t>
      </w:r>
      <w:r w:rsidRPr="00D578E4">
        <w:rPr>
          <w:rFonts w:eastAsiaTheme="minorEastAsia"/>
          <w:i/>
        </w:rPr>
        <w:t>n</w:t>
      </w:r>
      <w:r>
        <w:rPr>
          <w:rFonts w:eastAsiaTheme="minorEastAsia"/>
        </w:rPr>
        <w:t xml:space="preserve"> = 40</w:t>
      </w:r>
      <w:r w:rsidRPr="00D578E4">
        <w:rPr>
          <w:rFonts w:eastAsiaTheme="minorEastAsia"/>
        </w:rPr>
        <w:t>, we obtain 24.9</w:t>
      </w:r>
      <m:oMath>
        <m:r>
          <w:rPr>
            <w:rFonts w:ascii="Cambria Math"/>
          </w:rPr>
          <m:t>±</m:t>
        </m:r>
        <m:r>
          <w:rPr>
            <w:rFonts w:ascii="Cambria Math"/>
          </w:rPr>
          <m:t>1.645</m:t>
        </m:r>
        <m:r>
          <w:rPr>
            <w:rFonts w:ascii="Cambria Math" w:hAnsi="Cambria Math"/>
          </w:rPr>
          <m:t>*</m:t>
        </m:r>
        <m:f>
          <m:fPr>
            <m:ctrlPr>
              <w:rPr>
                <w:rFonts w:ascii="Cambria Math" w:hAnsi="Cambria Math"/>
                <w:i/>
              </w:rPr>
            </m:ctrlPr>
          </m:fPr>
          <m:num>
            <m:r>
              <w:rPr>
                <w:rFonts w:ascii="Cambria Math"/>
              </w:rPr>
              <m:t>1.2</m:t>
            </m:r>
          </m:num>
          <m:den>
            <m:r>
              <w:rPr>
                <w:rFonts w:ascii="Cambria Math"/>
              </w:rPr>
              <m:t>√</m:t>
            </m:r>
            <m:r>
              <w:rPr>
                <w:rFonts w:ascii="Cambria Math"/>
              </w:rPr>
              <m:t>40</m:t>
            </m:r>
          </m:den>
        </m:f>
      </m:oMath>
      <w:r w:rsidRPr="00D578E4">
        <w:rPr>
          <w:rFonts w:eastAsiaTheme="minorEastAsia"/>
        </w:rPr>
        <w:t xml:space="preserve"> = 24.9</w:t>
      </w:r>
      <m:oMath>
        <m:r>
          <w:rPr>
            <w:rFonts w:ascii="Cambria Math" w:eastAsiaTheme="minorEastAsia"/>
          </w:rPr>
          <m:t>±</m:t>
        </m:r>
      </m:oMath>
      <w:r w:rsidRPr="00D578E4">
        <w:rPr>
          <w:rFonts w:eastAsiaTheme="minorEastAsia"/>
        </w:rPr>
        <w:t>.3121 = (24.59, 25.21)</w:t>
      </w:r>
      <w:r>
        <w:rPr>
          <w:rFonts w:eastAsiaTheme="minorEastAsia"/>
        </w:rPr>
        <w:t>.</w:t>
      </w:r>
    </w:p>
    <w:p w:rsidR="00113C80" w:rsidRPr="001F26AB" w:rsidRDefault="00113C80" w:rsidP="00113C80">
      <w:pPr>
        <w:pStyle w:val="ListParagraph"/>
        <w:numPr>
          <w:ilvl w:val="0"/>
          <w:numId w:val="1"/>
        </w:numPr>
        <w:spacing w:line="360" w:lineRule="auto"/>
        <w:jc w:val="both"/>
        <w:rPr>
          <w:rFonts w:eastAsiaTheme="minorEastAsia"/>
        </w:rPr>
      </w:pPr>
      <w:r>
        <w:t>Interpret these results.</w:t>
      </w:r>
    </w:p>
    <w:p w:rsidR="00113C80" w:rsidRPr="001F26AB" w:rsidRDefault="00113C80" w:rsidP="00113C80">
      <w:pPr>
        <w:pStyle w:val="ListParagraph"/>
        <w:numPr>
          <w:ilvl w:val="1"/>
          <w:numId w:val="1"/>
        </w:numPr>
        <w:spacing w:line="360" w:lineRule="auto"/>
        <w:jc w:val="both"/>
        <w:rPr>
          <w:rFonts w:eastAsiaTheme="minorEastAsia"/>
        </w:rPr>
      </w:pPr>
      <w:r>
        <w:t xml:space="preserve">The 95% CI of (24.53, 25.27) means that the true population mean </w:t>
      </w:r>
      <w:r w:rsidRPr="008A5251">
        <w:rPr>
          <w:i/>
        </w:rPr>
        <w:t>μ</w:t>
      </w:r>
      <w:r>
        <w:t xml:space="preserve"> is between 24.53 and 25.27 with 95% confidence. To take it one step back, a 95% confidence interval (CI) means that if we draw many samples of size </w:t>
      </w:r>
      <w:r w:rsidRPr="00833204">
        <w:rPr>
          <w:i/>
        </w:rPr>
        <w:t xml:space="preserve">n </w:t>
      </w:r>
      <w:r>
        <w:t xml:space="preserve">= 40 from the population of burgers, then 95% of the samples will yield confidence intervals which contain the true population mean </w:t>
      </w:r>
      <w:r w:rsidRPr="008A5251">
        <w:rPr>
          <w:i/>
        </w:rPr>
        <w:t>μ</w:t>
      </w:r>
      <w:r>
        <w:t xml:space="preserve">, and the remaining 5% of the samples will yield confidence intervals which do not. We do not know whether our sample is one of the 95% or one of the 5% - but if our sample is one of the 5%, we’re pretty unlucky. Said differently, the probability that the 95% CI constructed from our (random) sample contains the true population mean is 0.95, and the probability that the 95% CI constructed from our sample doesn’t contain the true population mean is 0.05. Note that this previous statement doesn’t mean that </w:t>
      </w:r>
      <w:proofErr w:type="gramStart"/>
      <w:r>
        <w:t>P(</w:t>
      </w:r>
      <w:proofErr w:type="gramEnd"/>
      <w:r>
        <w:t xml:space="preserve">24.53 &lt; μ &lt; 25.27) = 0.95. In fact, the statement </w:t>
      </w:r>
      <w:proofErr w:type="gramStart"/>
      <w:r>
        <w:t>P(</w:t>
      </w:r>
      <w:proofErr w:type="gramEnd"/>
      <w:r>
        <w:t xml:space="preserve">24.53 &lt; μ &lt; 25.27) = 0.95 is absolutely wrong, because every sample would have a different sample mean and therefore would yield different confidence interval bounds. </w:t>
      </w:r>
    </w:p>
    <w:p w:rsidR="00113C80" w:rsidRPr="001F26AB" w:rsidRDefault="00113C80" w:rsidP="00113C80">
      <w:pPr>
        <w:pStyle w:val="ListParagraph"/>
        <w:numPr>
          <w:ilvl w:val="1"/>
          <w:numId w:val="1"/>
        </w:numPr>
        <w:spacing w:line="360" w:lineRule="auto"/>
        <w:jc w:val="both"/>
        <w:rPr>
          <w:rFonts w:eastAsiaTheme="minorEastAsia"/>
        </w:rPr>
      </w:pPr>
      <w:r>
        <w:t xml:space="preserve">The 90% CI can be interpreted in a similar way. </w:t>
      </w:r>
    </w:p>
    <w:p w:rsidR="00113C80" w:rsidRPr="00833204" w:rsidRDefault="00113C80" w:rsidP="00113C80">
      <w:pPr>
        <w:pStyle w:val="ListParagraph"/>
        <w:numPr>
          <w:ilvl w:val="1"/>
          <w:numId w:val="1"/>
        </w:numPr>
        <w:spacing w:line="360" w:lineRule="auto"/>
        <w:jc w:val="both"/>
        <w:rPr>
          <w:rFonts w:eastAsiaTheme="minorEastAsia"/>
        </w:rPr>
      </w:pPr>
      <w:r>
        <w:t xml:space="preserve">In addition, note that the 95% CI is wider than the 90% CI. That is because a wider interval contains more possible values for </w:t>
      </w:r>
      <w:r w:rsidRPr="008A5251">
        <w:rPr>
          <w:i/>
        </w:rPr>
        <w:t>μ</w:t>
      </w:r>
      <w:r>
        <w:t xml:space="preserve">, and as the width increases, so does our confidence that the true population mean </w:t>
      </w:r>
      <w:r w:rsidRPr="008A5251">
        <w:rPr>
          <w:i/>
        </w:rPr>
        <w:t>μ</w:t>
      </w:r>
      <w:r>
        <w:t xml:space="preserve"> is within that interval. </w:t>
      </w:r>
    </w:p>
    <w:p w:rsidR="00113C80" w:rsidRPr="001F26AB" w:rsidRDefault="00113C80" w:rsidP="00113C80">
      <w:pPr>
        <w:pStyle w:val="ListParagraph"/>
        <w:numPr>
          <w:ilvl w:val="0"/>
          <w:numId w:val="1"/>
        </w:numPr>
        <w:spacing w:line="360" w:lineRule="auto"/>
        <w:jc w:val="both"/>
        <w:rPr>
          <w:rFonts w:eastAsiaTheme="minorEastAsia"/>
        </w:rPr>
      </w:pPr>
      <w:r w:rsidRPr="00D578E4">
        <w:t xml:space="preserve">Assume you want to find the sample size which will yield a </w:t>
      </w:r>
      <w:r>
        <w:t xml:space="preserve">CI </w:t>
      </w:r>
      <w:r w:rsidRPr="00D578E4">
        <w:t>of width 5. What sample size should you use?</w:t>
      </w:r>
    </w:p>
    <w:p w:rsidR="00113C80" w:rsidRDefault="00113C80" w:rsidP="00113C80">
      <w:pPr>
        <w:pStyle w:val="ListParagraph"/>
        <w:numPr>
          <w:ilvl w:val="1"/>
          <w:numId w:val="1"/>
        </w:numPr>
        <w:spacing w:line="360" w:lineRule="auto"/>
        <w:jc w:val="both"/>
        <w:rPr>
          <w:rFonts w:eastAsiaTheme="minorEastAsia"/>
        </w:rPr>
      </w:pPr>
      <w:r w:rsidRPr="00396E78">
        <w:rPr>
          <w:rFonts w:eastAsiaTheme="minorEastAsia"/>
        </w:rPr>
        <w:lastRenderedPageBreak/>
        <w:t xml:space="preserve">To find the sample size that would yield a </w:t>
      </w:r>
      <w:r>
        <w:rPr>
          <w:rFonts w:eastAsiaTheme="minorEastAsia"/>
        </w:rPr>
        <w:t xml:space="preserve">95% </w:t>
      </w:r>
      <w:r w:rsidRPr="00396E78">
        <w:rPr>
          <w:rFonts w:eastAsiaTheme="minorEastAsia"/>
        </w:rPr>
        <w:t xml:space="preserve">confidence interval with width 5, we would use the </w:t>
      </w:r>
      <w:proofErr w:type="gramStart"/>
      <w:r w:rsidRPr="00396E78">
        <w:rPr>
          <w:rFonts w:eastAsiaTheme="minorEastAsia"/>
        </w:rPr>
        <w:t xml:space="preserve">formula </w:t>
      </w:r>
      <m:oMath>
        <m:r>
          <w:rPr>
            <w:rFonts w:ascii="Cambria Math" w:eastAsiaTheme="minorEastAsia"/>
          </w:rPr>
          <m:t>=</m:t>
        </m:r>
        <w:proofErr w:type="gramEn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r>
                      <w:rPr>
                        <w:rFonts w:ascii="Cambria Math" w:eastAsiaTheme="minorEastAsia"/>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w</m:t>
                    </m:r>
                  </m:den>
                </m:f>
              </m:e>
            </m:d>
          </m:e>
          <m:sup>
            <m:r>
              <w:rPr>
                <w:rFonts w:ascii="Cambria Math" w:eastAsiaTheme="minorEastAsia"/>
              </w:rPr>
              <m:t>2</m:t>
            </m:r>
          </m:sup>
        </m:sSup>
      </m:oMath>
      <w:r w:rsidRPr="00396E78">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r>
              <w:rPr>
                <w:rFonts w:ascii="Cambria Math" w:eastAsiaTheme="minorEastAsia"/>
              </w:rPr>
              <m:t>/2</m:t>
            </m:r>
          </m:sub>
        </m:sSub>
      </m:oMath>
      <w:r w:rsidRPr="00396E78">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0.025</m:t>
            </m:r>
          </m:sub>
        </m:sSub>
      </m:oMath>
      <w:r w:rsidRPr="00396E78">
        <w:rPr>
          <w:rFonts w:eastAsiaTheme="minorEastAsia"/>
        </w:rPr>
        <w:t xml:space="preserve"> = 1.96. Specifically, </w:t>
      </w:r>
      <m:oMath>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2</m:t>
                </m:r>
                <m:r>
                  <w:rPr>
                    <w:rFonts w:ascii="Cambria Math" w:eastAsiaTheme="minorEastAsia" w:hAnsi="Cambria Math"/>
                  </w:rPr>
                  <m:t>*</m:t>
                </m:r>
                <m:r>
                  <w:rPr>
                    <w:rFonts w:ascii="Cambria Math" w:eastAsiaTheme="minorEastAsia"/>
                  </w:rPr>
                  <m:t>1.96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1.2</m:t>
                    </m:r>
                  </m:num>
                  <m:den>
                    <m:r>
                      <w:rPr>
                        <w:rFonts w:ascii="Cambria Math" w:eastAsiaTheme="minorEastAsia"/>
                      </w:rPr>
                      <m:t>5</m:t>
                    </m:r>
                  </m:den>
                </m:f>
              </m:e>
            </m:d>
          </m:e>
          <m:sup>
            <m:r>
              <w:rPr>
                <w:rFonts w:ascii="Cambria Math" w:eastAsiaTheme="minorEastAsia"/>
              </w:rPr>
              <m:t>2</m:t>
            </m:r>
          </m:sup>
        </m:sSup>
      </m:oMath>
      <w:r w:rsidRPr="00396E78">
        <w:rPr>
          <w:rFonts w:eastAsiaTheme="minorEastAsia"/>
        </w:rPr>
        <w:t xml:space="preserve">= 0.8851 ≈ 1. </w:t>
      </w:r>
    </w:p>
    <w:p w:rsidR="00113C80" w:rsidRDefault="00113C80" w:rsidP="00113C80">
      <w:pPr>
        <w:pStyle w:val="ListParagraph"/>
        <w:numPr>
          <w:ilvl w:val="1"/>
          <w:numId w:val="1"/>
        </w:numPr>
        <w:spacing w:line="360" w:lineRule="auto"/>
        <w:jc w:val="both"/>
      </w:pPr>
      <w:r>
        <w:rPr>
          <w:rFonts w:eastAsiaTheme="minorEastAsia"/>
        </w:rPr>
        <w:t>Intuitively</w:t>
      </w:r>
      <w:r w:rsidRPr="007E18E7">
        <w:rPr>
          <w:rFonts w:eastAsiaTheme="minorEastAsia"/>
        </w:rPr>
        <w:t xml:space="preserve">, the confidence interval width of 5 is so </w:t>
      </w:r>
      <w:r>
        <w:rPr>
          <w:rFonts w:eastAsiaTheme="minorEastAsia"/>
        </w:rPr>
        <w:t>wide</w:t>
      </w:r>
      <w:r w:rsidRPr="007E18E7">
        <w:rPr>
          <w:rFonts w:eastAsiaTheme="minorEastAsia"/>
        </w:rPr>
        <w:t xml:space="preserve"> that </w:t>
      </w:r>
      <w:r>
        <w:rPr>
          <w:rFonts w:eastAsiaTheme="minorEastAsia"/>
        </w:rPr>
        <w:t xml:space="preserve">most </w:t>
      </w:r>
      <w:r w:rsidRPr="007E18E7">
        <w:rPr>
          <w:rFonts w:eastAsiaTheme="minorEastAsia"/>
        </w:rPr>
        <w:t xml:space="preserve">observations will be within that interval. </w:t>
      </w:r>
      <w:r>
        <w:rPr>
          <w:rFonts w:eastAsiaTheme="minorEastAsia"/>
        </w:rPr>
        <w:t xml:space="preserve">But in confidence interval terms, </w:t>
      </w:r>
      <w:r w:rsidRPr="007E18E7">
        <w:rPr>
          <w:rFonts w:eastAsiaTheme="minorEastAsia"/>
        </w:rPr>
        <w:t xml:space="preserve">the width of a 95% confidence interval will be (even less than) 5 even if our sample contains only </w:t>
      </w:r>
      <w:r>
        <w:rPr>
          <w:rFonts w:eastAsiaTheme="minorEastAsia"/>
        </w:rPr>
        <w:t>1 burger. So we can say that 95% of the confidence intervals constructed from all samples containing just 1 burger will contain the true population mean.</w:t>
      </w:r>
    </w:p>
    <w:p w:rsidR="00113C80" w:rsidRDefault="00113C80" w:rsidP="00113C80">
      <w:pPr>
        <w:spacing w:line="360" w:lineRule="auto"/>
        <w:jc w:val="both"/>
      </w:pPr>
    </w:p>
    <w:p w:rsidR="00113C80" w:rsidRDefault="00113C80" w:rsidP="00113C80">
      <w:pPr>
        <w:spacing w:line="360" w:lineRule="auto"/>
        <w:jc w:val="both"/>
      </w:pPr>
      <w:r w:rsidRPr="00C31C15">
        <w:rPr>
          <w:u w:val="single"/>
        </w:rPr>
        <w:t>Problem 2</w:t>
      </w:r>
      <w:r w:rsidRPr="00D578E4">
        <w:t xml:space="preserve">: Assume burger weight is not normally distributed, but you have a sample of 100 burgers which weigh 25.1 grams. You don't know the population standard deviation, but the sample standard deviation is 1.8 grams. </w:t>
      </w:r>
    </w:p>
    <w:p w:rsidR="00113C80" w:rsidRDefault="00113C80" w:rsidP="00113C80">
      <w:pPr>
        <w:pStyle w:val="ListParagraph"/>
        <w:numPr>
          <w:ilvl w:val="0"/>
          <w:numId w:val="2"/>
        </w:numPr>
        <w:spacing w:line="360" w:lineRule="auto"/>
        <w:jc w:val="both"/>
      </w:pPr>
      <w:r w:rsidRPr="00D578E4">
        <w:t xml:space="preserve">Can you use the Central Limit Theorem </w:t>
      </w:r>
      <w:r>
        <w:t xml:space="preserve">(CLT) </w:t>
      </w:r>
      <w:r w:rsidRPr="00D578E4">
        <w:t xml:space="preserve">here? Why or why not? </w:t>
      </w:r>
    </w:p>
    <w:p w:rsidR="00113C80" w:rsidRDefault="00113C80" w:rsidP="00113C80">
      <w:pPr>
        <w:pStyle w:val="ListParagraph"/>
        <w:numPr>
          <w:ilvl w:val="1"/>
          <w:numId w:val="2"/>
        </w:numPr>
        <w:spacing w:line="360" w:lineRule="auto"/>
        <w:jc w:val="both"/>
      </w:pPr>
      <w:r>
        <w:t xml:space="preserve">Yes, because </w:t>
      </w:r>
      <w:r w:rsidRPr="00EB32BF">
        <w:rPr>
          <w:i/>
          <w:iCs/>
        </w:rPr>
        <w:t>n</w:t>
      </w:r>
      <w:r>
        <w:t xml:space="preserve"> = 100 &gt; 40. Recall that the CLT states that the distribution of the sample mean </w:t>
      </w:r>
      <m:oMath>
        <m:acc>
          <m:accPr>
            <m:chr m:val="̅"/>
            <m:ctrlPr>
              <w:rPr>
                <w:rFonts w:ascii="Cambria Math" w:hAnsi="Cambria Math"/>
                <w:i/>
              </w:rPr>
            </m:ctrlPr>
          </m:accPr>
          <m:e>
            <m:r>
              <w:rPr>
                <w:rFonts w:ascii="Cambria Math" w:hAnsi="Cambria Math"/>
              </w:rPr>
              <m:t>X</m:t>
            </m:r>
          </m:e>
        </m:acc>
      </m:oMath>
      <w:r>
        <w:t xml:space="preserve"> will be (approximately) normal regardless of the distribution from which </w:t>
      </w:r>
      <w:r w:rsidRPr="005665B4">
        <w:rPr>
          <w:i/>
        </w:rPr>
        <w:t>X</w:t>
      </w:r>
      <w:r w:rsidRPr="005665B4">
        <w:rPr>
          <w:i/>
          <w:sz w:val="16"/>
        </w:rPr>
        <w:t>1</w:t>
      </w:r>
      <w:r>
        <w:t xml:space="preserve">, </w:t>
      </w:r>
      <w:r w:rsidRPr="005665B4">
        <w:rPr>
          <w:i/>
        </w:rPr>
        <w:t>X</w:t>
      </w:r>
      <w:r w:rsidRPr="005665B4">
        <w:rPr>
          <w:i/>
          <w:sz w:val="16"/>
        </w:rPr>
        <w:t>2</w:t>
      </w:r>
      <w:r>
        <w:t xml:space="preserve">,…, </w:t>
      </w:r>
      <w:proofErr w:type="spellStart"/>
      <w:r w:rsidRPr="005665B4">
        <w:rPr>
          <w:i/>
        </w:rPr>
        <w:t>X</w:t>
      </w:r>
      <w:r w:rsidRPr="005665B4">
        <w:rPr>
          <w:i/>
          <w:sz w:val="16"/>
        </w:rPr>
        <w:t>n</w:t>
      </w:r>
      <w:proofErr w:type="spellEnd"/>
      <w:r>
        <w:t xml:space="preserve"> come.</w:t>
      </w:r>
    </w:p>
    <w:p w:rsidR="00113C80" w:rsidRDefault="00113C80" w:rsidP="00113C80">
      <w:pPr>
        <w:pStyle w:val="ListParagraph"/>
        <w:numPr>
          <w:ilvl w:val="0"/>
          <w:numId w:val="2"/>
        </w:numPr>
        <w:spacing w:line="360" w:lineRule="auto"/>
        <w:jc w:val="both"/>
      </w:pPr>
      <w:r w:rsidRPr="00D578E4">
        <w:t xml:space="preserve">Calculate the 90% confidence interval for the mean burger weight. </w:t>
      </w:r>
    </w:p>
    <w:p w:rsidR="00113C80" w:rsidRPr="00D578E4" w:rsidRDefault="00113C80" w:rsidP="00113C80">
      <w:pPr>
        <w:pStyle w:val="ListParagraph"/>
        <w:numPr>
          <w:ilvl w:val="1"/>
          <w:numId w:val="2"/>
        </w:numPr>
        <w:spacing w:line="360" w:lineRule="auto"/>
        <w:jc w:val="both"/>
      </w:pPr>
      <w:r w:rsidRPr="00D578E4">
        <w:t xml:space="preserve">To calculate the 90% confidence interval </w:t>
      </w:r>
      <w:r>
        <w:t xml:space="preserve">for </w:t>
      </w:r>
      <w:r w:rsidRPr="00D578E4">
        <w:t>mean burger weight</w:t>
      </w:r>
      <w:r>
        <w:t xml:space="preserve"> </w:t>
      </w:r>
      <w:r w:rsidRPr="008E248A">
        <w:rPr>
          <w:i/>
        </w:rPr>
        <w:t>μ</w:t>
      </w:r>
      <w:r w:rsidRPr="00D578E4">
        <w:t>, we use the following formula</w:t>
      </w:r>
      <w:proofErr w:type="gramStart"/>
      <w:r w:rsidRPr="00D578E4">
        <w:t>:</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r>
              <w:rPr>
                <w:rFonts w:ascii="Cambria Math" w:eastAsiaTheme="minorEastAsia"/>
              </w:rPr>
              <m:t>/</m:t>
            </m:r>
            <m:r>
              <w:rPr>
                <w:rFonts w:ascii="Cambria Math" w:eastAsiaTheme="minorEastAsia" w:hAnsi="Cambria Math"/>
              </w:rPr>
              <m:t>2</m:t>
            </m:r>
          </m:sub>
        </m:sSub>
        <m:r>
          <w:rPr>
            <w:rFonts w:hAnsi="Cambria Math"/>
          </w:rPr>
          <m:t>*</m:t>
        </m:r>
        <m:f>
          <m:fPr>
            <m:ctrlPr>
              <w:rPr>
                <w:rFonts w:ascii="Cambria Math" w:hAnsi="Cambria Math"/>
                <w:i/>
              </w:rPr>
            </m:ctrlPr>
          </m:fPr>
          <m:num>
            <m:r>
              <w:rPr>
                <w:rFonts w:ascii="Cambria Math" w:hAnsi="Cambria Math"/>
              </w:rPr>
              <m:t>s</m:t>
            </m:r>
          </m:num>
          <m:den>
            <m:r>
              <w:rPr>
                <w:rFonts w:ascii="Cambria Math"/>
              </w:rPr>
              <m:t>√</m:t>
            </m:r>
            <m:r>
              <w:rPr>
                <w:rFonts w:ascii="Cambria Math" w:hAnsi="Cambria Math"/>
              </w:rPr>
              <m:t>n</m:t>
            </m:r>
          </m:den>
        </m:f>
      </m:oMath>
      <w:r w:rsidRPr="008E248A">
        <w:rPr>
          <w:rFonts w:eastAsiaTheme="minorEastAsia"/>
        </w:rPr>
        <w:t>.</w:t>
      </w:r>
      <w:proofErr w:type="gramEnd"/>
      <w:r w:rsidRPr="008E248A">
        <w:rPr>
          <w:rFonts w:eastAsiaTheme="minorEastAsia"/>
        </w:rPr>
        <w:t xml:space="preserve">  Plugging in the values, we get </w:t>
      </w:r>
      <m:oMath>
        <m:r>
          <w:rPr>
            <w:rFonts w:ascii="Cambria Math"/>
          </w:rPr>
          <m:t>25.1</m:t>
        </m:r>
        <m:r>
          <w:rPr>
            <w:rFonts w:ascii="Cambria Math"/>
          </w:rPr>
          <m:t>±</m:t>
        </m:r>
        <m:r>
          <w:rPr>
            <w:rFonts w:ascii="Cambria Math" w:eastAsiaTheme="minorEastAsia"/>
          </w:rPr>
          <m:t>1.645</m:t>
        </m:r>
        <m:r>
          <w:rPr>
            <w:rFonts w:hAnsi="Cambria Math"/>
          </w:rPr>
          <m:t>*</m:t>
        </m:r>
        <m:f>
          <m:fPr>
            <m:ctrlPr>
              <w:rPr>
                <w:rFonts w:ascii="Cambria Math" w:hAnsi="Cambria Math"/>
                <w:i/>
              </w:rPr>
            </m:ctrlPr>
          </m:fPr>
          <m:num>
            <m:r>
              <w:rPr>
                <w:rFonts w:ascii="Cambria Math"/>
              </w:rPr>
              <m:t>1.8</m:t>
            </m:r>
          </m:num>
          <m:den>
            <m:r>
              <w:rPr>
                <w:rFonts w:ascii="Cambria Math"/>
              </w:rPr>
              <m:t>√</m:t>
            </m:r>
            <m:r>
              <w:rPr>
                <w:rFonts w:ascii="Cambria Math"/>
              </w:rPr>
              <m:t>100</m:t>
            </m:r>
          </m:den>
        </m:f>
      </m:oMath>
      <w:r w:rsidRPr="008E248A">
        <w:rPr>
          <w:rFonts w:eastAsiaTheme="minorEastAsia"/>
        </w:rPr>
        <w:t xml:space="preserve"> =25.1</w:t>
      </w:r>
      <m:oMath>
        <m:r>
          <w:rPr>
            <w:rFonts w:ascii="Cambria Math" w:eastAsiaTheme="minorEastAsia"/>
          </w:rPr>
          <m:t xml:space="preserve"> </m:t>
        </m:r>
        <m:r>
          <w:rPr>
            <w:rFonts w:ascii="Cambria Math" w:eastAsiaTheme="minorEastAsia"/>
          </w:rPr>
          <m:t>±</m:t>
        </m:r>
        <m:r>
          <w:rPr>
            <w:rFonts w:ascii="Cambria Math" w:eastAsiaTheme="minorEastAsia"/>
          </w:rPr>
          <m:t xml:space="preserve"> </m:t>
        </m:r>
      </m:oMath>
      <w:r w:rsidRPr="008E248A">
        <w:rPr>
          <w:rFonts w:eastAsiaTheme="minorEastAsia"/>
        </w:rPr>
        <w:t xml:space="preserve">0.2961 </w:t>
      </w:r>
      <w:r w:rsidRPr="00D578E4">
        <w:t>= (24.80, 25.40)</w:t>
      </w:r>
      <w:r>
        <w:t>.</w:t>
      </w:r>
    </w:p>
    <w:p w:rsidR="00113C80" w:rsidRDefault="00113C80" w:rsidP="00113C80">
      <w:pPr>
        <w:pStyle w:val="ListParagraph"/>
        <w:numPr>
          <w:ilvl w:val="0"/>
          <w:numId w:val="2"/>
        </w:numPr>
        <w:spacing w:line="360" w:lineRule="auto"/>
        <w:jc w:val="both"/>
      </w:pPr>
      <w:r w:rsidRPr="00D578E4">
        <w:t xml:space="preserve">Interpret the confidence interval. </w:t>
      </w:r>
    </w:p>
    <w:p w:rsidR="00113C80" w:rsidRDefault="00113C80" w:rsidP="00113C80">
      <w:pPr>
        <w:pStyle w:val="ListParagraph"/>
        <w:numPr>
          <w:ilvl w:val="1"/>
          <w:numId w:val="2"/>
        </w:numPr>
        <w:spacing w:line="360" w:lineRule="auto"/>
        <w:jc w:val="both"/>
      </w:pPr>
      <w:r>
        <w:t xml:space="preserve">The interpretation from 1.b above can be adapted here. </w:t>
      </w:r>
    </w:p>
    <w:p w:rsidR="00113C80" w:rsidRDefault="00113C80" w:rsidP="00113C80">
      <w:pPr>
        <w:pStyle w:val="ListParagraph"/>
        <w:numPr>
          <w:ilvl w:val="0"/>
          <w:numId w:val="2"/>
        </w:numPr>
        <w:spacing w:line="360" w:lineRule="auto"/>
        <w:jc w:val="both"/>
      </w:pPr>
      <w:r w:rsidRPr="00D578E4">
        <w:t>In your own words, explain what happens when you use the population standard deviation as opposed to the sample standard deviation in the confidence interval</w:t>
      </w:r>
      <w:r>
        <w:t xml:space="preserve"> </w:t>
      </w:r>
      <w:r w:rsidRPr="00D578E4">
        <w:t xml:space="preserve">calculations. </w:t>
      </w:r>
    </w:p>
    <w:p w:rsidR="00113C80" w:rsidRDefault="00113C80" w:rsidP="00113C80">
      <w:pPr>
        <w:pStyle w:val="ListParagraph"/>
        <w:numPr>
          <w:ilvl w:val="1"/>
          <w:numId w:val="2"/>
        </w:numPr>
        <w:spacing w:line="360" w:lineRule="auto"/>
        <w:jc w:val="both"/>
      </w:pPr>
      <w:r>
        <w:t xml:space="preserve">In most situations, we do not have the population standard deviation </w:t>
      </w:r>
      <w:r w:rsidRPr="00513AC6">
        <w:rPr>
          <w:i/>
        </w:rPr>
        <w:t>σ</w:t>
      </w:r>
      <w:r>
        <w:t xml:space="preserve"> available (because </w:t>
      </w:r>
      <w:r w:rsidRPr="00513AC6">
        <w:rPr>
          <w:i/>
        </w:rPr>
        <w:t>σ</w:t>
      </w:r>
      <w:r>
        <w:rPr>
          <w:i/>
        </w:rPr>
        <w:t xml:space="preserve"> </w:t>
      </w:r>
      <w:r>
        <w:t xml:space="preserve">is generally computed once </w:t>
      </w:r>
      <w:r w:rsidRPr="008E248A">
        <w:rPr>
          <w:i/>
        </w:rPr>
        <w:t>μ</w:t>
      </w:r>
      <w:r>
        <w:t xml:space="preserve"> is known and not before, and if we know </w:t>
      </w:r>
      <w:r w:rsidRPr="008E248A">
        <w:rPr>
          <w:i/>
        </w:rPr>
        <w:t>μ</w:t>
      </w:r>
      <w:r>
        <w:rPr>
          <w:i/>
        </w:rPr>
        <w:t xml:space="preserve"> </w:t>
      </w:r>
      <w:r>
        <w:t xml:space="preserve">there is no need to construct a confidence interval for it). Thus, in most situations, we use the value of the sample standard deviation, </w:t>
      </w:r>
      <w:r>
        <w:rPr>
          <w:i/>
        </w:rPr>
        <w:t>s</w:t>
      </w:r>
      <w:r>
        <w:t xml:space="preserve">, as the estimate of </w:t>
      </w:r>
      <w:r w:rsidRPr="00513AC6">
        <w:rPr>
          <w:i/>
        </w:rPr>
        <w:t>σ</w:t>
      </w:r>
      <w:r>
        <w:t xml:space="preserve">. However, because </w:t>
      </w:r>
      <w:r>
        <w:rPr>
          <w:i/>
        </w:rPr>
        <w:t>S</w:t>
      </w:r>
      <w:r>
        <w:t xml:space="preserve"> is a random variable, its value </w:t>
      </w:r>
      <w:r>
        <w:rPr>
          <w:i/>
        </w:rPr>
        <w:t>s</w:t>
      </w:r>
      <w:r>
        <w:t xml:space="preserve"> will vary from sample to sample just like the value of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therefore, substituting </w:t>
      </w:r>
      <w:r>
        <w:rPr>
          <w:rFonts w:eastAsiaTheme="minorEastAsia"/>
          <w:i/>
        </w:rPr>
        <w:t>s</w:t>
      </w:r>
      <w:r>
        <w:rPr>
          <w:rFonts w:eastAsiaTheme="minorEastAsia"/>
        </w:rPr>
        <w:t xml:space="preserve"> for </w:t>
      </w:r>
      <w:r w:rsidRPr="00513AC6">
        <w:rPr>
          <w:i/>
        </w:rPr>
        <w:t>σ</w:t>
      </w:r>
      <w:r>
        <w:t xml:space="preserve"> in the </w:t>
      </w:r>
      <m:oMath>
        <m:acc>
          <m:accPr>
            <m:chr m:val="̅"/>
            <m:ctrlPr>
              <w:rPr>
                <w:rFonts w:ascii="Cambria Math" w:hAnsi="Cambria Math"/>
                <w:i/>
              </w:rPr>
            </m:ctrlPr>
          </m:accPr>
          <m:e>
            <m:r>
              <w:rPr>
                <w:rFonts w:ascii="Cambria Math" w:hAnsi="Cambria Math"/>
              </w:rPr>
              <m:t>x</m:t>
            </m:r>
          </m:e>
        </m:acc>
        <m:r>
          <w:rPr>
            <w:rFonts w:asci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hAnsi="Cambria Math"/>
          </w:rPr>
          <m:t>*</m:t>
        </m:r>
        <m:f>
          <m:fPr>
            <m:ctrlPr>
              <w:rPr>
                <w:rFonts w:ascii="Cambria Math" w:hAnsi="Cambria Math"/>
                <w:i/>
              </w:rPr>
            </m:ctrlPr>
          </m:fPr>
          <m:num>
            <m:r>
              <w:rPr>
                <w:rFonts w:ascii="Cambria Math" w:hAnsi="Cambria Math"/>
              </w:rPr>
              <m:t>σ</m:t>
            </m:r>
          </m:num>
          <m:den>
            <m:r>
              <w:rPr>
                <w:rFonts w:ascii="Cambria Math"/>
              </w:rPr>
              <m:t>√</m:t>
            </m:r>
            <m:r>
              <w:rPr>
                <w:rFonts w:ascii="Cambria Math" w:hAnsi="Cambria Math"/>
              </w:rPr>
              <m:t>n</m:t>
            </m:r>
          </m:den>
        </m:f>
      </m:oMath>
      <w:r>
        <w:rPr>
          <w:rFonts w:eastAsiaTheme="minorEastAsia"/>
        </w:rPr>
        <w:t xml:space="preserve"> formula does add more variability. However, this variability is small when </w:t>
      </w:r>
      <w:r>
        <w:rPr>
          <w:rFonts w:eastAsiaTheme="minorEastAsia"/>
          <w:i/>
        </w:rPr>
        <w:t>n</w:t>
      </w:r>
      <w:r>
        <w:rPr>
          <w:rFonts w:eastAsiaTheme="minorEastAsia"/>
        </w:rPr>
        <w:t xml:space="preserve"> is large (say, greater than 40), and the random variable </w:t>
      </w: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acc>
                  <m:accPr>
                    <m:chr m:val="̅"/>
                    <m:ctrlPr>
                      <w:rPr>
                        <w:rFonts w:ascii="Cambria Math" w:hAnsi="Cambria Math"/>
                        <w:i/>
                        <w:sz w:val="28"/>
                        <w:szCs w:val="28"/>
                      </w:rPr>
                    </m:ctrlPr>
                  </m:accPr>
                  <m:e>
                    <m:r>
                      <w:rPr>
                        <w:rFonts w:ascii="Cambria Math" w:hAnsi="Cambria Math"/>
                        <w:sz w:val="28"/>
                        <w:szCs w:val="28"/>
                      </w:rPr>
                      <m:t>X</m:t>
                    </m:r>
                  </m:e>
                </m:acc>
              </m:sub>
            </m:sSub>
          </m:num>
          <m:den>
            <m:r>
              <w:rPr>
                <w:rFonts w:ascii="Cambria Math" w:hAnsi="Cambria Math"/>
                <w:sz w:val="28"/>
                <w:szCs w:val="28"/>
              </w:rPr>
              <m:t>S/</m:t>
            </m:r>
            <m:rad>
              <m:radPr>
                <m:degHide m:val="1"/>
                <m:ctrlPr>
                  <w:rPr>
                    <w:rFonts w:ascii="Cambria Math" w:hAnsi="Cambria Math"/>
                    <w:i/>
                    <w:sz w:val="28"/>
                    <w:szCs w:val="28"/>
                  </w:rPr>
                </m:ctrlPr>
              </m:radPr>
              <m:deg/>
              <m:e>
                <m:r>
                  <w:rPr>
                    <w:rFonts w:ascii="Cambria Math" w:hAnsi="Cambria Math"/>
                    <w:sz w:val="28"/>
                    <w:szCs w:val="28"/>
                  </w:rPr>
                  <m:t>n</m:t>
                </m:r>
              </m:e>
            </m:rad>
          </m:den>
        </m:f>
      </m:oMath>
      <w:r>
        <w:rPr>
          <w:rFonts w:eastAsiaTheme="minorEastAsia"/>
          <w:sz w:val="28"/>
          <w:szCs w:val="28"/>
        </w:rPr>
        <w:t xml:space="preserve"> </w:t>
      </w:r>
      <w:r>
        <w:rPr>
          <w:rFonts w:eastAsiaTheme="minorEastAsia"/>
        </w:rPr>
        <w:t xml:space="preserve">still has an approximately standard normal distribution. (Because of the CLT, this holds regardless of the distribution of </w:t>
      </w:r>
      <w:r>
        <w:rPr>
          <w:rFonts w:eastAsiaTheme="minorEastAsia"/>
          <w:i/>
        </w:rPr>
        <w:t>X</w:t>
      </w:r>
      <w:r>
        <w:rPr>
          <w:rFonts w:eastAsiaTheme="minorEastAsia"/>
        </w:rPr>
        <w:t xml:space="preserve">.) On the other hand, when </w:t>
      </w:r>
      <w:r>
        <w:rPr>
          <w:rFonts w:eastAsiaTheme="minorEastAsia"/>
          <w:i/>
        </w:rPr>
        <w:t>n</w:t>
      </w:r>
      <w:r>
        <w:rPr>
          <w:rFonts w:eastAsiaTheme="minorEastAsia"/>
        </w:rPr>
        <w:t xml:space="preserve"> is small (say, less than 40), </w:t>
      </w:r>
      <w:r w:rsidRPr="00437FCA">
        <w:rPr>
          <w:rFonts w:eastAsiaTheme="minorEastAsia"/>
          <w:i/>
        </w:rPr>
        <w:t>s</w:t>
      </w:r>
      <w:r>
        <w:rPr>
          <w:rFonts w:eastAsiaTheme="minorEastAsia"/>
        </w:rPr>
        <w:t xml:space="preserve"> is no longer a good estimate of </w:t>
      </w:r>
      <w:r w:rsidRPr="00513AC6">
        <w:rPr>
          <w:i/>
        </w:rPr>
        <w:t>σ</w:t>
      </w:r>
      <w:r>
        <w:t>, and</w:t>
      </w:r>
      <w:r>
        <w:rPr>
          <w:rFonts w:eastAsiaTheme="minorEastAsia"/>
        </w:rPr>
        <w:t xml:space="preserve"> </w:t>
      </w:r>
      <w:r w:rsidRPr="00437FCA">
        <w:rPr>
          <w:rFonts w:eastAsiaTheme="minorEastAsia"/>
        </w:rPr>
        <w:t>the</w:t>
      </w:r>
      <w:r>
        <w:rPr>
          <w:rFonts w:eastAsiaTheme="minorEastAsia"/>
        </w:rPr>
        <w:t xml:space="preserve"> random </w:t>
      </w:r>
      <w:r>
        <w:rPr>
          <w:rFonts w:eastAsiaTheme="minorEastAsia"/>
        </w:rPr>
        <w:lastRenderedPageBreak/>
        <w:t xml:space="preserve">variable </w:t>
      </w: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acc>
                  <m:accPr>
                    <m:chr m:val="̅"/>
                    <m:ctrlPr>
                      <w:rPr>
                        <w:rFonts w:ascii="Cambria Math" w:hAnsi="Cambria Math"/>
                        <w:i/>
                        <w:sz w:val="28"/>
                        <w:szCs w:val="28"/>
                      </w:rPr>
                    </m:ctrlPr>
                  </m:accPr>
                  <m:e>
                    <m:r>
                      <w:rPr>
                        <w:rFonts w:ascii="Cambria Math" w:hAnsi="Cambria Math"/>
                        <w:sz w:val="28"/>
                        <w:szCs w:val="28"/>
                      </w:rPr>
                      <m:t>X</m:t>
                    </m:r>
                  </m:e>
                </m:acc>
              </m:sub>
            </m:sSub>
          </m:num>
          <m:den>
            <m:r>
              <w:rPr>
                <w:rFonts w:ascii="Cambria Math" w:hAnsi="Cambria Math"/>
                <w:sz w:val="28"/>
                <w:szCs w:val="28"/>
              </w:rPr>
              <m:t>S/</m:t>
            </m:r>
            <m:rad>
              <m:radPr>
                <m:degHide m:val="1"/>
                <m:ctrlPr>
                  <w:rPr>
                    <w:rFonts w:ascii="Cambria Math" w:hAnsi="Cambria Math"/>
                    <w:i/>
                    <w:sz w:val="28"/>
                    <w:szCs w:val="28"/>
                  </w:rPr>
                </m:ctrlPr>
              </m:radPr>
              <m:deg/>
              <m:e>
                <m:r>
                  <w:rPr>
                    <w:rFonts w:ascii="Cambria Math" w:hAnsi="Cambria Math"/>
                    <w:sz w:val="28"/>
                    <w:szCs w:val="28"/>
                  </w:rPr>
                  <m:t>n</m:t>
                </m:r>
              </m:e>
            </m:rad>
          </m:den>
        </m:f>
      </m:oMath>
      <w:r>
        <w:rPr>
          <w:rFonts w:eastAsiaTheme="minorEastAsia"/>
          <w:sz w:val="28"/>
          <w:szCs w:val="28"/>
        </w:rPr>
        <w:t xml:space="preserve"> </w:t>
      </w:r>
      <w:r>
        <w:rPr>
          <w:rFonts w:eastAsiaTheme="minorEastAsia"/>
        </w:rPr>
        <w:t xml:space="preserve">has a T distribution with </w:t>
      </w:r>
      <m:oMath>
        <m:r>
          <w:rPr>
            <w:rFonts w:ascii="Cambria Math" w:eastAsiaTheme="minorEastAsia" w:hAnsi="Cambria Math"/>
          </w:rPr>
          <m:t>ν=n-1</m:t>
        </m:r>
      </m:oMath>
      <w:r>
        <w:rPr>
          <w:rFonts w:eastAsiaTheme="minorEastAsia"/>
        </w:rPr>
        <w:t xml:space="preserve"> degrees of freedom. (Note that this holds only when </w:t>
      </w:r>
      <w:r>
        <w:rPr>
          <w:rFonts w:eastAsiaTheme="minorEastAsia"/>
          <w:i/>
        </w:rPr>
        <w:t>X</w:t>
      </w:r>
      <w:r>
        <w:rPr>
          <w:rFonts w:eastAsiaTheme="minorEastAsia"/>
        </w:rPr>
        <w:t xml:space="preserve"> is normal.) Note that as </w:t>
      </w:r>
      <w:r>
        <w:rPr>
          <w:rFonts w:eastAsiaTheme="minorEastAsia"/>
          <w:i/>
        </w:rPr>
        <w:t>n</w:t>
      </w:r>
      <w:r>
        <w:rPr>
          <w:rFonts w:eastAsiaTheme="minorEastAsia"/>
        </w:rPr>
        <w:t xml:space="preserve"> increases, the T distribution approaches the standard normal distribution.</w:t>
      </w:r>
    </w:p>
    <w:p w:rsidR="00113C80" w:rsidRDefault="00113C80" w:rsidP="00113C80">
      <w:pPr>
        <w:pStyle w:val="ListParagraph"/>
        <w:numPr>
          <w:ilvl w:val="0"/>
          <w:numId w:val="2"/>
        </w:numPr>
        <w:spacing w:line="360" w:lineRule="auto"/>
        <w:jc w:val="both"/>
      </w:pPr>
      <w:r w:rsidRPr="00D578E4">
        <w:t xml:space="preserve">Assume you have another 100 burger sample where the mean is 32 grams and the </w:t>
      </w:r>
      <w:r>
        <w:t>s</w:t>
      </w:r>
      <w:r w:rsidRPr="00D578E4">
        <w:t>tandard deviation is 1.0 grams. Calculate the 90% confidence interval for the mean given the data for this sample, and compare it to your response to (b) above. Do the intervals intersect? What does this indicate about the population mean?</w:t>
      </w:r>
    </w:p>
    <w:p w:rsidR="00113C80" w:rsidRDefault="00113C80" w:rsidP="00113C80">
      <w:pPr>
        <w:pStyle w:val="ListParagraph"/>
        <w:numPr>
          <w:ilvl w:val="1"/>
          <w:numId w:val="2"/>
        </w:numPr>
        <w:spacing w:line="360" w:lineRule="auto"/>
        <w:jc w:val="both"/>
      </w:pPr>
      <w:r>
        <w:t xml:space="preserve">The confidence interval is computed as </w:t>
      </w:r>
      <m:oMath>
        <m:acc>
          <m:accPr>
            <m:chr m:val="̅"/>
            <m:ctrlPr>
              <w:rPr>
                <w:rFonts w:ascii="Cambria Math" w:hAnsi="Cambria Math"/>
                <w:i/>
              </w:rPr>
            </m:ctrlPr>
          </m:accPr>
          <m:e>
            <m:r>
              <w:rPr>
                <w:rFonts w:ascii="Cambria Math" w:hAnsi="Cambria Math"/>
              </w:rPr>
              <m:t>x</m:t>
            </m:r>
          </m:e>
        </m:acc>
        <m:r>
          <w:rPr>
            <w:rFonts w:asci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r>
              <w:rPr>
                <w:rFonts w:ascii="Cambria Math" w:eastAsiaTheme="minorEastAsia"/>
              </w:rPr>
              <m:t>/</m:t>
            </m:r>
            <m:r>
              <w:rPr>
                <w:rFonts w:ascii="Cambria Math" w:eastAsiaTheme="minorEastAsia" w:hAnsi="Cambria Math"/>
              </w:rPr>
              <m:t>2</m:t>
            </m:r>
          </m:sub>
        </m:sSub>
        <m:r>
          <w:rPr>
            <w:rFonts w:hAnsi="Cambria Math"/>
          </w:rPr>
          <m:t>*</m:t>
        </m:r>
        <m:f>
          <m:fPr>
            <m:ctrlPr>
              <w:rPr>
                <w:rFonts w:ascii="Cambria Math" w:hAnsi="Cambria Math"/>
                <w:i/>
              </w:rPr>
            </m:ctrlPr>
          </m:fPr>
          <m:num>
            <m:r>
              <w:rPr>
                <w:rFonts w:ascii="Cambria Math" w:hAnsi="Cambria Math"/>
              </w:rPr>
              <m:t>s</m:t>
            </m:r>
          </m:num>
          <m:den>
            <m:r>
              <w:rPr>
                <w:rFonts w:ascii="Cambria Math"/>
              </w:rPr>
              <m:t>√</m:t>
            </m:r>
            <m:r>
              <w:rPr>
                <w:rFonts w:ascii="Cambria Math" w:hAnsi="Cambria Math"/>
              </w:rPr>
              <m:t>n</m:t>
            </m:r>
          </m:den>
        </m:f>
      </m:oMath>
      <w:r w:rsidRPr="00E90CDD">
        <w:rPr>
          <w:rFonts w:eastAsiaTheme="minorEastAsia"/>
        </w:rPr>
        <w:t xml:space="preserve"> </w:t>
      </w:r>
      <w:r w:rsidRPr="00D578E4">
        <w:t>=</w:t>
      </w:r>
      <m:oMath>
        <m:r>
          <w:rPr>
            <w:rFonts w:ascii="Cambria Math" w:hAnsi="Cambria Math"/>
          </w:rPr>
          <m:t xml:space="preserve"> </m:t>
        </m:r>
        <m:r>
          <w:rPr>
            <w:rFonts w:ascii="Cambria Math"/>
          </w:rPr>
          <m:t>32.0</m:t>
        </m:r>
        <m:r>
          <w:rPr>
            <w:rFonts w:ascii="Cambria Math"/>
          </w:rPr>
          <m:t>±</m:t>
        </m:r>
        <m:r>
          <w:rPr>
            <w:rFonts w:ascii="Cambria Math" w:eastAsiaTheme="minorEastAsia"/>
          </w:rPr>
          <m:t>1.645</m:t>
        </m:r>
        <m:r>
          <w:rPr>
            <w:rFonts w:hAnsi="Cambria Math"/>
          </w:rPr>
          <m:t>*</m:t>
        </m:r>
        <m:f>
          <m:fPr>
            <m:ctrlPr>
              <w:rPr>
                <w:rFonts w:ascii="Cambria Math" w:hAnsi="Cambria Math"/>
                <w:i/>
              </w:rPr>
            </m:ctrlPr>
          </m:fPr>
          <m:num>
            <m:r>
              <w:rPr>
                <w:rFonts w:ascii="Cambria Math"/>
              </w:rPr>
              <m:t>1.0</m:t>
            </m:r>
          </m:num>
          <m:den>
            <m:r>
              <w:rPr>
                <w:rFonts w:ascii="Cambria Math"/>
              </w:rPr>
              <m:t>√</m:t>
            </m:r>
            <m:r>
              <w:rPr>
                <w:rFonts w:ascii="Cambria Math"/>
              </w:rPr>
              <m:t>100</m:t>
            </m:r>
          </m:den>
        </m:f>
      </m:oMath>
      <w:r w:rsidRPr="00E90CDD">
        <w:rPr>
          <w:rFonts w:eastAsiaTheme="minorEastAsia"/>
        </w:rPr>
        <w:t xml:space="preserve"> =32.0</w:t>
      </w:r>
      <m:oMath>
        <m:r>
          <w:rPr>
            <w:rFonts w:ascii="Cambria Math" w:eastAsiaTheme="minorEastAsia"/>
          </w:rPr>
          <m:t xml:space="preserve"> </m:t>
        </m:r>
        <m:r>
          <w:rPr>
            <w:rFonts w:ascii="Cambria Math" w:eastAsiaTheme="minorEastAsia"/>
          </w:rPr>
          <m:t>±</m:t>
        </m:r>
        <m:r>
          <w:rPr>
            <w:rFonts w:ascii="Cambria Math" w:eastAsiaTheme="minorEastAsia"/>
          </w:rPr>
          <m:t xml:space="preserve"> </m:t>
        </m:r>
      </m:oMath>
      <w:r w:rsidRPr="00E90CDD">
        <w:rPr>
          <w:rFonts w:eastAsiaTheme="minorEastAsia"/>
        </w:rPr>
        <w:t xml:space="preserve">0.2961 </w:t>
      </w:r>
      <w:r w:rsidRPr="00D578E4">
        <w:t>= (31.84, 32.16)</w:t>
      </w:r>
      <w:r>
        <w:t>.</w:t>
      </w:r>
    </w:p>
    <w:p w:rsidR="00113C80" w:rsidRPr="00A40281" w:rsidRDefault="00113C80" w:rsidP="00113C80">
      <w:pPr>
        <w:pStyle w:val="ListParagraph"/>
        <w:numPr>
          <w:ilvl w:val="1"/>
          <w:numId w:val="2"/>
        </w:numPr>
        <w:spacing w:line="360" w:lineRule="auto"/>
        <w:jc w:val="both"/>
      </w:pPr>
      <w:r>
        <w:t xml:space="preserve">This interval and the interval in 2.b above do not overlap, and are quite far from it. While it is possible that these two samples come from the same population (i.e., populations with the same mean weight </w:t>
      </w:r>
      <w:r w:rsidRPr="00366B75">
        <w:rPr>
          <w:i/>
        </w:rPr>
        <w:t>μ</w:t>
      </w:r>
      <w:r>
        <w:t>)</w:t>
      </w:r>
      <w:proofErr w:type="gramStart"/>
      <w:r>
        <w:t>,  it</w:t>
      </w:r>
      <w:proofErr w:type="gramEnd"/>
      <w:r>
        <w:t xml:space="preserve"> is very unlikely. If we use the value of </w:t>
      </w:r>
      <w:r>
        <w:rPr>
          <w:i/>
        </w:rPr>
        <w:t>s</w:t>
      </w:r>
      <w:r>
        <w:t xml:space="preserve"> = 1.8 as an estimate of </w:t>
      </w:r>
      <w:r w:rsidRPr="00513AC6">
        <w:rPr>
          <w:i/>
        </w:rPr>
        <w:t>σ</w:t>
      </w:r>
      <w:r>
        <w:t>, then we can compute the standard error of the mean (i.e., the standard dev</w:t>
      </w:r>
      <w:bookmarkStart w:id="0" w:name="_GoBack"/>
      <w:bookmarkEnd w:id="0"/>
      <w:r>
        <w:t xml:space="preserve">iation of the sample </w:t>
      </w:r>
      <w:proofErr w:type="gramStart"/>
      <w:r>
        <w:t xml:space="preserve">mean </w:t>
      </w:r>
      <w:proofErr w:type="gramEnd"/>
      <m:oMath>
        <m:acc>
          <m:accPr>
            <m:chr m:val="̅"/>
            <m:ctrlPr>
              <w:rPr>
                <w:rFonts w:ascii="Cambria Math" w:hAnsi="Cambria Math"/>
                <w:i/>
              </w:rPr>
            </m:ctrlPr>
          </m:accPr>
          <m:e>
            <m:r>
              <w:rPr>
                <w:rFonts w:ascii="Cambria Math" w:hAnsi="Cambria Math"/>
              </w:rPr>
              <m:t>X</m:t>
            </m:r>
          </m:e>
        </m:acc>
      </m:oMath>
      <w:r>
        <w:rPr>
          <w:rFonts w:eastAsiaTheme="minorEastAsia"/>
        </w:rPr>
        <w:t>) to be 1.8/√100 = 0.18. In that case, 31.84 (the lower bound of the CI (31.84, 32.16)) and 25.40 (the upper bound of the CI (</w:t>
      </w:r>
      <w:r w:rsidRPr="00D578E4">
        <w:t>24.80, 25.40</w:t>
      </w:r>
      <w:r>
        <w:t xml:space="preserve">)) will be </w:t>
      </w:r>
      <m:oMath>
        <m:f>
          <m:fPr>
            <m:ctrlPr>
              <w:rPr>
                <w:rFonts w:ascii="Cambria Math" w:hAnsi="Cambria Math"/>
                <w:i/>
              </w:rPr>
            </m:ctrlPr>
          </m:fPr>
          <m:num>
            <m:r>
              <w:rPr>
                <w:rFonts w:ascii="Cambria Math" w:hAnsi="Cambria Math"/>
              </w:rPr>
              <m:t>31.84-25.40</m:t>
            </m:r>
          </m:num>
          <m:den>
            <m:r>
              <w:rPr>
                <w:rFonts w:ascii="Cambria Math" w:hAnsi="Cambria Math"/>
              </w:rPr>
              <m:t>0.18</m:t>
            </m:r>
          </m:den>
        </m:f>
      </m:oMath>
      <w:r>
        <w:rPr>
          <w:rFonts w:eastAsiaTheme="minorEastAsia"/>
        </w:rPr>
        <w:t xml:space="preserve"> = 35.78 standard deviations apart. You will see (when we cover independent samples T-tests) that because of this, we will be able to reject the null hypothesis that the two samples come from the same population.</w:t>
      </w:r>
    </w:p>
    <w:p w:rsidR="007C4C2A" w:rsidRDefault="007C4C2A"/>
    <w:sectPr w:rsidR="007C4C2A" w:rsidSect="00113C8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19B" w:rsidRDefault="0063319B">
      <w:r>
        <w:separator/>
      </w:r>
    </w:p>
  </w:endnote>
  <w:endnote w:type="continuationSeparator" w:id="0">
    <w:p w:rsidR="0063319B" w:rsidRDefault="0063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19B" w:rsidRDefault="0063319B">
      <w:r>
        <w:separator/>
      </w:r>
    </w:p>
  </w:footnote>
  <w:footnote w:type="continuationSeparator" w:id="0">
    <w:p w:rsidR="0063319B" w:rsidRDefault="0063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A6E" w:rsidRPr="00677E68" w:rsidRDefault="006C2EFA" w:rsidP="004E7A6E">
    <w:pPr>
      <w:pStyle w:val="Header"/>
      <w:rPr>
        <w:sz w:val="20"/>
        <w:szCs w:val="20"/>
      </w:rPr>
    </w:pPr>
    <w:r>
      <w:rPr>
        <w:sz w:val="20"/>
        <w:szCs w:val="20"/>
      </w:rPr>
      <w:t>CPLN 792</w:t>
    </w:r>
    <w:r w:rsidR="00113C80" w:rsidRPr="00677E68">
      <w:rPr>
        <w:sz w:val="20"/>
        <w:szCs w:val="20"/>
      </w:rPr>
      <w:ptab w:relativeTo="margin" w:alignment="center" w:leader="none"/>
    </w:r>
    <w:r w:rsidR="00113C80" w:rsidRPr="00677E68">
      <w:rPr>
        <w:sz w:val="20"/>
        <w:szCs w:val="20"/>
      </w:rPr>
      <w:t xml:space="preserve">Lecture </w:t>
    </w:r>
    <w:r>
      <w:rPr>
        <w:sz w:val="20"/>
        <w:szCs w:val="20"/>
      </w:rPr>
      <w:t>5</w:t>
    </w:r>
    <w:r w:rsidR="00113C80" w:rsidRPr="00677E68">
      <w:rPr>
        <w:sz w:val="20"/>
        <w:szCs w:val="20"/>
      </w:rPr>
      <w:ptab w:relativeTo="margin" w:alignment="right" w:leader="none"/>
    </w:r>
    <w:r w:rsidR="00113C80" w:rsidRPr="00677E68">
      <w:rPr>
        <w:i/>
        <w:sz w:val="20"/>
        <w:szCs w:val="20"/>
      </w:rPr>
      <w:t>Brusilovskiy</w:t>
    </w:r>
  </w:p>
  <w:p w:rsidR="004E7A6E" w:rsidRPr="004E7A6E" w:rsidRDefault="0063319B" w:rsidP="004E7A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26326"/>
    <w:multiLevelType w:val="hybridMultilevel"/>
    <w:tmpl w:val="472601B4"/>
    <w:lvl w:ilvl="0" w:tplc="85987D48">
      <w:start w:val="1"/>
      <w:numFmt w:val="lowerLetter"/>
      <w:lvlText w:val="%1)"/>
      <w:lvlJc w:val="left"/>
      <w:pPr>
        <w:ind w:left="720" w:hanging="360"/>
      </w:pPr>
      <w:rPr>
        <w:rFonts w:eastAsiaTheme="minorHAns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71618"/>
    <w:multiLevelType w:val="hybridMultilevel"/>
    <w:tmpl w:val="376A5B0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80"/>
    <w:rsid w:val="00113C80"/>
    <w:rsid w:val="0063319B"/>
    <w:rsid w:val="006C2EFA"/>
    <w:rsid w:val="007C4C2A"/>
    <w:rsid w:val="008570EC"/>
    <w:rsid w:val="00A745F0"/>
    <w:rsid w:val="00EE59B2"/>
    <w:rsid w:val="00F0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9BF43-D6D9-4B40-9DCC-E123B885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8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80"/>
    <w:pPr>
      <w:ind w:left="720"/>
      <w:contextualSpacing/>
    </w:pPr>
  </w:style>
  <w:style w:type="paragraph" w:styleId="Header">
    <w:name w:val="header"/>
    <w:basedOn w:val="Normal"/>
    <w:link w:val="HeaderChar"/>
    <w:uiPriority w:val="99"/>
    <w:unhideWhenUsed/>
    <w:rsid w:val="00113C80"/>
    <w:pPr>
      <w:tabs>
        <w:tab w:val="center" w:pos="4680"/>
        <w:tab w:val="right" w:pos="9360"/>
      </w:tabs>
    </w:pPr>
  </w:style>
  <w:style w:type="character" w:customStyle="1" w:styleId="HeaderChar">
    <w:name w:val="Header Char"/>
    <w:basedOn w:val="DefaultParagraphFont"/>
    <w:link w:val="Header"/>
    <w:uiPriority w:val="99"/>
    <w:rsid w:val="00113C80"/>
    <w:rPr>
      <w:rFonts w:ascii="Times New Roman" w:hAnsi="Times New Roman" w:cs="Times New Roman"/>
      <w:sz w:val="24"/>
      <w:szCs w:val="24"/>
    </w:rPr>
  </w:style>
  <w:style w:type="paragraph" w:styleId="Footer">
    <w:name w:val="footer"/>
    <w:basedOn w:val="Normal"/>
    <w:link w:val="FooterChar"/>
    <w:uiPriority w:val="99"/>
    <w:unhideWhenUsed/>
    <w:rsid w:val="00113C80"/>
    <w:pPr>
      <w:tabs>
        <w:tab w:val="center" w:pos="4680"/>
        <w:tab w:val="right" w:pos="9360"/>
      </w:tabs>
    </w:pPr>
  </w:style>
  <w:style w:type="character" w:customStyle="1" w:styleId="FooterChar">
    <w:name w:val="Footer Char"/>
    <w:basedOn w:val="DefaultParagraphFont"/>
    <w:link w:val="Footer"/>
    <w:uiPriority w:val="99"/>
    <w:rsid w:val="00113C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5</cp:revision>
  <dcterms:created xsi:type="dcterms:W3CDTF">2015-08-14T16:20:00Z</dcterms:created>
  <dcterms:modified xsi:type="dcterms:W3CDTF">2017-08-21T14:29:00Z</dcterms:modified>
</cp:coreProperties>
</file>