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before="80"/>
        <w:jc w:val="left"/>
      </w:pPr>
      <w:r>
        <w:rPr>
          <w:rFonts w:ascii="Arial" w:cs="Arial" w:eastAsia="Arial" w:hAnsi="Arial"/>
          <w:b w:val="false"/>
          <w:bCs w:val="false"/>
          <w:i w:val="false"/>
          <w:iCs w:val="false"/>
          <w:color w:val="222222"/>
          <w:sz w:val="8"/>
          <w:szCs w:val="8"/>
        </w:rPr>
        <w:t xml:space="preserve"> </w:t>
      </w:r>
    </w:p>
    <w:p>
      <w:pPr>
        <w:shd w:fill="1F4E79" w:val="clear"/>
        <w:spacing w:after="80" w:before="80"/>
        <w:jc w:val="center"/>
      </w:pPr>
      <w:r>
        <w:rPr>
          <w:rFonts w:ascii="Arial" w:cs="Arial" w:eastAsia="Arial" w:hAnsi="Arial"/>
          <w:b/>
          <w:bCs/>
          <w:i w:val="false"/>
          <w:iCs w:val="false"/>
          <w:color w:val="BDD7EE"/>
          <w:sz w:val="18"/>
          <w:szCs w:val="18"/>
        </w:rPr>
        <w:t xml:space="preserve">ECC / PMG SUPPLY CHAIN INTELLIGENCE</w:t>
      </w:r>
    </w:p>
    <w:p>
      <w:pPr>
        <w:shd w:fill="1F4E79" w:val="clear"/>
        <w:spacing w:after="80" w:before="80"/>
        <w:jc w:val="center"/>
      </w:pPr>
      <w:r>
        <w:rPr>
          <w:rFonts w:ascii="Arial" w:cs="Arial" w:eastAsia="Arial" w:hAnsi="Arial"/>
          <w:b/>
          <w:bCs/>
          <w:i w:val="false"/>
          <w:iCs w:val="false"/>
          <w:color w:val="FFFFFF"/>
          <w:sz w:val="44"/>
          <w:szCs w:val="44"/>
        </w:rPr>
        <w:t xml:space="preserve">The Cost of Not Knowing</w:t>
      </w:r>
    </w:p>
    <w:p>
      <w:pPr>
        <w:shd w:fill="1F4E79" w:val="clear"/>
        <w:spacing w:after="80" w:before="80"/>
        <w:jc w:val="center"/>
      </w:pPr>
      <w:r>
        <w:rPr>
          <w:rFonts w:ascii="Arial" w:cs="Arial" w:eastAsia="Arial" w:hAnsi="Arial"/>
          <w:b w:val="false"/>
          <w:bCs w:val="false"/>
          <w:i/>
          <w:iCs/>
          <w:color w:val="BDD7EE"/>
          <w:sz w:val="22"/>
          <w:szCs w:val="22"/>
        </w:rPr>
        <w:t xml:space="preserve">Real Incidents. Documented Financial Losses. The Supply Chain Visibility Gap That Caused Every One.</w:t>
      </w:r>
    </w:p>
    <w:p>
      <w:pPr>
        <w:shd w:fill="1F4E79" w:val="clear"/>
        <w:spacing w:after="80" w:before="80"/>
        <w:jc w:val="center"/>
      </w:pPr>
      <w:r>
        <w:rPr>
          <w:rFonts w:ascii="Arial" w:cs="Arial" w:eastAsia="Arial" w:hAnsi="Arial"/>
          <w:b w:val="false"/>
          <w:bCs w:val="false"/>
          <w:i w:val="false"/>
          <w:iCs w:val="false"/>
          <w:color w:val="9DC3E6"/>
          <w:sz w:val="17"/>
          <w:szCs w:val="17"/>
        </w:rPr>
        <w:t xml:space="preserve">Supplementary Research Document — May 2026  |  For Sales &amp; Marketing Use  |  All figures sourced from company disclosures, congressional reports, and CBP data</w:t>
      </w:r>
    </w:p>
    <w:p>
      <w:pPr>
        <w:shd w:fill="1F4E79" w:val="clear"/>
        <w:spacing w:after="80" w:before="80"/>
        <w:jc w:val="left"/>
      </w:pPr>
      <w:r>
        <w:rPr>
          <w:rFonts w:ascii="Arial" w:cs="Arial" w:eastAsia="Arial" w:hAnsi="Arial"/>
          <w:b w:val="false"/>
          <w:bCs w:val="false"/>
          <w:i w:val="false"/>
          <w:iCs w:val="false"/>
          <w:color w:val="222222"/>
          <w:sz w:val="8"/>
          <w:szCs w:val="8"/>
        </w:rPr>
        <w:t xml:space="preserve"> </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iCs/>
          <w:color w:val="444444"/>
          <w:sz w:val="20"/>
          <w:szCs w:val="20"/>
        </w:rPr>
        <w:t xml:space="preserve">This document presents six documented incidents in which major companies suffered significant financial losses due to insufficient supply chain visibility — specifically the inability to trace material origin and content below Tier 1. Each incident involves either a UFLPA forced labor enforcement action or a Section 301/232/IEEPA tariff misclassification exposure. The root cause in every case is the same.</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2E75B6" w:sz="14"/>
        </w:pBdr>
        <w:shd w:fill="DEEAF1" w:val="clear"/>
        <w:spacing w:after="120" w:before="120"/>
        <w:ind w:left="360" w:right="360"/>
        <w:jc w:val="left"/>
      </w:pPr>
      <w:r>
        <w:rPr>
          <w:rFonts w:ascii="Arial" w:cs="Arial" w:eastAsia="Arial" w:hAnsi="Arial"/>
          <w:b/>
          <w:bCs/>
          <w:i w:val="false"/>
          <w:iCs w:val="false"/>
          <w:color w:val="1F4E79"/>
          <w:sz w:val="20"/>
          <w:szCs w:val="20"/>
        </w:rPr>
        <w:t xml:space="preserve">The shared root cause:</w:t>
      </w:r>
      <w:r>
        <w:rPr>
          <w:rFonts w:ascii="Arial" w:cs="Arial" w:eastAsia="Arial" w:hAnsi="Arial"/>
          <w:b w:val="false"/>
          <w:bCs w:val="false"/>
          <w:i w:val="false"/>
          <w:iCs w:val="false"/>
          <w:color w:val="222222"/>
          <w:sz w:val="20"/>
          <w:szCs w:val="20"/>
        </w:rPr>
        <w:t xml:space="preserve"> Standard supply chain tools show who your suppliers are. They cannot show what your suppliers' products contain at the material level, the HS code level, or the origin level. Every incident in this document was preventable with sub-tier material genealogy intelligence.</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p>
      <w:pPr>
        <w:shd w:fill="1F4E79" w:val="clear"/>
        <w:spacing w:after="160" w:before="400"/>
        <w:ind w:left="180"/>
        <w:jc w:val="left"/>
      </w:pPr>
      <w:r>
        <w:rPr>
          <w:rFonts w:ascii="Arial" w:cs="Arial" w:eastAsia="Arial" w:hAnsi="Arial"/>
          <w:b/>
          <w:bCs/>
          <w:i w:val="false"/>
          <w:iCs w:val="false"/>
          <w:color w:val="FFFFFF"/>
          <w:sz w:val="32"/>
          <w:szCs w:val="32"/>
        </w:rPr>
        <w:t xml:space="preserve">Part 1 — The Enforcement Environment: Scale, Trajectory, and Acceleration</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val="false"/>
          <w:iCs w:val="false"/>
          <w:color w:val="222222"/>
          <w:sz w:val="20"/>
          <w:szCs w:val="20"/>
        </w:rPr>
        <w:t xml:space="preserve">The incidents in this document are not outliers. They are early indicators of an enforcement regime that is expanding rapidly in scope, scale, and financial consequence. The following data establishes the context in which every company operating with sub-tier supply chain blind spots now operates.</w:t>
      </w:r>
    </w:p>
    <w:p>
      <w:pPr>
        <w:spacing w:after="60" w:before="60"/>
        <w:jc w:val="left"/>
      </w:pPr>
      <w:r>
        <w:rPr>
          <w:rFonts w:ascii="Arial" w:cs="Arial" w:eastAsia="Arial" w:hAnsi="Arial"/>
          <w:b w:val="false"/>
          <w:bCs w:val="false"/>
          <w:i w:val="false"/>
          <w:iCs w:val="false"/>
          <w:color w:val="222222"/>
          <w:sz w:val="20"/>
          <w:szCs w:val="20"/>
        </w:rPr>
        <w:t xml:space="preserve"/>
      </w:r>
    </w:p>
    <w:p>
      <w:pPr>
        <w:pBdr>
          <w:bottom w:val="single" w:color="2E75B6" w:sz="8" w:space="1"/>
        </w:pBdr>
        <w:spacing w:after="120" w:before="320"/>
        <w:jc w:val="left"/>
      </w:pPr>
      <w:r>
        <w:rPr>
          <w:rFonts w:ascii="Arial" w:cs="Arial" w:eastAsia="Arial" w:hAnsi="Arial"/>
          <w:b/>
          <w:bCs/>
          <w:i w:val="false"/>
          <w:iCs w:val="false"/>
          <w:color w:val="1F4E79"/>
          <w:sz w:val="26"/>
          <w:szCs w:val="26"/>
        </w:rPr>
        <w:t xml:space="preserve">1.1 UFLPA Enforcement — Year by Year</w:t>
      </w:r>
    </w:p>
    <w:p>
      <w:pPr>
        <w:spacing w:after="6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0000"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86%</w:t>
            </w:r>
          </w:p>
          <w:p>
            <w:pPr>
              <w:spacing w:after="80" w:before="80"/>
              <w:jc w:val="center"/>
            </w:pPr>
            <w:r>
              <w:rPr>
                <w:rFonts w:ascii="Arial" w:cs="Arial" w:eastAsia="Arial" w:hAnsi="Arial"/>
                <w:b w:val="false"/>
                <w:bCs w:val="false"/>
                <w:i/>
                <w:iCs/>
                <w:color w:val="DDDDDD"/>
                <w:sz w:val="16"/>
                <w:szCs w:val="16"/>
              </w:rPr>
              <w:t xml:space="preserve">Share of UFLPA detentions that are
automotive in H1 2025
(up from 4% in all of 2024)</w:t>
            </w:r>
          </w:p>
        </w:tc>
        <w:tc>
          <w:tcPr>
            <w:tcW w:type="dxa" w:w="3120"/>
            <w:tcBorders>
              <w:top w:val="single" w:color="CCCCCC" w:sz="1"/>
              <w:left w:val="single" w:color="CCCCCC" w:sz="1"/>
              <w:bottom w:val="single" w:color="CCCCCC" w:sz="1"/>
              <w:right w:val="single" w:color="CCCCCC" w:sz="1"/>
            </w:tcBorders>
            <w:shd w:fill="1F4E79"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$3.94B</w:t>
            </w:r>
          </w:p>
          <w:p>
            <w:pPr>
              <w:spacing w:after="80" w:before="80"/>
              <w:jc w:val="center"/>
            </w:pPr>
            <w:r>
              <w:rPr>
                <w:rFonts w:ascii="Arial" w:cs="Arial" w:eastAsia="Arial" w:hAnsi="Arial"/>
                <w:b w:val="false"/>
                <w:bCs w:val="false"/>
                <w:i/>
                <w:iCs/>
                <w:color w:val="DDDDDD"/>
                <w:sz w:val="16"/>
                <w:szCs w:val="16"/>
              </w:rPr>
              <w:t xml:space="preserve">Total value of shipments detained
under UFLPA since June 2022
(CBP Dashboard, 2026)</w:t>
            </w:r>
          </w:p>
        </w:tc>
        <w:tc>
          <w:tcPr>
            <w:tcW w:type="dxa" w:w="3120"/>
            <w:tcBorders>
              <w:top w:val="single" w:color="CCCCCC" w:sz="1"/>
              <w:left w:val="single" w:color="CCCCCC" w:sz="1"/>
              <w:bottom w:val="single" w:color="CCCCCC" w:sz="1"/>
              <w:right w:val="single" w:color="CCCCCC" w:sz="1"/>
            </w:tcBorders>
            <w:shd w:fill="7F6000"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6,636</w:t>
            </w:r>
          </w:p>
          <w:p>
            <w:pPr>
              <w:spacing w:after="80" w:before="80"/>
              <w:jc w:val="center"/>
            </w:pPr>
            <w:r>
              <w:rPr>
                <w:rFonts w:ascii="Arial" w:cs="Arial" w:eastAsia="Arial" w:hAnsi="Arial"/>
                <w:b w:val="false"/>
                <w:bCs w:val="false"/>
                <w:i/>
                <w:iCs/>
                <w:color w:val="DDDDDD"/>
                <w:sz w:val="16"/>
                <w:szCs w:val="16"/>
              </w:rPr>
              <w:t xml:space="preserve">Shipments detained in H1 2025 alone —
more than all of FY2024 combined
(Due Diligence Design, 2025)</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val="false"/>
          <w:iCs w:val="false"/>
          <w:color w:val="222222"/>
          <w:sz w:val="20"/>
          <w:szCs w:val="20"/>
        </w:rPr>
        <w:t xml:space="preserve">UFLPA enforcement has followed a steep upward trajectory since the Act took effect in June 2022. What began as a solar and cotton-focused regime has become the primary enforcement instrument for automotive and electronics supply chains.</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Chart Data 1: UFLPA Enforcement Growth FY2022–FY2025</w:t>
      </w:r>
    </w:p>
    <w:p>
      <w:pPr>
        <w:spacing w:after="80" w:before="80"/>
        <w:jc w:val="left"/>
      </w:pPr>
      <w:r>
        <w:rPr>
          <w:rFonts w:ascii="Arial" w:cs="Arial" w:eastAsia="Arial" w:hAnsi="Arial"/>
          <w:b w:val="false"/>
          <w:bCs w:val="false"/>
          <w:i w:val="false"/>
          <w:iCs w:val="false"/>
          <w:color w:val="222222"/>
          <w:sz w:val="20"/>
          <w:szCs w:val="20"/>
        </w:rPr>
        <w:t xml:space="preserve">Title for chart: 'UFLPA Enforcement: From Warning to Crisis in 36 Months'</w:t>
      </w:r>
    </w:p>
    <w:p>
      <w:pPr>
        <w:spacing w:after="6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2160"/>
        <w:gridCol w:w="2160"/>
      </w:tblGrid>
      <w:tr>
        <w:tc>
          <w:tcPr>
            <w:tcW w:type="dxa" w:w="1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Period</w:t>
            </w:r>
          </w:p>
        </w:tc>
        <w:tc>
          <w:tcPr>
            <w:tcW w:type="dxa" w:w="1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Shipments Detained</w:t>
            </w:r>
          </w:p>
        </w:tc>
        <w:tc>
          <w:tcPr>
            <w:tcW w:type="dxa" w:w="1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Approx. Value Detained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Dominant Sector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Key Event</w:t>
            </w:r>
          </w:p>
        </w:tc>
      </w:tr>
      <w:tr>
        <w:tc>
          <w:tcPr>
            <w:tcW w:type="dxa" w:w="16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FY2022 (Jun–Sep, partial)</w:t>
            </w:r>
          </w:p>
        </w:tc>
        <w:tc>
          <w:tcPr>
            <w:tcW w:type="dxa" w:w="16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~1,530</w:t>
            </w:r>
          </w:p>
        </w:tc>
        <w:tc>
          <w:tcPr>
            <w:tcW w:type="dxa" w:w="16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~$470M</w:t>
            </w:r>
          </w:p>
        </w:tc>
        <w:tc>
          <w:tcPr>
            <w:tcW w:type="dxa" w:w="2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Solar, Cotton</w:t>
            </w:r>
          </w:p>
        </w:tc>
        <w:tc>
          <w:tcPr>
            <w:tcW w:type="dxa" w:w="2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UFLPA enforcement begins June 21</w:t>
            </w:r>
          </w:p>
        </w:tc>
      </w:tr>
      <w:tr>
        <w:tc>
          <w:tcPr>
            <w:tcW w:type="dxa" w:w="1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FY2023</w:t>
            </w:r>
          </w:p>
        </w:tc>
        <w:tc>
          <w:tcPr>
            <w:tcW w:type="dxa" w:w="1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~4,619 (full year)</w:t>
            </w:r>
          </w:p>
        </w:tc>
        <w:tc>
          <w:tcPr>
            <w:tcW w:type="dxa" w:w="1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~$1.2B</w:t>
            </w:r>
          </w:p>
        </w:tc>
        <w:tc>
          <w:tcPr>
            <w:tcW w:type="dxa" w:w="21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Solar, Electronics dominant</w:t>
            </w:r>
          </w:p>
        </w:tc>
        <w:tc>
          <w:tcPr>
            <w:tcW w:type="dxa" w:w="21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Solar industry mass detentions; JinkoSolar halves US exports</w:t>
            </w:r>
          </w:p>
        </w:tc>
      </w:tr>
      <w:tr>
        <w:tc>
          <w:tcPr>
            <w:tcW w:type="dxa" w:w="16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FY2024</w:t>
            </w:r>
          </w:p>
        </w:tc>
        <w:tc>
          <w:tcPr>
            <w:tcW w:type="dxa" w:w="16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4,619 (25% increase on 2023)</w:t>
            </w:r>
          </w:p>
        </w:tc>
        <w:tc>
          <w:tcPr>
            <w:tcW w:type="dxa" w:w="16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~$1.94B</w:t>
            </w:r>
          </w:p>
        </w:tc>
        <w:tc>
          <w:tcPr>
            <w:tcW w:type="dxa" w:w="2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Electronics 90% of value</w:t>
            </w:r>
          </w:p>
        </w:tc>
        <w:tc>
          <w:tcPr>
            <w:tcW w:type="dxa" w:w="2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JWD added to Entity List Dec 2023; VW/BMW impoundments begin</w:t>
            </w:r>
          </w:p>
        </w:tc>
      </w:tr>
      <w:tr>
        <w:tc>
          <w:tcPr>
            <w:tcW w:type="dxa" w:w="168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FY2025 H1 only</w:t>
            </w:r>
          </w:p>
        </w:tc>
        <w:tc>
          <w:tcPr>
            <w:tcW w:type="dxa" w:w="168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6,636 — exceeds all FY2024</w:t>
            </w:r>
          </w:p>
        </w:tc>
        <w:tc>
          <w:tcPr>
            <w:tcW w:type="dxa" w:w="168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Pace: $3B+ full year</w:t>
            </w:r>
          </w:p>
        </w:tc>
        <w:tc>
          <w:tcPr>
            <w:tcW w:type="dxa" w:w="216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Automotive 86% of detentions</w:t>
            </w:r>
          </w:p>
        </w:tc>
        <w:tc>
          <w:tcPr>
            <w:tcW w:type="dxa" w:w="216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Automotive becomes dominant enforcement target</w:t>
            </w:r>
          </w:p>
        </w:tc>
      </w:tr>
      <w:tr>
        <w:tc>
          <w:tcPr>
            <w:tcW w:type="dxa" w:w="1680"/>
            <w:tcBorders>
              <w:top w:val="single" w:color="CCCCCC" w:sz="1"/>
              <w:left w:val="single" w:color="CCCCCC" w:sz="1"/>
              <w:bottom w:val="single" w:color="CCCCCC" w:sz="1"/>
              <w:right w:val="single" w:color="CCCCCC" w:sz="1"/>
            </w:tcBorders>
            <w:shd w:fill="375623"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Cumulative total</w:t>
            </w:r>
          </w:p>
        </w:tc>
        <w:tc>
          <w:tcPr>
            <w:tcW w:type="dxa" w:w="1680"/>
            <w:tcBorders>
              <w:top w:val="single" w:color="CCCCCC" w:sz="1"/>
              <w:left w:val="single" w:color="CCCCCC" w:sz="1"/>
              <w:bottom w:val="single" w:color="CCCCCC" w:sz="1"/>
              <w:right w:val="single" w:color="CCCCCC" w:sz="1"/>
            </w:tcBorders>
            <w:shd w:fill="375623"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18,000+ shipments reviewed</w:t>
            </w:r>
          </w:p>
        </w:tc>
        <w:tc>
          <w:tcPr>
            <w:tcW w:type="dxa" w:w="1680"/>
            <w:tcBorders>
              <w:top w:val="single" w:color="CCCCCC" w:sz="1"/>
              <w:left w:val="single" w:color="CCCCCC" w:sz="1"/>
              <w:bottom w:val="single" w:color="CCCCCC" w:sz="1"/>
              <w:right w:val="single" w:color="CCCCCC" w:sz="1"/>
            </w:tcBorders>
            <w:shd w:fill="375623"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$3.94B total value</w:t>
            </w:r>
          </w:p>
        </w:tc>
        <w:tc>
          <w:tcPr>
            <w:tcW w:type="dxa" w:w="2160"/>
            <w:tcBorders>
              <w:top w:val="single" w:color="CCCCCC" w:sz="1"/>
              <w:left w:val="single" w:color="CCCCCC" w:sz="1"/>
              <w:bottom w:val="single" w:color="CCCCCC" w:sz="1"/>
              <w:right w:val="single" w:color="CCCCCC" w:sz="1"/>
            </w:tcBorders>
            <w:shd w:fill="375623"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All sectors</w:t>
            </w:r>
          </w:p>
        </w:tc>
        <w:tc>
          <w:tcPr>
            <w:tcW w:type="dxa" w:w="2160"/>
            <w:tcBorders>
              <w:top w:val="single" w:color="CCCCCC" w:sz="1"/>
              <w:left w:val="single" w:color="CCCCCC" w:sz="1"/>
              <w:bottom w:val="single" w:color="CCCCCC" w:sz="1"/>
              <w:right w:val="single" w:color="CCCCCC" w:sz="1"/>
            </w:tcBorders>
            <w:shd w:fill="375623"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Source: CBP UFLPA Dashboard, 2026</w:t>
            </w:r>
          </w:p>
        </w:tc>
      </w:tr>
    </w:tbl>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2E75B6" w:sz="14"/>
        </w:pBdr>
        <w:shd w:fill="DEEAF1" w:val="clear"/>
        <w:spacing w:after="120" w:before="120"/>
        <w:ind w:left="360" w:right="360"/>
        <w:jc w:val="left"/>
      </w:pPr>
      <w:r>
        <w:rPr>
          <w:rFonts w:ascii="Arial" w:cs="Arial" w:eastAsia="Arial" w:hAnsi="Arial"/>
          <w:b/>
          <w:bCs/>
          <w:i w:val="false"/>
          <w:iCs w:val="false"/>
          <w:color w:val="1F4E79"/>
          <w:sz w:val="20"/>
          <w:szCs w:val="20"/>
        </w:rPr>
        <w:t xml:space="preserve">The automotive shift:</w:t>
      </w:r>
      <w:r>
        <w:rPr>
          <w:rFonts w:ascii="Arial" w:cs="Arial" w:eastAsia="Arial" w:hAnsi="Arial"/>
          <w:b w:val="false"/>
          <w:bCs w:val="false"/>
          <w:i w:val="false"/>
          <w:iCs w:val="false"/>
          <w:color w:val="222222"/>
          <w:sz w:val="20"/>
          <w:szCs w:val="20"/>
        </w:rPr>
        <w:t xml:space="preserve"> In FY2024, automotive represented just 4% of UFLPA detentions. By H1 2025 it had reached 86%. China accounted for 82.8% of all detained shipments in 2025 to date. This is not a gradual trend — it is a step-change triggered by the UFLPA Entity List additions of December 2023 and the subsequent congressional scrutiny of automotive OEM compliance.</w:t>
      </w:r>
    </w:p>
    <w:p>
      <w:pPr>
        <w:spacing w:after="60" w:before="60"/>
        <w:jc w:val="left"/>
      </w:pPr>
      <w:r>
        <w:rPr>
          <w:rFonts w:ascii="Arial" w:cs="Arial" w:eastAsia="Arial" w:hAnsi="Arial"/>
          <w:b w:val="false"/>
          <w:bCs w:val="false"/>
          <w:i w:val="false"/>
          <w:iCs w:val="false"/>
          <w:color w:val="222222"/>
          <w:sz w:val="20"/>
          <w:szCs w:val="20"/>
        </w:rPr>
        <w:t xml:space="preserve"/>
      </w:r>
    </w:p>
    <w:p>
      <w:pPr>
        <w:pBdr>
          <w:bottom w:val="single" w:color="2E75B6" w:sz="8" w:space="1"/>
        </w:pBdr>
        <w:spacing w:after="120" w:before="320"/>
        <w:jc w:val="left"/>
      </w:pPr>
      <w:r>
        <w:rPr>
          <w:rFonts w:ascii="Arial" w:cs="Arial" w:eastAsia="Arial" w:hAnsi="Arial"/>
          <w:b/>
          <w:bCs/>
          <w:i w:val="false"/>
          <w:iCs w:val="false"/>
          <w:color w:val="1F4E79"/>
          <w:sz w:val="26"/>
          <w:szCs w:val="26"/>
        </w:rPr>
        <w:t xml:space="preserve">1.2 US Import Tariff Revenue — The Enforcement Machine Has Never Been Better Funded</w:t>
      </w:r>
    </w:p>
    <w:p>
      <w:pPr>
        <w:spacing w:after="6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0000"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$195B</w:t>
            </w:r>
          </w:p>
          <w:p>
            <w:pPr>
              <w:spacing w:after="80" w:before="80"/>
              <w:jc w:val="center"/>
            </w:pPr>
            <w:r>
              <w:rPr>
                <w:rFonts w:ascii="Arial" w:cs="Arial" w:eastAsia="Arial" w:hAnsi="Arial"/>
                <w:b w:val="false"/>
                <w:bCs w:val="false"/>
                <w:i/>
                <w:iCs/>
                <w:color w:val="DDDDDD"/>
                <w:sz w:val="16"/>
                <w:szCs w:val="16"/>
              </w:rPr>
              <w:t xml:space="preserve">US customs duties collected
in FY2025 — confirmed by
USAFacts and CRFB</w:t>
            </w:r>
          </w:p>
        </w:tc>
        <w:tc>
          <w:tcPr>
            <w:tcW w:type="dxa" w:w="3120"/>
            <w:tcBorders>
              <w:top w:val="single" w:color="CCCCCC" w:sz="1"/>
              <w:left w:val="single" w:color="CCCCCC" w:sz="1"/>
              <w:bottom w:val="single" w:color="CCCCCC" w:sz="1"/>
              <w:right w:val="single" w:color="CCCCCC" w:sz="1"/>
            </w:tcBorders>
            <w:shd w:fill="1F4E79"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250%+</w:t>
            </w:r>
          </w:p>
          <w:p>
            <w:pPr>
              <w:spacing w:after="80" w:before="80"/>
              <w:jc w:val="center"/>
            </w:pPr>
            <w:r>
              <w:rPr>
                <w:rFonts w:ascii="Arial" w:cs="Arial" w:eastAsia="Arial" w:hAnsi="Arial"/>
                <w:b w:val="false"/>
                <w:bCs w:val="false"/>
                <w:i/>
                <w:iCs/>
                <w:color w:val="DDDDDD"/>
                <w:sz w:val="16"/>
                <w:szCs w:val="16"/>
              </w:rPr>
              <w:t xml:space="preserve">Increase in tariff collections
from FY2024 to FY2025
(Committee for Responsible Federal Budget)</w:t>
            </w:r>
          </w:p>
        </w:tc>
        <w:tc>
          <w:tcPr>
            <w:tcW w:type="dxa" w:w="3120"/>
            <w:tcBorders>
              <w:top w:val="single" w:color="CCCCCC" w:sz="1"/>
              <w:left w:val="single" w:color="CCCCCC" w:sz="1"/>
              <w:bottom w:val="single" w:color="CCCCCC" w:sz="1"/>
              <w:right w:val="single" w:color="CCCCCC" w:sz="1"/>
            </w:tcBorders>
            <w:shd w:fill="7F6000" w:val="clear"/>
            <w:tcMar>
              <w:top w:type="dxa" w:w="120"/>
              <w:left w:type="dxa" w:w="160"/>
              <w:bottom w:type="dxa" w:w="100"/>
              <w:right w:type="dxa" w:w="160"/>
            </w:tcMar>
          </w:tcPr>
          <w:p>
            <w:pPr>
              <w:spacing w:after="80" w:before="80"/>
              <w:jc w:val="center"/>
            </w:pPr>
            <w:r>
              <w:rPr>
                <w:rFonts w:ascii="Arial" w:cs="Arial" w:eastAsia="Arial" w:hAnsi="Arial"/>
                <w:b/>
                <w:bCs/>
                <w:i w:val="false"/>
                <w:iCs w:val="false"/>
                <w:color w:val="FFFFFF"/>
                <w:sz w:val="36"/>
                <w:szCs w:val="36"/>
              </w:rPr>
              <w:t xml:space="preserve">$173B</w:t>
            </w:r>
          </w:p>
          <w:p>
            <w:pPr>
              <w:spacing w:after="80" w:before="80"/>
              <w:jc w:val="center"/>
            </w:pPr>
            <w:r>
              <w:rPr>
                <w:rFonts w:ascii="Arial" w:cs="Arial" w:eastAsia="Arial" w:hAnsi="Arial"/>
                <w:b w:val="false"/>
                <w:bCs w:val="false"/>
                <w:i/>
                <w:iCs/>
                <w:color w:val="DDDDDD"/>
                <w:sz w:val="16"/>
                <w:szCs w:val="16"/>
              </w:rPr>
              <w:t xml:space="preserve">Section 301 assessed duties
on Chinese imports through
January 2023 alone (C.H. Robinson)</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Chart Data 2: US Customs Duty Collections FY2018–FY2025</w:t>
      </w:r>
    </w:p>
    <w:p>
      <w:pPr>
        <w:spacing w:after="80" w:before="80"/>
        <w:jc w:val="left"/>
      </w:pPr>
      <w:r>
        <w:rPr>
          <w:rFonts w:ascii="Arial" w:cs="Arial" w:eastAsia="Arial" w:hAnsi="Arial"/>
          <w:b w:val="false"/>
          <w:bCs w:val="false"/>
          <w:i w:val="false"/>
          <w:iCs w:val="false"/>
          <w:color w:val="222222"/>
          <w:sz w:val="20"/>
          <w:szCs w:val="20"/>
        </w:rPr>
        <w:t xml:space="preserve">Title for chart: 'CBP Collections: The Enforcement Budget Has Never Been Larger'</w:t>
      </w:r>
    </w:p>
    <w:p>
      <w:pPr>
        <w:spacing w:after="6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600"/>
        <w:gridCol w:w="24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Fiscal Year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Total Customs Duties Collected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Key Driver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Year-on-Year Change</w:t>
            </w:r>
          </w:p>
        </w:tc>
      </w:tr>
      <w:tr>
        <w:tc>
          <w:tcPr>
            <w:tcW w:type="dxa" w:w="12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FY2018</w:t>
            </w:r>
          </w:p>
        </w:tc>
        <w:tc>
          <w:tcPr>
            <w:tcW w:type="dxa" w:w="2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~$41B</w:t>
            </w:r>
          </w:p>
        </w:tc>
        <w:tc>
          <w:tcPr>
            <w:tcW w:type="dxa" w:w="36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Section 301 Lists 1 &amp; 2 introduced</w:t>
            </w:r>
          </w:p>
        </w:tc>
        <w:tc>
          <w:tcPr>
            <w:tcW w:type="dxa" w:w="24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Baseline — pre-Section 301 era</w:t>
            </w:r>
          </w:p>
        </w:tc>
      </w:tr>
      <w:tr>
        <w:tc>
          <w:tcPr>
            <w:tcW w:type="dxa" w:w="12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FY2019</w:t>
            </w:r>
          </w:p>
        </w:tc>
        <w:tc>
          <w:tcPr>
            <w:tcW w:type="dxa" w:w="21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~$71B</w:t>
            </w:r>
          </w:p>
        </w:tc>
        <w:tc>
          <w:tcPr>
            <w:tcW w:type="dxa" w:w="3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Section 301 Lists 3 &amp; 4 added</w:t>
            </w:r>
          </w:p>
        </w:tc>
        <w:tc>
          <w:tcPr>
            <w:tcW w:type="dxa" w:w="2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 +73% — tariff era begins</w:t>
            </w:r>
          </w:p>
        </w:tc>
      </w:tr>
      <w:tr>
        <w:tc>
          <w:tcPr>
            <w:tcW w:type="dxa" w:w="12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FY2020</w:t>
            </w:r>
          </w:p>
        </w:tc>
        <w:tc>
          <w:tcPr>
            <w:tcW w:type="dxa" w:w="2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~$74B</w:t>
            </w:r>
          </w:p>
        </w:tc>
        <w:tc>
          <w:tcPr>
            <w:tcW w:type="dxa" w:w="36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Full Section 301 regime active</w:t>
            </w:r>
          </w:p>
        </w:tc>
        <w:tc>
          <w:tcPr>
            <w:tcW w:type="dxa" w:w="24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 Stable</w:t>
            </w:r>
          </w:p>
        </w:tc>
      </w:tr>
      <w:tr>
        <w:tc>
          <w:tcPr>
            <w:tcW w:type="dxa" w:w="12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FY2021</w:t>
            </w:r>
          </w:p>
        </w:tc>
        <w:tc>
          <w:tcPr>
            <w:tcW w:type="dxa" w:w="21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~$80B</w:t>
            </w:r>
          </w:p>
        </w:tc>
        <w:tc>
          <w:tcPr>
            <w:tcW w:type="dxa" w:w="3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Biden administration maintains all tariffs</w:t>
            </w:r>
          </w:p>
        </w:tc>
        <w:tc>
          <w:tcPr>
            <w:tcW w:type="dxa" w:w="2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 Stable</w:t>
            </w:r>
          </w:p>
        </w:tc>
      </w:tr>
      <w:tr>
        <w:tc>
          <w:tcPr>
            <w:tcW w:type="dxa" w:w="12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FY2022</w:t>
            </w:r>
          </w:p>
        </w:tc>
        <w:tc>
          <w:tcPr>
            <w:tcW w:type="dxa" w:w="2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~$98B</w:t>
            </w:r>
          </w:p>
        </w:tc>
        <w:tc>
          <w:tcPr>
            <w:tcW w:type="dxa" w:w="36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Section 301 four-year review begins</w:t>
            </w:r>
          </w:p>
        </w:tc>
        <w:tc>
          <w:tcPr>
            <w:tcW w:type="dxa" w:w="24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 +23%</w:t>
            </w:r>
          </w:p>
        </w:tc>
      </w:tr>
      <w:tr>
        <w:tc>
          <w:tcPr>
            <w:tcW w:type="dxa" w:w="12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FY2023</w:t>
            </w:r>
          </w:p>
        </w:tc>
        <w:tc>
          <w:tcPr>
            <w:tcW w:type="dxa" w:w="21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~$80B</w:t>
            </w:r>
          </w:p>
        </w:tc>
        <w:tc>
          <w:tcPr>
            <w:tcW w:type="dxa" w:w="3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Rate held; exclusion process ongoing</w:t>
            </w:r>
          </w:p>
        </w:tc>
        <w:tc>
          <w:tcPr>
            <w:tcW w:type="dxa" w:w="2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 Marginal reduction</w:t>
            </w:r>
          </w:p>
        </w:tc>
      </w:tr>
      <w:tr>
        <w:tc>
          <w:tcPr>
            <w:tcW w:type="dxa" w:w="12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FY2024</w:t>
            </w:r>
          </w:p>
        </w:tc>
        <w:tc>
          <w:tcPr>
            <w:tcW w:type="dxa" w:w="2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~$77B</w:t>
            </w:r>
          </w:p>
        </w:tc>
        <w:tc>
          <w:tcPr>
            <w:tcW w:type="dxa" w:w="36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Pre-IEEPA baseline year</w:t>
            </w:r>
          </w:p>
        </w:tc>
        <w:tc>
          <w:tcPr>
            <w:tcW w:type="dxa" w:w="24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Stable pre-escalation</w:t>
            </w:r>
          </w:p>
        </w:tc>
      </w:tr>
      <w:tr>
        <w:tc>
          <w:tcPr>
            <w:tcW w:type="dxa" w:w="120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FY2025</w:t>
            </w:r>
          </w:p>
        </w:tc>
        <w:tc>
          <w:tcPr>
            <w:tcW w:type="dxa" w:w="216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$195–200B</w:t>
            </w:r>
          </w:p>
        </w:tc>
        <w:tc>
          <w:tcPr>
            <w:tcW w:type="dxa" w:w="360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IEEPA + Section 301 + Section 232 stacked</w:t>
            </w:r>
          </w:p>
        </w:tc>
        <w:tc>
          <w:tcPr>
            <w:tcW w:type="dxa" w:w="240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 +250% — historic jump</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iCs/>
          <w:color w:val="666666"/>
          <w:sz w:val="16"/>
          <w:szCs w:val="16"/>
        </w:rPr>
        <w:t xml:space="preserve">Sources: Committee for a Responsible Federal Budget (Nov 2025); USAFacts FY2025; CBP official announcement Dec 2025; C.H. Robinson Section 301 Guide; American Action Forum 2023.</w:t>
      </w:r>
    </w:p>
    <w:p>
      <w:pPr>
        <w:spacing w:after="60" w:before="60"/>
        <w:jc w:val="left"/>
      </w:pPr>
      <w:r>
        <w:rPr>
          <w:rFonts w:ascii="Arial" w:cs="Arial" w:eastAsia="Arial" w:hAnsi="Arial"/>
          <w:b w:val="false"/>
          <w:bCs w:val="false"/>
          <w:i w:val="false"/>
          <w:iCs w:val="false"/>
          <w:color w:val="222222"/>
          <w:sz w:val="20"/>
          <w:szCs w:val="20"/>
        </w:rPr>
        <w:t xml:space="preserve"/>
      </w:r>
    </w:p>
    <w:p>
      <w:pPr>
        <w:pBdr>
          <w:bottom w:val="single" w:color="2E75B6" w:sz="8" w:space="1"/>
        </w:pBdr>
        <w:spacing w:after="120" w:before="320"/>
        <w:jc w:val="left"/>
      </w:pPr>
      <w:r>
        <w:rPr>
          <w:rFonts w:ascii="Arial" w:cs="Arial" w:eastAsia="Arial" w:hAnsi="Arial"/>
          <w:b/>
          <w:bCs/>
          <w:i w:val="false"/>
          <w:iCs w:val="false"/>
          <w:color w:val="1F4E79"/>
          <w:sz w:val="26"/>
          <w:szCs w:val="26"/>
        </w:rPr>
        <w:t xml:space="preserve">1.3 Corporate Financial Impact — Summary Across All Six Cases</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val="false"/>
          <w:iCs w:val="false"/>
          <w:color w:val="222222"/>
          <w:sz w:val="20"/>
          <w:szCs w:val="20"/>
        </w:rPr>
        <w:t xml:space="preserve">The incidents below represent documented, named financial losses across two sectors and two enforcement mechanisms — UFLPA and import tariffs. Both mechanisms share the same root cause.</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Chart Data 3: Financial Impact by Company and Mechanism</w:t>
      </w:r>
    </w:p>
    <w:p>
      <w:pPr>
        <w:spacing w:after="80" w:before="80"/>
        <w:jc w:val="left"/>
      </w:pPr>
      <w:r>
        <w:rPr>
          <w:rFonts w:ascii="Arial" w:cs="Arial" w:eastAsia="Arial" w:hAnsi="Arial"/>
          <w:b w:val="false"/>
          <w:bCs w:val="false"/>
          <w:i w:val="false"/>
          <w:iCs w:val="false"/>
          <w:color w:val="222222"/>
          <w:sz w:val="20"/>
          <w:szCs w:val="20"/>
        </w:rPr>
        <w:t xml:space="preserve">Title for chart: 'What Insufficient Supply Chain Visibility Cost — Documented Cases'</w:t>
      </w:r>
    </w:p>
    <w:p>
      <w:pPr>
        <w:spacing w:after="6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20"/>
        <w:gridCol w:w="1320"/>
        <w:gridCol w:w="3000"/>
        <w:gridCol w:w="21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Company</w:t>
            </w:r>
          </w:p>
        </w:tc>
        <w:tc>
          <w:tcPr>
            <w:tcW w:type="dxa" w:w="13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Sector</w:t>
            </w:r>
          </w:p>
        </w:tc>
        <w:tc>
          <w:tcPr>
            <w:tcW w:type="dxa" w:w="13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Mechanism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Financial Impact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after="80" w:before="80"/>
              <w:jc w:val="left"/>
            </w:pPr>
            <w:r>
              <w:rPr>
                <w:rFonts w:ascii="Arial" w:cs="Arial" w:eastAsia="Arial" w:hAnsi="Arial"/>
                <w:b/>
                <w:bCs/>
                <w:i w:val="false"/>
                <w:iCs w:val="false"/>
                <w:color w:val="FFFFFF"/>
                <w:sz w:val="17"/>
                <w:szCs w:val="17"/>
              </w:rPr>
              <w:t xml:space="preserve">Source</w:t>
            </w:r>
          </w:p>
        </w:tc>
      </w:tr>
      <w:tr>
        <w:tc>
          <w:tcPr>
            <w:tcW w:type="dxa" w:w="15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Volkswagen Group</w:t>
            </w:r>
          </w:p>
        </w:tc>
        <w:tc>
          <w:tcPr>
            <w:tcW w:type="dxa" w:w="132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Automotive</w:t>
            </w:r>
          </w:p>
        </w:tc>
        <w:tc>
          <w:tcPr>
            <w:tcW w:type="dxa" w:w="132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UFLPA</w:t>
            </w:r>
          </w:p>
        </w:tc>
        <w:tc>
          <w:tcPr>
            <w:tcW w:type="dxa" w:w="30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Hundreds of millions — thousands of vehicles impounded at $80K–$200K+ MSRP</w:t>
            </w:r>
          </w:p>
        </w:tc>
        <w:tc>
          <w:tcPr>
            <w:tcW w:type="dxa" w:w="2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Financial Times, Resilinc, Foley Hoag (Feb 2024)</w:t>
            </w:r>
          </w:p>
        </w:tc>
      </w:tr>
      <w:tr>
        <w:tc>
          <w:tcPr>
            <w:tcW w:type="dxa" w:w="15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BMW</w:t>
            </w:r>
          </w:p>
        </w:tc>
        <w:tc>
          <w:tcPr>
            <w:tcW w:type="dxa" w:w="13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Automotive</w:t>
            </w:r>
          </w:p>
        </w:tc>
        <w:tc>
          <w:tcPr>
            <w:tcW w:type="dxa" w:w="13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UFLPA</w:t>
            </w:r>
          </w:p>
        </w:tc>
        <w:tc>
          <w:tcPr>
            <w:tcW w:type="dxa" w:w="30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$50M+ service action across 8,000 Mini Coopers; congressional scrutiny</w:t>
            </w:r>
          </w:p>
        </w:tc>
        <w:tc>
          <w:tcPr>
            <w:tcW w:type="dxa" w:w="21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CNBC, Senate Finance Committee Report (May 2024)</w:t>
            </w:r>
          </w:p>
        </w:tc>
      </w:tr>
      <w:tr>
        <w:tc>
          <w:tcPr>
            <w:tcW w:type="dxa" w:w="15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JinkoSolar / China Solar</w:t>
            </w:r>
          </w:p>
        </w:tc>
        <w:tc>
          <w:tcPr>
            <w:tcW w:type="dxa" w:w="132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Energy / Solar</w:t>
            </w:r>
          </w:p>
        </w:tc>
        <w:tc>
          <w:tcPr>
            <w:tcW w:type="dxa" w:w="132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UFLPA</w:t>
            </w:r>
          </w:p>
        </w:tc>
        <w:tc>
          <w:tcPr>
            <w:tcW w:type="dxa" w:w="30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Halved US exports 2022; China top-4 solar sector combined $1.54B losses H1 2025</w:t>
            </w:r>
          </w:p>
        </w:tc>
        <w:tc>
          <w:tcPr>
            <w:tcW w:type="dxa" w:w="2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PV Tech, Axios, PV Magazine (2022–2025)</w:t>
            </w:r>
          </w:p>
        </w:tc>
      </w:tr>
      <w:tr>
        <w:tc>
          <w:tcPr>
            <w:tcW w:type="dxa" w:w="156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Nike</w:t>
            </w:r>
          </w:p>
        </w:tc>
        <w:tc>
          <w:tcPr>
            <w:tcW w:type="dxa" w:w="132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Consumer Goods</w:t>
            </w:r>
          </w:p>
        </w:tc>
        <w:tc>
          <w:tcPr>
            <w:tcW w:type="dxa" w:w="132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Section 301 + IEEPA</w:t>
            </w:r>
          </w:p>
        </w:tc>
        <w:tc>
          <w:tcPr>
            <w:tcW w:type="dxa" w:w="300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$1 billion annual cost increase — confirmed by CFO</w:t>
            </w:r>
          </w:p>
        </w:tc>
        <w:tc>
          <w:tcPr>
            <w:tcW w:type="dxa" w:w="216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Supply Chain Dive, SupplyChainBrain (Jun 2025)</w:t>
            </w:r>
          </w:p>
        </w:tc>
      </w:tr>
      <w:tr>
        <w:tc>
          <w:tcPr>
            <w:tcW w:type="dxa" w:w="15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Hasbro</w:t>
            </w:r>
          </w:p>
        </w:tc>
        <w:tc>
          <w:tcPr>
            <w:tcW w:type="dxa" w:w="132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Consumer / Toys</w:t>
            </w:r>
          </w:p>
        </w:tc>
        <w:tc>
          <w:tcPr>
            <w:tcW w:type="dxa" w:w="132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Section 301 + IEEPA</w:t>
            </w:r>
          </w:p>
        </w:tc>
        <w:tc>
          <w:tcPr>
            <w:tcW w:type="dxa" w:w="30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$100M–$300M gross impact — confirmed by CEO ($200M uncertainty range)</w:t>
            </w:r>
          </w:p>
        </w:tc>
        <w:tc>
          <w:tcPr>
            <w:tcW w:type="dxa" w:w="2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Supply Chain Dive, AOL Finance (Q1 2025)</w:t>
            </w:r>
          </w:p>
        </w:tc>
      </w:tr>
      <w:tr>
        <w:tc>
          <w:tcPr>
            <w:tcW w:type="dxa" w:w="156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GM / Ford / Stellantis</w:t>
            </w:r>
          </w:p>
        </w:tc>
        <w:tc>
          <w:tcPr>
            <w:tcW w:type="dxa" w:w="132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Automotive OEM</w:t>
            </w:r>
          </w:p>
        </w:tc>
        <w:tc>
          <w:tcPr>
            <w:tcW w:type="dxa" w:w="132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Section 232 + 301</w:t>
            </w:r>
          </w:p>
        </w:tc>
        <w:tc>
          <w:tcPr>
            <w:tcW w:type="dxa" w:w="300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$1.1B / $0.8B / $0.5B annual increases respectively</w:t>
            </w:r>
          </w:p>
        </w:tc>
        <w:tc>
          <w:tcPr>
            <w:tcW w:type="dxa" w:w="2160"/>
            <w:tcBorders>
              <w:top w:val="single" w:color="CCCCCC" w:sz="1"/>
              <w:left w:val="single" w:color="CCCCCC" w:sz="1"/>
              <w:bottom w:val="single" w:color="CCCCCC" w:sz="1"/>
              <w:right w:val="single" w:color="CCCCCC" w:sz="1"/>
            </w:tcBorders>
            <w:shd w:fill="C00000"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7"/>
                <w:szCs w:val="17"/>
              </w:rPr>
              <w:t xml:space="preserve">QAD/GlobalData modelling; CNBC/USITC (2025)</w:t>
            </w:r>
          </w:p>
        </w:tc>
      </w:tr>
    </w:tbl>
    <w:p>
      <w:pPr>
        <w:spacing w:after="60" w:before="60"/>
        <w:jc w:val="left"/>
      </w:pPr>
      <w:r>
        <w:rPr>
          <w:rFonts w:ascii="Arial" w:cs="Arial" w:eastAsia="Arial" w:hAnsi="Arial"/>
          <w:b w:val="false"/>
          <w:bCs w:val="false"/>
          <w:i w:val="false"/>
          <w:iCs w:val="false"/>
          <w:color w:val="222222"/>
          <w:sz w:val="20"/>
          <w:szCs w:val="20"/>
        </w:rPr>
        <w:t xml:space="preserve"/>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p>
      <w:pPr>
        <w:shd w:fill="1F4E79" w:val="clear"/>
        <w:spacing w:after="160" w:before="400"/>
        <w:ind w:left="180"/>
        <w:jc w:val="left"/>
      </w:pPr>
      <w:r>
        <w:rPr>
          <w:rFonts w:ascii="Arial" w:cs="Arial" w:eastAsia="Arial" w:hAnsi="Arial"/>
          <w:b/>
          <w:bCs/>
          <w:i w:val="false"/>
          <w:iCs w:val="false"/>
          <w:color w:val="FFFFFF"/>
          <w:sz w:val="32"/>
          <w:szCs w:val="32"/>
        </w:rPr>
        <w:t xml:space="preserve">Part 2 — The Case Studies: Six Incidents in Detail</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val="false"/>
          <w:iCs w:val="false"/>
          <w:color w:val="222222"/>
          <w:sz w:val="20"/>
          <w:szCs w:val="20"/>
        </w:rPr>
        <w:t xml:space="preserve">Each case below answers four questions: why it happened, what it cost, what the company did to respond, and how ECC's material genealogy intelligence would have changed the outcome.</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01</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Volkswagen Group — Porsche, Audi &amp; Bentley</w:t>
            </w:r>
          </w:p>
          <w:p>
            <w:pPr>
              <w:spacing w:after="80" w:before="80"/>
              <w:jc w:val="left"/>
            </w:pPr>
            <w:r>
              <w:rPr>
                <w:rFonts w:ascii="Arial" w:cs="Arial" w:eastAsia="Arial" w:hAnsi="Arial"/>
                <w:b w:val="false"/>
                <w:bCs w:val="false"/>
                <w:i/>
                <w:iCs/>
                <w:color w:val="BDD7EE"/>
                <w:sz w:val="17"/>
                <w:szCs w:val="17"/>
              </w:rPr>
              <w:t xml:space="preserve">Automotive | UFLPA Enforcement — February 2024</w:t>
            </w:r>
          </w:p>
        </w:tc>
        <w:tc>
          <w:tcPr>
            <w:tcW w:type="dxa" w:w="2880"/>
            <w:tcBorders>
              <w:top w:val="none" w:color="FFFFFF" w:sz="0"/>
              <w:left w:val="none" w:color="FFFFFF" w:sz="0"/>
              <w:bottom w:val="none" w:color="FFFFFF" w:sz="0"/>
              <w:right w:val="none" w:color="FFFFFF" w:sz="0"/>
            </w:tcBorders>
            <w:shd w:fill="C000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Hundreds of millions
in delayed revenue</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US Customs and Border Protection impounded thousands of Volkswagen Group vehicles at US ports after a Tier-2 supplier (Bourns Inc.) notified Tier-1 supplier Lear Corp. that a LAN transformer subcomponent had been sourced from Sichuan Jingweida Technology Group (JWD) — a Chinese firm added to the UFLPA Entity List in December 2023. Volkswagen had no visibility beyond Tier 1 and Tier 2. The JWD part sat at Tier 3-4, invisible to every compliance tool in use. The violation was identified not by Volkswagen's internal systems — but by a supplier notification.</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F6000" w:sz="14"/>
        </w:pBdr>
        <w:shd w:fill="FFF2CC" w:val="clear"/>
        <w:spacing w:after="120" w:before="120"/>
        <w:ind w:left="360" w:right="360"/>
        <w:jc w:val="left"/>
      </w:pPr>
      <w:r>
        <w:rPr>
          <w:rFonts w:ascii="Arial" w:cs="Arial" w:eastAsia="Arial" w:hAnsi="Arial"/>
          <w:b/>
          <w:bCs/>
          <w:i w:val="false"/>
          <w:iCs w:val="false"/>
          <w:color w:val="7F6000"/>
          <w:sz w:val="20"/>
          <w:szCs w:val="20"/>
        </w:rPr>
        <w:t xml:space="preserve">Congressional finding:</w:t>
      </w:r>
      <w:r>
        <w:rPr>
          <w:rFonts w:ascii="Arial" w:cs="Arial" w:eastAsia="Arial" w:hAnsi="Arial"/>
          <w:b w:val="false"/>
          <w:bCs w:val="false"/>
          <w:i w:val="false"/>
          <w:iCs w:val="false"/>
          <w:color w:val="222222"/>
          <w:sz w:val="20"/>
          <w:szCs w:val="20"/>
        </w:rPr>
        <w:t xml:space="preserve"> 'Automakers' self-policing is clearly not doing the job.' — Senate Finance Committee Chair Ron Wyden, May 2024</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Vehicles impounded</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Several thousand Audis, ~1,000 Porsches, several hundred Bentleys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Revenue at risk</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At $80,000–$200,000+ average MSRP, thousands of impounded vehicles represents hundreds of millions in delayed delivery revenue</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Resolution timeline</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Part replacement estimated through end of March 2024 — 6+ weeks of delivery delays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Regulatory escalation</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Congressional letter from House Select Committee on CCP demanding explanation and operational changes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Reputational exposure</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Coverage in FT, Reuters, BBC, CNBC; formal congressional inquiry</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Immediate Response</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Voluntary disclosure to CBP upon being made aware</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Emergency replacement programme for banned LAN transformer across all impounded vehicles</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Suspension of deliveries of affected models until part replacement complete</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Public commitment to 'preventing the use of forced labour in supply chain'</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material genealogy would have mapped the LAN transformer (L3 component) to its electronic subcomponent origin (L4-L5), flagging the JWD entity match before a single vehicle shipped. The fix would have been a sourcing switch — not an impoundment.</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Foley Hoag: CBP Enforcement Action Against Auto Industry</w:t>
      </w:r>
      <w:r>
        <w:rPr>
          <w:rFonts w:ascii="Arial" w:cs="Arial" w:eastAsia="Arial" w:hAnsi="Arial"/>
          <w:b w:val="false"/>
          <w:bCs w:val="false"/>
          <w:i w:val="false"/>
          <w:iCs w:val="false"/>
          <w:color w:val="888888"/>
          <w:sz w:val="15"/>
          <w:szCs w:val="15"/>
        </w:rPr>
        <w:t xml:space="preserve">  https://foleyhoag.com/news-and-insights/publications/alerts/2024/february/cbp-begins-enforcement-action-against-auto-industry</w:t>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Resilinc: How One Volkswagen Part Led to Thousands of Impounded Cars</w:t>
      </w:r>
      <w:r>
        <w:rPr>
          <w:rFonts w:ascii="Arial" w:cs="Arial" w:eastAsia="Arial" w:hAnsi="Arial"/>
          <w:b w:val="false"/>
          <w:bCs w:val="false"/>
          <w:i w:val="false"/>
          <w:iCs w:val="false"/>
          <w:color w:val="888888"/>
          <w:sz w:val="15"/>
          <w:szCs w:val="15"/>
        </w:rPr>
        <w:t xml:space="preserve">  https://resilinc.ai/blog/uflpa-compliance-volkswagen-china-part/</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02</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BMW — 8,000 Mini Cooper UFLPA Violation</w:t>
            </w:r>
          </w:p>
          <w:p>
            <w:pPr>
              <w:spacing w:after="80" w:before="80"/>
              <w:jc w:val="left"/>
            </w:pPr>
            <w:r>
              <w:rPr>
                <w:rFonts w:ascii="Arial" w:cs="Arial" w:eastAsia="Arial" w:hAnsi="Arial"/>
                <w:b w:val="false"/>
                <w:bCs w:val="false"/>
                <w:i/>
                <w:iCs/>
                <w:color w:val="BDD7EE"/>
                <w:sz w:val="17"/>
                <w:szCs w:val="17"/>
              </w:rPr>
              <w:t xml:space="preserve">Automotive | UFLPA Enforcement — May 2024</w:t>
            </w:r>
          </w:p>
        </w:tc>
        <w:tc>
          <w:tcPr>
            <w:tcW w:type="dxa" w:w="2880"/>
            <w:tcBorders>
              <w:top w:val="none" w:color="FFFFFF" w:sz="0"/>
              <w:left w:val="none" w:color="FFFFFF" w:sz="0"/>
              <w:bottom w:val="none" w:color="FFFFFF" w:sz="0"/>
              <w:right w:val="none" w:color="FFFFFF" w:sz="0"/>
            </w:tcBorders>
            <w:shd w:fill="C000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$50M+ service action
+ congressional report</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A US Senate Finance Committee investigation found that BMW imported at least 8,000 Mini Cooper vehicles containing LAN transformer components made by Sichuan Jingweida Technology Group (JWD) — the same UFLPA-banned supplier as the VW incident. BMW received notification from Lear Corp. in January 2024 but continued importing vehicles with the banned components until at least April 2024 — four months after JWD was blacklisted and three months after direct supplier notification. The supply chain path was: JWD (China, UFLPA Entity List) → Bourns Inc. (California, Tier-3) → Lear Corp. (Tier-2) → BMW (OEM). BMW lacked the internal tooling to rapidly identify, quarantine, and remediate the specific BOM positions affected across its production volume.</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F6000" w:sz="14"/>
        </w:pBdr>
        <w:shd w:fill="FFF2CC" w:val="clear"/>
        <w:spacing w:after="120" w:before="120"/>
        <w:ind w:left="360" w:right="360"/>
        <w:jc w:val="left"/>
      </w:pPr>
      <w:r>
        <w:rPr>
          <w:rFonts w:ascii="Arial" w:cs="Arial" w:eastAsia="Arial" w:hAnsi="Arial"/>
          <w:b/>
          <w:bCs/>
          <w:i w:val="false"/>
          <w:iCs w:val="false"/>
          <w:color w:val="7F6000"/>
          <w:sz w:val="20"/>
          <w:szCs w:val="20"/>
        </w:rPr>
        <w:t xml:space="preserve">Senate report finding:</w:t>
      </w:r>
      <w:r>
        <w:rPr>
          <w:rFonts w:ascii="Arial" w:cs="Arial" w:eastAsia="Arial" w:hAnsi="Arial"/>
          <w:b w:val="false"/>
          <w:bCs w:val="false"/>
          <w:i w:val="false"/>
          <w:iCs w:val="false"/>
          <w:color w:val="222222"/>
          <w:sz w:val="20"/>
          <w:szCs w:val="20"/>
        </w:rPr>
        <w:t xml:space="preserve"> 'BMW continued to import products manufactured by JWD until at least April 2024.' — US Senate Finance Committee, May 2024</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Vehicles affected</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At least 8,000 Mini Cooper cars imported with banned components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Service action cost</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US-wide customer and dealer notification; component replacement logistics across all 8,000 vehicles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Compliance liability</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Each UFLPA-banned vehicle subject to detention and denial — customs fines can reach the full value of the shipment</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Congressional scrutiny</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Named in Senate Finance Committee report; Senator Wyden called for CBP to 'supercharge enforcement'</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Reputational damage</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CNBC, BBC, Reuters, Financial Times coverage; automotive industry put on formal notice</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Immediate Response</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Halted importation of affected products after Senate inquiry forced the issue</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Initiated a 'service action' — customer and dealer notification programme across all affected Mini Cooper inventory</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Committed to auditing Lear and Bourns supply chains for further JWD exposure</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graph would have flagged JWD (UFLPA Entity List) as a node match on the LAN transformer BOM position at L4-L5 with geo-political cascade risk scoring activated automatically — before January 2024, not after a Senate investigation.</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CNBC: BMW imported 8,000 Mini Coopers with banned Chinese parts</w:t>
      </w:r>
      <w:r>
        <w:rPr>
          <w:rFonts w:ascii="Arial" w:cs="Arial" w:eastAsia="Arial" w:hAnsi="Arial"/>
          <w:b w:val="false"/>
          <w:bCs w:val="false"/>
          <w:i w:val="false"/>
          <w:iCs w:val="false"/>
          <w:color w:val="888888"/>
          <w:sz w:val="15"/>
          <w:szCs w:val="15"/>
        </w:rPr>
        <w:t xml:space="preserve">  https://www.cnbc.com/2024/05/20/bmw-mini-cooper-banned-chinese-uflpa.html</w:t>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Miller &amp; Chevalier: UFLPA Enforcement 2024 Year in Review</w:t>
      </w:r>
      <w:r>
        <w:rPr>
          <w:rFonts w:ascii="Arial" w:cs="Arial" w:eastAsia="Arial" w:hAnsi="Arial"/>
          <w:b w:val="false"/>
          <w:bCs w:val="false"/>
          <w:i w:val="false"/>
          <w:iCs w:val="false"/>
          <w:color w:val="888888"/>
          <w:sz w:val="15"/>
          <w:szCs w:val="15"/>
        </w:rPr>
        <w:t xml:space="preserve">  https://www.millerchevalier.com/publication/trade-compliance-flash-uflpa-enforcement-2024-year-review</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833C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03</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Solar Industry — JinkoSolar, LONGi, Trina</w:t>
            </w:r>
          </w:p>
          <w:p>
            <w:pPr>
              <w:spacing w:after="80" w:before="80"/>
              <w:jc w:val="left"/>
            </w:pPr>
            <w:r>
              <w:rPr>
                <w:rFonts w:ascii="Arial" w:cs="Arial" w:eastAsia="Arial" w:hAnsi="Arial"/>
                <w:b w:val="false"/>
                <w:bCs w:val="false"/>
                <w:i/>
                <w:iCs/>
                <w:color w:val="BDD7EE"/>
                <w:sz w:val="17"/>
                <w:szCs w:val="17"/>
              </w:rPr>
              <w:t xml:space="preserve">Energy / Solar | UFLPA Mass Enforcement — 2022–2025</w:t>
            </w:r>
          </w:p>
        </w:tc>
        <w:tc>
          <w:tcPr>
            <w:tcW w:type="dxa" w:w="2880"/>
            <w:tcBorders>
              <w:top w:val="none" w:color="FFFFFF" w:sz="0"/>
              <w:left w:val="none" w:color="FFFFFF" w:sz="0"/>
              <w:bottom w:val="none" w:color="FFFFFF" w:sz="0"/>
              <w:right w:val="none" w:color="FFFFFF" w:sz="0"/>
            </w:tcBorders>
            <w:shd w:fill="833C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$700M detained Year 1
$1.54B sector losses H1 2025</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When UFLPA enforcement began in June 2022, CBP immediately detained solar panel shipments from China's largest module manufacturers. The enforcement trigger: CBP required complete documentation proving polysilicon used in panels had no traceable link to Xinjiang — including raw quartzite sourcing documentation at the base of the manufacturing chain. None of the manufacturers had this documentation ready. The solar supply chain runs: Sand (quartzite) → Polysilicon → Ingot → Wafer → Cell → Module. CBP's enforcement required documentation at the quartzite level — the L8 equivalent. The industry had zero L5–L8 material traceability.</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Direct detention value</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~$700M in modules detained in 2022 alone; over $3.5B total UFLPA detentions by end of 2024</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JinkoSolar US exports</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Halved planned US exports in 2022 after initial detentions — self-excluding from a major market</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Sector project delays</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'The most difficult renewable procurement environment of the past 15 years' — Silicon Ranch CEO</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China top-4 solar losses</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LONGi, JinkoSolar, Trina Solar and JA Solar posted combined net losses of ~$1.54B in H1 2025</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Federal raid</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JinkoSolar's Jacksonville factory and California sales office raided by DHS, FBI and CBP agents — May 2023</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Immediate Response</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JinkoSolar halved US export volume rather than risk mass detentions — revenue sacrifice over compliance risk</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Industry-wide scramble to build supply chain documentation chains from polysilicon back to quartzite mines</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Engagement of trade compliance law firms and third-party supply chain auditors</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Shift toward non-Xinjiang polysilicon suppliers — but supply constrained globally</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L8-level raw material mapping — quartzite → polysilicon → wafer → cell → module — with geographic origin tags at every node would have given these manufacturers a ready CBP compliance package. Instead of weeks of reactive documentation scramble per shipment, compliance is a pre-built export from the graph.</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Axios: Forced-labor crackdown hamstrings solar industry</w:t>
      </w:r>
      <w:r>
        <w:rPr>
          <w:rFonts w:ascii="Arial" w:cs="Arial" w:eastAsia="Arial" w:hAnsi="Arial"/>
          <w:b w:val="false"/>
          <w:bCs w:val="false"/>
          <w:i w:val="false"/>
          <w:iCs w:val="false"/>
          <w:color w:val="888888"/>
          <w:sz w:val="15"/>
          <w:szCs w:val="15"/>
        </w:rPr>
        <w:t xml:space="preserve">  https://www.axios.com/pro/climate-deals/2023/01/09/forced-labor-crackdown-hamstrings-solar-industry</w:t>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PV Tech: China top-4 solar manufacturers — $1.54B losses H1 2025</w:t>
      </w:r>
      <w:r>
        <w:rPr>
          <w:rFonts w:ascii="Arial" w:cs="Arial" w:eastAsia="Arial" w:hAnsi="Arial"/>
          <w:b w:val="false"/>
          <w:bCs w:val="false"/>
          <w:i w:val="false"/>
          <w:iCs w:val="false"/>
          <w:color w:val="888888"/>
          <w:sz w:val="15"/>
          <w:szCs w:val="15"/>
        </w:rPr>
        <w:t xml:space="preserve">  https://www.pv-tech.org/chinas-top-four-solar-manufacturers-suffer-1-54-billion-losses-h1-2025/</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04</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Nike — $1 Billion Annual Tariff Impact</w:t>
            </w:r>
          </w:p>
          <w:p>
            <w:pPr>
              <w:spacing w:after="80" w:before="80"/>
              <w:jc w:val="left"/>
            </w:pPr>
            <w:r>
              <w:rPr>
                <w:rFonts w:ascii="Arial" w:cs="Arial" w:eastAsia="Arial" w:hAnsi="Arial"/>
                <w:b w:val="false"/>
                <w:bCs w:val="false"/>
                <w:i/>
                <w:iCs/>
                <w:color w:val="BDD7EE"/>
                <w:sz w:val="17"/>
                <w:szCs w:val="17"/>
              </w:rPr>
              <w:t xml:space="preserve">Consumer / Apparel | Section 301 + IEEPA — FY2025</w:t>
            </w:r>
          </w:p>
        </w:tc>
        <w:tc>
          <w:tcPr>
            <w:tcW w:type="dxa" w:w="2880"/>
            <w:tcBorders>
              <w:top w:val="none" w:color="FFFFFF" w:sz="0"/>
              <w:left w:val="none" w:color="FFFFFF" w:sz="0"/>
              <w:bottom w:val="none" w:color="FFFFFF" w:sz="0"/>
              <w:right w:val="none" w:color="FFFFFF" w:sz="0"/>
            </w:tcBorders>
            <w:shd w:fill="C000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$1,000,000,000
annual cost increase</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Nike CFO Matthew Friend disclosed on a June 2025 earnings call that US tariffs would add an estimated $1 billion in annual incremental cost. China accounted for approximately 16% of Nike's US footwear imports. The effective tariff stack on Chinese-made goods reached 58.3%. Nike's gross margins declined to 34.5% in Q3 2025, a 140-basis-point drop. Nike lacked the BOM-level data to rapidly identify which specific SKUs had the highest tariff exposure, which materials within those SKUs drove the cost, or which sourcing switches would yield the highest tariff mitigation per dollar of transition cost. The response was reactive and broad-brush rather than surgical.</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Annual tariff cost increase</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$1 billion gross incremental cost — confirmed by Nike CFO on earnings call</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Margin compression</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Gross margin fell to 34.5% (Q3 2025) — 140 basis points below prior quarter</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Market impact</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Nike's market value dropped approximately one-third over the surrounding period</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Consumer impact</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'Surgical price increases' on certain US products beginning fall 2025</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Structural cost</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Accelerated supply chain diversification from China to Vietnam, Indonesia, Thailand — multi-year transition cost</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Immediate Response</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Announced plan to cut China's share of US footwear imports from ~16% to high-single digits by end of FY2026</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Negotiated cost-sharing arrangements with suppliers and retail distribution partners</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Phased selective price increases beginning fall 2025</w:t>
      </w:r>
    </w:p>
    <w:p>
      <w:pPr>
        <w:pStyle w:val="ListParagraph"/>
        <w:numPr>
          <w:ilvl w:val="0"/>
          <w:numId w:val="2"/>
        </w:numPr>
        <w:spacing w:after="40" w:before="40"/>
        <w:jc w:val="left"/>
      </w:pPr>
      <w:r>
        <w:rPr>
          <w:rFonts w:ascii="Arial" w:cs="Arial" w:eastAsia="Arial" w:hAnsi="Arial"/>
          <w:b w:val="false"/>
          <w:bCs w:val="false"/>
          <w:i w:val="false"/>
          <w:iCs w:val="false"/>
          <w:color w:val="222222"/>
          <w:sz w:val="20"/>
          <w:szCs w:val="20"/>
        </w:rPr>
        <w:t xml:space="preserve">Committed to 'corporate cost reductions' — implied headcount or structural changes</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HTS code-level tariff scoring and BOM tariff rollup agent would have given Nike a ranked list of which SKUs and which specific material inputs carried the highest Section 301 exposure — before CFO guidance, not after. Sourcing shift decisions would be driven by the graph, not guesswork.</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Supply Chain Dive: Nike fights $1B tariff hit with sourcing shifts</w:t>
      </w:r>
      <w:r>
        <w:rPr>
          <w:rFonts w:ascii="Arial" w:cs="Arial" w:eastAsia="Arial" w:hAnsi="Arial"/>
          <w:b w:val="false"/>
          <w:bCs w:val="false"/>
          <w:i w:val="false"/>
          <w:iCs w:val="false"/>
          <w:color w:val="888888"/>
          <w:sz w:val="15"/>
          <w:szCs w:val="15"/>
        </w:rPr>
        <w:t xml:space="preserve">  https://www.supplychaindive.com/news/nike-1b-tariff-sourcing-price-hikes/752159/</w:t>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Supply Chain Brain: Nike Faces $1B in Added Costs from Tariffs</w:t>
      </w:r>
      <w:r>
        <w:rPr>
          <w:rFonts w:ascii="Arial" w:cs="Arial" w:eastAsia="Arial" w:hAnsi="Arial"/>
          <w:b w:val="false"/>
          <w:bCs w:val="false"/>
          <w:i w:val="false"/>
          <w:iCs w:val="false"/>
          <w:color w:val="888888"/>
          <w:sz w:val="15"/>
          <w:szCs w:val="15"/>
        </w:rPr>
        <w:t xml:space="preserve">  https://www.supplychainbrain.com/articles/42055-nike-faces-1b-in-added-costs-from-tariffs</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05</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Hasbro — $100M–$300M Section 301 Exposure</w:t>
            </w:r>
          </w:p>
          <w:p>
            <w:pPr>
              <w:spacing w:after="80" w:before="80"/>
              <w:jc w:val="left"/>
            </w:pPr>
            <w:r>
              <w:rPr>
                <w:rFonts w:ascii="Arial" w:cs="Arial" w:eastAsia="Arial" w:hAnsi="Arial"/>
                <w:b w:val="false"/>
                <w:bCs w:val="false"/>
                <w:i/>
                <w:iCs/>
                <w:color w:val="BDD7EE"/>
                <w:sz w:val="17"/>
                <w:szCs w:val="17"/>
              </w:rPr>
              <w:t xml:space="preserve">Consumer Goods / Toys | Section 301 + IEEPA — 2025</w:t>
            </w:r>
          </w:p>
        </w:tc>
        <w:tc>
          <w:tcPr>
            <w:tcW w:type="dxa" w:w="2880"/>
            <w:tcBorders>
              <w:top w:val="none" w:color="FFFFFF" w:sz="0"/>
              <w:left w:val="none" w:color="FFFFFF" w:sz="0"/>
              <w:bottom w:val="none" w:color="FFFFFF" w:sz="0"/>
              <w:right w:val="none" w:color="FFFFFF" w:sz="0"/>
            </w:tcBorders>
            <w:shd w:fill="7F60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$100M–$300M gross
($200M uncertainty range)</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Hasbro CEO Chris Cocks disclosed in Q1 2025 earnings that US tariffs on Chinese goods — with rates reaching 145% at peak under IEEPA — would create a gross impact of $100M to $300M across the enterprise before any mitigation. The $200M uncertainty range in a single guidance figure is itself the most important data point: it reflects the opacity of the tariff exposure calculation across their product portfolio. Hasbro had no rapid mechanism to re-map tariff exposure by SKU, material input, or manufacturing site in real time as tariff rates escalated unpredictably.</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Gross tariff impact</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$100M–$300M — a $200M uncertainty range reflecting poor supply chain tariff visibility</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Strategic response cost</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$1 billion cost savings plan accelerated partly to offset tariff pressure — structural reorganisation cost</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Price increases</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Price hikes confirmed as unavoidable — consumer demand risk</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Employment risk</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CEO warned of 'potential job losses as we adjust to absorb increased costs'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SKU migration</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Hundreds of US-destined SKUs shifted from China to alternate countries — transition cost</w:t>
            </w:r>
          </w:p>
        </w:tc>
      </w:tr>
    </w:tbl>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BOM tariff rollup agent computes HTS code-level tariff exposure per material node and aggregates to finished product — giving Hasbro a product-by-product tariff P&amp;L before results season. The $200M uncertainty range collapses to a specific number with a specific list of which SKUs to reprioritise.</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Supply Chain Dive: Hasbro shifting SKU origins away from China</w:t>
      </w:r>
      <w:r>
        <w:rPr>
          <w:rFonts w:ascii="Arial" w:cs="Arial" w:eastAsia="Arial" w:hAnsi="Arial"/>
          <w:b w:val="false"/>
          <w:bCs w:val="false"/>
          <w:i w:val="false"/>
          <w:iCs w:val="false"/>
          <w:color w:val="888888"/>
          <w:sz w:val="15"/>
          <w:szCs w:val="15"/>
        </w:rPr>
        <w:t xml:space="preserve">  https://www.supplychaindive.com/news/hasbro-tariffs-china-manufacturing-move/746683/</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2880"/>
      </w:tblGrid>
      <w:tr>
        <w:tc>
          <w:tcPr>
            <w:tcW w:type="dxa" w:w="120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spacing w:after="80" w:before="80"/>
              <w:jc w:val="center"/>
            </w:pPr>
            <w:r>
              <w:rPr>
                <w:rFonts w:ascii="Arial" w:cs="Arial" w:eastAsia="Arial" w:hAnsi="Arial"/>
                <w:b/>
                <w:bCs/>
                <w:i w:val="false"/>
                <w:iCs w:val="false"/>
                <w:color w:val="FFFFFF"/>
                <w:sz w:val="15"/>
                <w:szCs w:val="15"/>
              </w:rPr>
              <w:t xml:space="preserve">CASE</w:t>
            </w:r>
          </w:p>
          <w:p>
            <w:pPr>
              <w:spacing w:after="80" w:before="80"/>
              <w:jc w:val="center"/>
            </w:pPr>
            <w:r>
              <w:rPr>
                <w:rFonts w:ascii="Arial" w:cs="Arial" w:eastAsia="Arial" w:hAnsi="Arial"/>
                <w:b/>
                <w:bCs/>
                <w:i w:val="false"/>
                <w:iCs w:val="false"/>
                <w:color w:val="FFFFFF"/>
                <w:sz w:val="40"/>
                <w:szCs w:val="40"/>
              </w:rPr>
              <w:t xml:space="preserve">06</w:t>
            </w:r>
          </w:p>
        </w:tc>
        <w:tc>
          <w:tcPr>
            <w:tcW w:type="dxa" w:w="5280"/>
            <w:tcBorders>
              <w:top w:val="none" w:color="FFFFFF" w:sz="0"/>
              <w:left w:val="none" w:color="FFFFFF" w:sz="0"/>
              <w:bottom w:val="none" w:color="FFFFFF" w:sz="0"/>
              <w:right w:val="none" w:color="FFFFFF" w:sz="0"/>
            </w:tcBorders>
            <w:shd w:fill="1F4E79" w:val="clear"/>
            <w:tcMar>
              <w:top w:type="dxa" w:w="100"/>
              <w:left w:type="dxa" w:w="240"/>
              <w:bottom w:type="dxa" w:w="80"/>
              <w:right w:type="dxa" w:w="120"/>
            </w:tcMar>
          </w:tcPr>
          <w:p>
            <w:pPr>
              <w:spacing w:after="80" w:before="80"/>
              <w:jc w:val="left"/>
            </w:pPr>
            <w:r>
              <w:rPr>
                <w:rFonts w:ascii="Arial" w:cs="Arial" w:eastAsia="Arial" w:hAnsi="Arial"/>
                <w:b/>
                <w:bCs/>
                <w:i w:val="false"/>
                <w:iCs w:val="false"/>
                <w:color w:val="FFFFFF"/>
                <w:sz w:val="28"/>
                <w:szCs w:val="28"/>
              </w:rPr>
              <w:t xml:space="preserve">GM, Ford &amp; Stellantis — Billion-Dollar Cost Increases</w:t>
            </w:r>
          </w:p>
          <w:p>
            <w:pPr>
              <w:spacing w:after="80" w:before="80"/>
              <w:jc w:val="left"/>
            </w:pPr>
            <w:r>
              <w:rPr>
                <w:rFonts w:ascii="Arial" w:cs="Arial" w:eastAsia="Arial" w:hAnsi="Arial"/>
                <w:b w:val="false"/>
                <w:bCs w:val="false"/>
                <w:i/>
                <w:iCs/>
                <w:color w:val="BDD7EE"/>
                <w:sz w:val="17"/>
                <w:szCs w:val="17"/>
              </w:rPr>
              <w:t xml:space="preserve">Automotive OEM | Section 232 + Section 301 + IEEPA — 2025</w:t>
            </w:r>
          </w:p>
        </w:tc>
        <w:tc>
          <w:tcPr>
            <w:tcW w:type="dxa" w:w="2880"/>
            <w:tcBorders>
              <w:top w:val="none" w:color="FFFFFF" w:sz="0"/>
              <w:left w:val="none" w:color="FFFFFF" w:sz="0"/>
              <w:bottom w:val="none" w:color="FFFFFF" w:sz="0"/>
              <w:right w:val="none" w:color="FFFFFF" w:sz="0"/>
            </w:tcBorders>
            <w:shd w:fill="C00000" w:val="clear"/>
            <w:tcMar>
              <w:top w:type="dxa" w:w="100"/>
              <w:left w:type="dxa" w:w="160"/>
              <w:bottom w:type="dxa" w:w="80"/>
              <w:right w:type="dxa" w:w="160"/>
            </w:tcMar>
          </w:tcPr>
          <w:p>
            <w:pPr>
              <w:spacing w:after="20" w:before="80"/>
              <w:jc w:val="center"/>
            </w:pPr>
            <w:r>
              <w:rPr>
                <w:rFonts w:ascii="Arial" w:cs="Arial" w:eastAsia="Arial" w:hAnsi="Arial"/>
                <w:b/>
                <w:bCs/>
                <w:i w:val="false"/>
                <w:iCs w:val="false"/>
                <w:color w:val="FFFFFF"/>
                <w:sz w:val="15"/>
                <w:szCs w:val="15"/>
              </w:rPr>
              <w:t xml:space="preserve">FINANCIAL IMPACT</w:t>
            </w:r>
          </w:p>
          <w:p>
            <w:pPr>
              <w:spacing w:after="80" w:before="80"/>
              <w:jc w:val="center"/>
            </w:pPr>
            <w:r>
              <w:rPr>
                <w:rFonts w:ascii="Arial" w:cs="Arial" w:eastAsia="Arial" w:hAnsi="Arial"/>
                <w:b/>
                <w:bCs/>
                <w:i w:val="false"/>
                <w:iCs w:val="false"/>
                <w:color w:val="FFFFFF"/>
                <w:sz w:val="20"/>
                <w:szCs w:val="20"/>
              </w:rPr>
              <w:t xml:space="preserve">$1.1B / $0.8B / $0.5B
annual per OEM</w:t>
            </w:r>
          </w:p>
        </w:tc>
      </w:tr>
    </w:tbl>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Why It Happened</w:t>
      </w:r>
    </w:p>
    <w:p>
      <w:pPr>
        <w:spacing w:after="80" w:before="80"/>
        <w:jc w:val="left"/>
      </w:pPr>
      <w:r>
        <w:rPr>
          <w:rFonts w:ascii="Arial" w:cs="Arial" w:eastAsia="Arial" w:hAnsi="Arial"/>
          <w:b w:val="false"/>
          <w:bCs w:val="false"/>
          <w:i w:val="false"/>
          <w:iCs w:val="false"/>
          <w:color w:val="222222"/>
          <w:sz w:val="20"/>
          <w:szCs w:val="20"/>
        </w:rPr>
        <w:t xml:space="preserve">A 25% tariff on auto parts combined with Section 232 on steel and aluminum (25%), Section 301 on Chinese components, and IEEPA reciprocal tariffs created cascading cost pressure across the US automotive OEM sector in 2025. In April 2025, China imposed new export licence requirements on seven rare earth elements — samarium, gadolinium, terbium, dysprosium, lutetium, scandium, and yttrium — all essential to NdFeB motor magnets used in EV traction motors. When China's April 2025 export control landed, the question 'which of our assemblies are affected and by how much?' could not be answered from any existing system. Manual BOM review across thousands of components would take weeks.</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200"/>
        <w:jc w:val="left"/>
      </w:pPr>
      <w:r>
        <w:rPr>
          <w:rFonts w:ascii="Arial" w:cs="Arial" w:eastAsia="Arial" w:hAnsi="Arial"/>
          <w:b/>
          <w:bCs/>
          <w:i w:val="false"/>
          <w:iCs w:val="false"/>
          <w:color w:val="2E75B6"/>
          <w:sz w:val="22"/>
          <w:szCs w:val="22"/>
        </w:rPr>
        <w:t xml:space="preserve">Financial &amp;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GM annual tariff impact</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~$1.1B annual cost increase from 25pp auto parts tariff (QAD/GlobalData modelling)</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Ford annual tariff impact</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~$0.8B annual cost increase from same scenario</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Stellantis annual tariff impact</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~$0.5B annual cost increase from same scenario</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Rare earth export controls</w:t>
            </w:r>
          </w:p>
        </w:tc>
        <w:tc>
          <w:tcPr>
            <w:tcW w:type="dxa" w:w="684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222222"/>
                <w:sz w:val="18"/>
                <w:szCs w:val="18"/>
              </w:rPr>
              <w:t xml:space="preserve">7 elements under China export licence — critical to NdFeB magnets across all EV platforms</w:t>
            </w:r>
          </w:p>
        </w:tc>
      </w:tr>
      <w:tr>
        <w:tc>
          <w:tcPr>
            <w:tcW w:type="dxa" w:w="2520"/>
            <w:tcBorders>
              <w:top w:val="single" w:color="CCCCCC" w:sz="1"/>
              <w:left w:val="single" w:color="CCCCCC" w:sz="1"/>
              <w:bottom w:val="single" w:color="CCCCCC" w:sz="1"/>
              <w:right w:val="single" w:color="CCCCCC" w:sz="1"/>
            </w:tcBorders>
            <w:shd w:fill="DEEAF1" w:val="clear"/>
            <w:tcMar>
              <w:top w:type="dxa" w:w="65"/>
              <w:left w:type="dxa" w:w="100"/>
              <w:bottom w:type="dxa" w:w="65"/>
              <w:right w:type="dxa" w:w="80"/>
            </w:tcMar>
          </w:tcPr>
          <w:p>
            <w:pPr>
              <w:spacing w:after="80" w:before="80"/>
              <w:jc w:val="left"/>
            </w:pPr>
            <w:r>
              <w:rPr>
                <w:rFonts w:ascii="Arial" w:cs="Arial" w:eastAsia="Arial" w:hAnsi="Arial"/>
                <w:b/>
                <w:bCs/>
                <w:i w:val="false"/>
                <w:iCs w:val="false"/>
                <w:color w:val="1F4E79"/>
                <w:sz w:val="18"/>
                <w:szCs w:val="18"/>
              </w:rPr>
              <w:t xml:space="preserve">Semiconductor tariff (projected)</w:t>
            </w:r>
          </w:p>
        </w:tc>
        <w:tc>
          <w:tcPr>
            <w:tcW w:type="dxa" w:w="684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80"/>
            </w:tcMar>
          </w:tcPr>
          <w:p>
            <w:pPr>
              <w:spacing w:after="80" w:before="80"/>
              <w:jc w:val="left"/>
            </w:pPr>
            <w:r>
              <w:rPr>
                <w:rFonts w:ascii="Arial" w:cs="Arial" w:eastAsia="Arial" w:hAnsi="Arial"/>
                <w:b w:val="false"/>
                <w:bCs w:val="false"/>
                <w:i w:val="false"/>
                <w:iCs w:val="false"/>
                <w:color w:val="7F6000"/>
                <w:sz w:val="18"/>
                <w:szCs w:val="18"/>
              </w:rPr>
              <w:t xml:space="preserve">Section 301 semiconductor tariffs in June 2027 could add $1,100+ per vehicle (S&amp;P Global)</w:t>
            </w:r>
          </w:p>
        </w:tc>
      </w:tr>
    </w:tbl>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70AD47" w:sz="14"/>
        </w:pBdr>
        <w:shd w:fill="E2EFDA" w:val="clear"/>
        <w:spacing w:after="120" w:before="120"/>
        <w:ind w:left="360" w:right="360"/>
        <w:jc w:val="left"/>
      </w:pPr>
      <w:r>
        <w:rPr>
          <w:rFonts w:ascii="Arial" w:cs="Arial" w:eastAsia="Arial" w:hAnsi="Arial"/>
          <w:b/>
          <w:bCs/>
          <w:i w:val="false"/>
          <w:iCs w:val="false"/>
          <w:color w:val="375623"/>
          <w:sz w:val="20"/>
          <w:szCs w:val="20"/>
        </w:rPr>
        <w:t xml:space="preserve">How ECC Prevents This: </w:t>
      </w:r>
      <w:r>
        <w:rPr>
          <w:rFonts w:ascii="Arial" w:cs="Arial" w:eastAsia="Arial" w:hAnsi="Arial"/>
          <w:b w:val="false"/>
          <w:bCs w:val="false"/>
          <w:i w:val="false"/>
          <w:iCs w:val="false"/>
          <w:color w:val="1A3A10"/>
          <w:sz w:val="20"/>
          <w:szCs w:val="20"/>
        </w:rPr>
        <w:t xml:space="preserve">ECC's NdFeB chain — bastnäsite → Nd oxide → Nd metal → NdFeB → motor magnet → traction motor — is already in the graph with geographic concentration scores at every node. When China's April 2025 export control dropped, ECC would have produced the assembly-level impact analysis and dollar-per-vehicle cost increase in a single graph traversal. No manual BOM review required.</w:t>
      </w:r>
    </w:p>
    <w:p>
      <w:pPr>
        <w:spacing w:after="60" w:before="60"/>
        <w:jc w:val="left"/>
      </w:pPr>
      <w:r>
        <w:rPr>
          <w:rFonts w:ascii="Arial" w:cs="Arial" w:eastAsia="Arial" w:hAnsi="Arial"/>
          <w:b w:val="false"/>
          <w:bCs w:val="false"/>
          <w:i w:val="false"/>
          <w:iCs w:val="false"/>
          <w:color w:val="222222"/>
          <w:sz w:val="20"/>
          <w:szCs w:val="20"/>
        </w:rPr>
        <w:t xml:space="preserve"/>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QAD Blog: Trump Tariffs — Implications for Automotive Supply Chains</w:t>
      </w:r>
      <w:r>
        <w:rPr>
          <w:rFonts w:ascii="Arial" w:cs="Arial" w:eastAsia="Arial" w:hAnsi="Arial"/>
          <w:b w:val="false"/>
          <w:bCs w:val="false"/>
          <w:i w:val="false"/>
          <w:iCs w:val="false"/>
          <w:color w:val="888888"/>
          <w:sz w:val="15"/>
          <w:szCs w:val="15"/>
        </w:rPr>
        <w:t xml:space="preserve">  https://www.qad.com/blog/2025/06/the-status-of-trump-tariffs-implications-for-automotive-supply-chains</w:t>
      </w:r>
    </w:p>
    <w:p>
      <w:pPr>
        <w:spacing w:after="40" w:before="40"/>
        <w:jc w:val="left"/>
      </w:pPr>
      <w:r>
        <w:rPr>
          <w:rFonts w:ascii="Arial" w:cs="Arial" w:eastAsia="Arial" w:hAnsi="Arial"/>
          <w:b/>
          <w:bCs/>
          <w:i w:val="false"/>
          <w:iCs w:val="false"/>
          <w:color w:val="666666"/>
          <w:sz w:val="17"/>
          <w:szCs w:val="17"/>
        </w:rPr>
        <w:t xml:space="preserve">Source: </w:t>
      </w:r>
      <w:r>
        <w:rPr>
          <w:rFonts w:ascii="Arial" w:cs="Arial" w:eastAsia="Arial" w:hAnsi="Arial"/>
          <w:b w:val="false"/>
          <w:bCs w:val="false"/>
          <w:i/>
          <w:iCs/>
          <w:color w:val="2E75B6"/>
          <w:sz w:val="17"/>
          <w:szCs w:val="17"/>
        </w:rPr>
        <w:t xml:space="preserve">CNBC: Trump's China tariff increase affects Ford and GM</w:t>
      </w:r>
      <w:r>
        <w:rPr>
          <w:rFonts w:ascii="Arial" w:cs="Arial" w:eastAsia="Arial" w:hAnsi="Arial"/>
          <w:b w:val="false"/>
          <w:bCs w:val="false"/>
          <w:i w:val="false"/>
          <w:iCs w:val="false"/>
          <w:color w:val="888888"/>
          <w:sz w:val="15"/>
          <w:szCs w:val="15"/>
        </w:rPr>
        <w:t xml:space="preserve">  https://www.nbcphiladelphia.com/news/business/money-report/trumps-china-tariff-increase-affects-ford-and-gm-vehicles/4100650/</w:t>
      </w:r>
    </w:p>
    <w:p>
      <w:pPr>
        <w:pBdr>
          <w:bottom w:val="single" w:color="D0D0D0" w:sz="4"/>
        </w:pBdr>
        <w:spacing w:after="160" w:before="160"/>
        <w:jc w:val="left"/>
      </w:pPr>
      <w:r>
        <w:rPr>
          <w:rFonts w:ascii="Arial" w:cs="Arial" w:eastAsia="Arial" w:hAnsi="Arial"/>
          <w:b w:val="false"/>
          <w:bCs w:val="false"/>
          <w:i w:val="false"/>
          <w:iCs w:val="false"/>
          <w:color w:val="222222"/>
          <w:sz w:val="20"/>
          <w:szCs w:val="20"/>
        </w:rPr>
        <w:t xml:space="preserve"/>
      </w:r>
    </w:p>
    <w:p>
      <w:pPr>
        <w:shd w:fill="1F4E79" w:val="clear"/>
        <w:spacing w:after="160" w:before="400"/>
        <w:ind w:left="180"/>
        <w:jc w:val="left"/>
      </w:pPr>
      <w:r>
        <w:rPr>
          <w:rFonts w:ascii="Arial" w:cs="Arial" w:eastAsia="Arial" w:hAnsi="Arial"/>
          <w:b/>
          <w:bCs/>
          <w:i w:val="false"/>
          <w:iCs w:val="false"/>
          <w:color w:val="FFFFFF"/>
          <w:sz w:val="32"/>
          <w:szCs w:val="32"/>
        </w:rPr>
        <w:t xml:space="preserve">The Common Thread</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val="false"/>
          <w:iCs w:val="false"/>
          <w:color w:val="222222"/>
          <w:sz w:val="20"/>
          <w:szCs w:val="20"/>
        </w:rPr>
        <w:t xml:space="preserve">Six incidents. Two regulatory mechanisms. Four sectors. One root cause.</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val="false"/>
          <w:iCs w:val="false"/>
          <w:color w:val="222222"/>
          <w:sz w:val="20"/>
          <w:szCs w:val="20"/>
        </w:rPr>
        <w:t xml:space="preserve">In every case: the company knew its Tier-1 suppliers. It did not know what was inside those suppliers' products — at the material level, the HS code level, the origin level. Standard supply chain risk platforms map supplier relationships. They cannot find Chinese-origin content inside a German-assembled motor or Vietnamese-processed magnet alloy inside a Japanese component. They cannot map the LAN transformer inside a Tier-3 electronic assembly to an UFLPA Entity List company. They cannot tell the CFO which SKUs in a 10,000-product portfolio carry the highest Section 301 exposure.</w:t>
      </w:r>
    </w:p>
    <w:p>
      <w:pPr>
        <w:spacing w:after="60" w:before="60"/>
        <w:jc w:val="left"/>
      </w:pPr>
      <w:r>
        <w:rPr>
          <w:rFonts w:ascii="Arial" w:cs="Arial" w:eastAsia="Arial" w:hAnsi="Arial"/>
          <w:b w:val="false"/>
          <w:bCs w:val="false"/>
          <w:i w:val="false"/>
          <w:iCs w:val="false"/>
          <w:color w:val="222222"/>
          <w:sz w:val="20"/>
          <w:szCs w:val="20"/>
        </w:rPr>
        <w:t xml:space="preserve"/>
      </w:r>
    </w:p>
    <w:p>
      <w:pPr>
        <w:spacing w:after="80" w:before="80"/>
        <w:jc w:val="left"/>
      </w:pPr>
      <w:r>
        <w:rPr>
          <w:rFonts w:ascii="Arial" w:cs="Arial" w:eastAsia="Arial" w:hAnsi="Arial"/>
          <w:b w:val="false"/>
          <w:bCs w:val="false"/>
          <w:i w:val="false"/>
          <w:iCs w:val="false"/>
          <w:color w:val="222222"/>
          <w:sz w:val="20"/>
          <w:szCs w:val="20"/>
        </w:rPr>
        <w:t xml:space="preserve">ECC maps materials — not just suppliers. From finished assembly to raw ore. HS codes at every level. Geographic origin at every level. Tariff exposure calculated per BOM position. UFLPA entity flags traced to the specific component and the specific BOM position across every vehicle line or product line simultaneously.</w:t>
      </w:r>
    </w:p>
    <w:p>
      <w:pPr>
        <w:spacing w:after="60" w:before="60"/>
        <w:jc w:val="left"/>
      </w:pPr>
      <w:r>
        <w:rPr>
          <w:rFonts w:ascii="Arial" w:cs="Arial" w:eastAsia="Arial" w:hAnsi="Arial"/>
          <w:b w:val="false"/>
          <w:bCs w:val="false"/>
          <w:i w:val="false"/>
          <w:iCs w:val="false"/>
          <w:color w:val="222222"/>
          <w:sz w:val="20"/>
          <w:szCs w:val="20"/>
        </w:rPr>
        <w:t xml:space="preserve"/>
      </w:r>
    </w:p>
    <w:p>
      <w:pPr>
        <w:pBdr>
          <w:left w:val="thick" w:color="2E75B6" w:sz="14"/>
        </w:pBdr>
        <w:shd w:fill="DEEAF1" w:val="clear"/>
        <w:spacing w:after="120" w:before="120"/>
        <w:ind w:left="360" w:right="360"/>
        <w:jc w:val="left"/>
      </w:pPr>
      <w:r>
        <w:rPr>
          <w:rFonts w:ascii="Arial" w:cs="Arial" w:eastAsia="Arial" w:hAnsi="Arial"/>
          <w:b/>
          <w:bCs/>
          <w:i w:val="false"/>
          <w:iCs w:val="false"/>
          <w:color w:val="1F4E79"/>
          <w:sz w:val="20"/>
          <w:szCs w:val="20"/>
        </w:rPr>
        <w:t xml:space="preserve">The question is not whether CBP will look deeper.</w:t>
      </w:r>
      <w:r>
        <w:rPr>
          <w:rFonts w:ascii="Arial" w:cs="Arial" w:eastAsia="Arial" w:hAnsi="Arial"/>
          <w:b w:val="false"/>
          <w:bCs w:val="false"/>
          <w:i w:val="false"/>
          <w:iCs w:val="false"/>
          <w:color w:val="222222"/>
          <w:sz w:val="20"/>
          <w:szCs w:val="20"/>
        </w:rPr>
        <w:t xml:space="preserve"> They already are. The automotive sector went from 4% to 86% of UFLPA detentions in 12 months. CBP collected $195 billion in duties in FY2025 — 250% more than the year before. The enforcement machine is better funded, better targeted, and better equipped than at any point in US customs history. The question is whether your supply chain intelligence sees what CBP can see — before they do.</w:t>
      </w:r>
    </w:p>
    <w:p>
      <w:pPr>
        <w:spacing w:after="60" w:before="60"/>
        <w:jc w:val="left"/>
      </w:pPr>
      <w:r>
        <w:rPr>
          <w:rFonts w:ascii="Arial" w:cs="Arial" w:eastAsia="Arial" w:hAnsi="Arial"/>
          <w:b w:val="false"/>
          <w:bCs w:val="false"/>
          <w:i w:val="false"/>
          <w:iCs w:val="false"/>
          <w:color w:val="222222"/>
          <w:sz w:val="20"/>
          <w:szCs w:val="20"/>
        </w:rPr>
        <w:t xml:space="preserve"/>
      </w:r>
    </w:p>
    <w:p>
      <w:pPr>
        <w:pBdr>
          <w:top w:val="single" w:color="D0D0D0" w:sz="4"/>
        </w:pBdr>
        <w:spacing w:after="0" w:before="240"/>
      </w:pPr>
      <w:r>
        <w:rPr>
          <w:rFonts w:ascii="Arial" w:cs="Arial" w:eastAsia="Arial" w:hAnsi="Arial"/>
          <w:b w:val="false"/>
          <w:bCs w:val="false"/>
          <w:i/>
          <w:iCs/>
          <w:color w:val="999999"/>
          <w:sz w:val="16"/>
          <w:szCs w:val="16"/>
        </w:rPr>
        <w:t xml:space="preserve">ECC / PMG Supply Chain Intelligence  |  Supplementary Research Document — May 2026  |  All financial figures from company disclosures, congressional reports, CBP data, or analyst modelling as cited. For sales and marketing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2026-05-23T10:59:04.753Z</dcterms:created>
  <dcterms:modified xsi:type="dcterms:W3CDTF">2026-05-23T10:59:04.765Z</dcterms:modified>
</cp:coreProperties>
</file>

<file path=docProps/custom.xml><?xml version="1.0" encoding="utf-8"?>
<Properties xmlns="http://schemas.openxmlformats.org/officeDocument/2006/custom-properties" xmlns:vt="http://schemas.openxmlformats.org/officeDocument/2006/docPropsVTypes"/>
</file>