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80" w:before="80"/>
        <w:jc w:val="left"/>
      </w:pPr>
      <w:r>
        <w:rPr>
          <w:rFonts w:ascii="Arial" w:cs="Arial" w:eastAsia="Arial" w:hAnsi="Arial"/>
          <w:b w:val="false"/>
          <w:bCs w:val="false"/>
          <w:i w:val="false"/>
          <w:iCs w:val="false"/>
          <w:color w:val="222222"/>
          <w:sz w:val="8"/>
          <w:szCs w:val="8"/>
        </w:rPr>
        <w:t xml:space="preserve"> </w:t>
      </w:r>
    </w:p>
    <w:p>
      <w:pPr>
        <w:shd w:fill="1F4E79" w:val="clear"/>
        <w:spacing w:after="80" w:before="80"/>
        <w:jc w:val="center"/>
      </w:pPr>
      <w:r>
        <w:rPr>
          <w:rFonts w:ascii="Arial" w:cs="Arial" w:eastAsia="Arial" w:hAnsi="Arial"/>
          <w:b/>
          <w:bCs/>
          <w:i w:val="false"/>
          <w:iCs w:val="false"/>
          <w:color w:val="BDD7EE"/>
          <w:sz w:val="18"/>
          <w:szCs w:val="18"/>
        </w:rPr>
        <w:t xml:space="preserve">ECC / PMG SUPPLY CHAIN INTELLIGENCE</w:t>
      </w:r>
    </w:p>
    <w:p>
      <w:pPr>
        <w:shd w:fill="1F4E79" w:val="clear"/>
        <w:spacing w:after="80" w:before="80"/>
        <w:jc w:val="center"/>
      </w:pPr>
      <w:r>
        <w:rPr>
          <w:rFonts w:ascii="Arial" w:cs="Arial" w:eastAsia="Arial" w:hAnsi="Arial"/>
          <w:b/>
          <w:bCs/>
          <w:i w:val="false"/>
          <w:iCs w:val="false"/>
          <w:color w:val="FFFFFF"/>
          <w:sz w:val="44"/>
          <w:szCs w:val="44"/>
        </w:rPr>
        <w:t xml:space="preserve">The Cost of Not Knowing</w:t>
      </w:r>
    </w:p>
    <w:p>
      <w:pPr>
        <w:shd w:fill="1F4E79" w:val="clear"/>
        <w:spacing w:after="80" w:before="80"/>
        <w:jc w:val="center"/>
      </w:pPr>
      <w:r>
        <w:rPr>
          <w:rFonts w:ascii="Arial" w:cs="Arial" w:eastAsia="Arial" w:hAnsi="Arial"/>
          <w:b w:val="false"/>
          <w:bCs w:val="false"/>
          <w:i/>
          <w:iCs/>
          <w:color w:val="BDD7EE"/>
          <w:sz w:val="22"/>
          <w:szCs w:val="22"/>
        </w:rPr>
        <w:t xml:space="preserve">Real Incidents. Documented Financial Losses. The Supply Chain Visibility Gap That Caused Every One.</w:t>
      </w:r>
    </w:p>
    <w:p>
      <w:pPr>
        <w:shd w:fill="1F4E79" w:val="clear"/>
        <w:spacing w:after="80" w:before="80"/>
        <w:jc w:val="center"/>
      </w:pPr>
      <w:r>
        <w:rPr>
          <w:rFonts w:ascii="Arial" w:cs="Arial" w:eastAsia="Arial" w:hAnsi="Arial"/>
          <w:b w:val="false"/>
          <w:bCs w:val="false"/>
          <w:i w:val="false"/>
          <w:iCs w:val="false"/>
          <w:color w:val="9DC3E6"/>
          <w:sz w:val="17"/>
          <w:szCs w:val="17"/>
        </w:rPr>
        <w:t xml:space="preserve">Supplementary Research Document — May 2026  |  For Sales &amp; Marketing Use  |  All figures sourced from company disclosures, congressional reports, and CBP data</w:t>
      </w:r>
    </w:p>
    <w:p>
      <w:pPr>
        <w:shd w:fill="1F4E79" w:val="clear"/>
        <w:spacing w:after="80" w:before="80"/>
        <w:jc w:val="left"/>
      </w:pPr>
      <w:r>
        <w:rPr>
          <w:rFonts w:ascii="Arial" w:cs="Arial" w:eastAsia="Arial" w:hAnsi="Arial"/>
          <w:b w:val="false"/>
          <w:bCs w:val="false"/>
          <w:i w:val="false"/>
          <w:iCs w:val="false"/>
          <w:color w:val="222222"/>
          <w:sz w:val="8"/>
          <w:szCs w:val="8"/>
        </w:rPr>
        <w:t xml:space="preserve"> </w:t>
      </w:r>
    </w:p>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80"/>
        <w:jc w:val="left"/>
      </w:pPr>
      <w:r>
        <w:rPr>
          <w:rFonts w:ascii="Arial" w:cs="Arial" w:eastAsia="Arial" w:hAnsi="Arial"/>
          <w:b w:val="false"/>
          <w:bCs w:val="false"/>
          <w:i/>
          <w:iCs/>
          <w:color w:val="444444"/>
          <w:sz w:val="20"/>
          <w:szCs w:val="20"/>
        </w:rPr>
        <w:t xml:space="preserve">This document presents six documented incidents in which major companies suffered significant financial losses due to insufficient supply chain visibility — specifically the inability to trace material origin and content below Tier 1. Each incident involves either a UFLPA forced labor enforcement action or a Section 301/232/IEEPA tariff misclassification exposure. The root cause in every case is the same.</w:t>
      </w:r>
    </w:p>
    <w:p>
      <w:pPr>
        <w:spacing w:after="60" w:before="60"/>
        <w:jc w:val="left"/>
      </w:pPr>
      <w:r>
        <w:rPr>
          <w:rFonts w:ascii="Arial" w:cs="Arial" w:eastAsia="Arial" w:hAnsi="Arial"/>
          <w:b w:val="false"/>
          <w:bCs w:val="false"/>
          <w:i w:val="false"/>
          <w:iCs w:val="false"/>
          <w:color w:val="222222"/>
          <w:sz w:val="20"/>
          <w:szCs w:val="20"/>
        </w:rPr>
        <w:t xml:space="preserve"/>
      </w:r>
    </w:p>
    <w:p>
      <w:pPr>
        <w:pBdr>
          <w:left w:val="thick" w:color="2E75B6" w:sz="14"/>
        </w:pBdr>
        <w:shd w:fill="DEEAF1" w:val="clear"/>
        <w:spacing w:after="120" w:before="120"/>
        <w:ind w:left="360" w:right="360"/>
        <w:jc w:val="left"/>
      </w:pPr>
      <w:r>
        <w:rPr>
          <w:rFonts w:ascii="Arial" w:cs="Arial" w:eastAsia="Arial" w:hAnsi="Arial"/>
          <w:b/>
          <w:bCs/>
          <w:i w:val="false"/>
          <w:iCs w:val="false"/>
          <w:color w:val="1F4E79"/>
          <w:sz w:val="20"/>
          <w:szCs w:val="20"/>
        </w:rPr>
        <w:t xml:space="preserve">The shared root cause:</w:t>
      </w:r>
      <w:r>
        <w:rPr>
          <w:rFonts w:ascii="Arial" w:cs="Arial" w:eastAsia="Arial" w:hAnsi="Arial"/>
          <w:b w:val="false"/>
          <w:bCs w:val="false"/>
          <w:i w:val="false"/>
          <w:iCs w:val="false"/>
          <w:color w:val="222222"/>
          <w:sz w:val="20"/>
          <w:szCs w:val="20"/>
        </w:rPr>
        <w:t xml:space="preserve"> Standard supply chain tools show who your suppliers are. They cannot show what your suppliers' products contain at the material level, the HS code level, or the origin level. Every incident in this document was preventable with sub-tier material genealogy intelligence.</w:t>
      </w:r>
    </w:p>
    <w:p>
      <w:pPr>
        <w:pBdr>
          <w:bottom w:val="single" w:color="D0D0D0" w:sz="4"/>
        </w:pBdr>
        <w:spacing w:after="160" w:before="160"/>
        <w:jc w:val="left"/>
      </w:pPr>
      <w:r>
        <w:rPr>
          <w:rFonts w:ascii="Arial" w:cs="Arial" w:eastAsia="Arial" w:hAnsi="Arial"/>
          <w:b w:val="false"/>
          <w:bCs w:val="false"/>
          <w:i w:val="false"/>
          <w:iCs w:val="false"/>
          <w:color w:val="222222"/>
          <w:sz w:val="20"/>
          <w:szCs w:val="20"/>
        </w:rPr>
        <w:t xml:space="preserve"/>
      </w:r>
    </w:p>
    <w:p>
      <w:pPr>
        <w:shd w:fill="1F4E79" w:val="clear"/>
        <w:spacing w:after="160" w:before="400"/>
        <w:ind w:left="180"/>
        <w:jc w:val="left"/>
      </w:pPr>
      <w:r>
        <w:rPr>
          <w:rFonts w:ascii="Arial" w:cs="Arial" w:eastAsia="Arial" w:hAnsi="Arial"/>
          <w:b/>
          <w:bCs/>
          <w:i w:val="false"/>
          <w:iCs w:val="false"/>
          <w:color w:val="FFFFFF"/>
          <w:sz w:val="32"/>
          <w:szCs w:val="32"/>
        </w:rPr>
        <w:t xml:space="preserve">Part 1 — The Enforcement Environment: Scale, Trajectory, and Acceleration</w:t>
      </w:r>
    </w:p>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80"/>
        <w:jc w:val="left"/>
      </w:pPr>
      <w:r>
        <w:rPr>
          <w:rFonts w:ascii="Arial" w:cs="Arial" w:eastAsia="Arial" w:hAnsi="Arial"/>
          <w:b w:val="false"/>
          <w:bCs w:val="false"/>
          <w:i w:val="false"/>
          <w:iCs w:val="false"/>
          <w:color w:val="222222"/>
          <w:sz w:val="20"/>
          <w:szCs w:val="20"/>
        </w:rPr>
        <w:t xml:space="preserve">The incidents in this document are not outliers. They are early indicators of an enforcement regime expanding rapidly in scope, scale, and financial consequence.</w:t>
      </w:r>
    </w:p>
    <w:p>
      <w:pPr>
        <w:spacing w:after="60" w:before="60"/>
        <w:jc w:val="left"/>
      </w:pPr>
      <w:r>
        <w:rPr>
          <w:rFonts w:ascii="Arial" w:cs="Arial" w:eastAsia="Arial" w:hAnsi="Arial"/>
          <w:b w:val="false"/>
          <w:bCs w:val="false"/>
          <w:i w:val="false"/>
          <w:iCs w:val="false"/>
          <w:color w:val="222222"/>
          <w:sz w:val="20"/>
          <w:szCs w:val="20"/>
        </w:rPr>
        <w:t xml:space="preserve"/>
      </w:r>
    </w:p>
    <w:p>
      <w:pPr>
        <w:pBdr>
          <w:bottom w:val="single" w:color="2E75B6" w:sz="8" w:space="1"/>
        </w:pBdr>
        <w:spacing w:after="120" w:before="320"/>
        <w:jc w:val="left"/>
      </w:pPr>
      <w:r>
        <w:rPr>
          <w:rFonts w:ascii="Arial" w:cs="Arial" w:eastAsia="Arial" w:hAnsi="Arial"/>
          <w:b/>
          <w:bCs/>
          <w:i w:val="false"/>
          <w:iCs w:val="false"/>
          <w:color w:val="1F4E79"/>
          <w:sz w:val="26"/>
          <w:szCs w:val="26"/>
        </w:rPr>
        <w:t xml:space="preserve">1.1 UFLPA Enforcement — Year by Year</w:t>
      </w:r>
    </w:p>
    <w:p>
      <w:pPr>
        <w:spacing w:after="60" w:before="6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C00000" w:val="clear"/>
            <w:tcMar>
              <w:top w:type="dxa" w:w="120"/>
              <w:left w:type="dxa" w:w="160"/>
              <w:bottom w:type="dxa" w:w="100"/>
              <w:right w:type="dxa" w:w="160"/>
            </w:tcMar>
          </w:tcPr>
          <w:p>
            <w:pPr>
              <w:spacing w:after="80" w:before="80"/>
              <w:jc w:val="center"/>
            </w:pPr>
            <w:r>
              <w:rPr>
                <w:rFonts w:ascii="Arial" w:cs="Arial" w:eastAsia="Arial" w:hAnsi="Arial"/>
                <w:b/>
                <w:bCs/>
                <w:i w:val="false"/>
                <w:iCs w:val="false"/>
                <w:color w:val="FFFFFF"/>
                <w:sz w:val="36"/>
                <w:szCs w:val="36"/>
              </w:rPr>
              <w:t xml:space="preserve">86%</w:t>
            </w:r>
          </w:p>
          <w:p>
            <w:pPr>
              <w:spacing w:after="80" w:before="80"/>
              <w:jc w:val="center"/>
            </w:pPr>
            <w:r>
              <w:rPr>
                <w:rFonts w:ascii="Arial" w:cs="Arial" w:eastAsia="Arial" w:hAnsi="Arial"/>
                <w:b w:val="false"/>
                <w:bCs w:val="false"/>
                <w:i/>
                <w:iCs/>
                <w:color w:val="DDDDDD"/>
                <w:sz w:val="16"/>
                <w:szCs w:val="16"/>
              </w:rPr>
              <w:t xml:space="preserve">Automotive share of UFLPA detentions
H1 2025 — up from 4% in all of 2024</w:t>
            </w:r>
          </w:p>
        </w:tc>
        <w:tc>
          <w:tcPr>
            <w:tcW w:type="dxa" w:w="3120"/>
            <w:tcBorders>
              <w:top w:val="single" w:color="CCCCCC" w:sz="1"/>
              <w:left w:val="single" w:color="CCCCCC" w:sz="1"/>
              <w:bottom w:val="single" w:color="CCCCCC" w:sz="1"/>
              <w:right w:val="single" w:color="CCCCCC" w:sz="1"/>
            </w:tcBorders>
            <w:shd w:fill="1F4E79" w:val="clear"/>
            <w:tcMar>
              <w:top w:type="dxa" w:w="120"/>
              <w:left w:type="dxa" w:w="160"/>
              <w:bottom w:type="dxa" w:w="100"/>
              <w:right w:type="dxa" w:w="160"/>
            </w:tcMar>
          </w:tcPr>
          <w:p>
            <w:pPr>
              <w:spacing w:after="80" w:before="80"/>
              <w:jc w:val="center"/>
            </w:pPr>
            <w:r>
              <w:rPr>
                <w:rFonts w:ascii="Arial" w:cs="Arial" w:eastAsia="Arial" w:hAnsi="Arial"/>
                <w:b/>
                <w:bCs/>
                <w:i w:val="false"/>
                <w:iCs w:val="false"/>
                <w:color w:val="FFFFFF"/>
                <w:sz w:val="36"/>
                <w:szCs w:val="36"/>
              </w:rPr>
              <w:t xml:space="preserve">$3.94B</w:t>
            </w:r>
          </w:p>
          <w:p>
            <w:pPr>
              <w:spacing w:after="80" w:before="80"/>
              <w:jc w:val="center"/>
            </w:pPr>
            <w:r>
              <w:rPr>
                <w:rFonts w:ascii="Arial" w:cs="Arial" w:eastAsia="Arial" w:hAnsi="Arial"/>
                <w:b w:val="false"/>
                <w:bCs w:val="false"/>
                <w:i/>
                <w:iCs/>
                <w:color w:val="DDDDDD"/>
                <w:sz w:val="16"/>
                <w:szCs w:val="16"/>
              </w:rPr>
              <w:t xml:space="preserve">Total shipment value detained under UFLPA
since June 2022 (CBP Dashboard 2026)</w:t>
            </w:r>
          </w:p>
        </w:tc>
        <w:tc>
          <w:tcPr>
            <w:tcW w:type="dxa" w:w="3120"/>
            <w:tcBorders>
              <w:top w:val="single" w:color="CCCCCC" w:sz="1"/>
              <w:left w:val="single" w:color="CCCCCC" w:sz="1"/>
              <w:bottom w:val="single" w:color="CCCCCC" w:sz="1"/>
              <w:right w:val="single" w:color="CCCCCC" w:sz="1"/>
            </w:tcBorders>
            <w:shd w:fill="7F6000" w:val="clear"/>
            <w:tcMar>
              <w:top w:type="dxa" w:w="120"/>
              <w:left w:type="dxa" w:w="160"/>
              <w:bottom w:type="dxa" w:w="100"/>
              <w:right w:type="dxa" w:w="160"/>
            </w:tcMar>
          </w:tcPr>
          <w:p>
            <w:pPr>
              <w:spacing w:after="80" w:before="80"/>
              <w:jc w:val="center"/>
            </w:pPr>
            <w:r>
              <w:rPr>
                <w:rFonts w:ascii="Arial" w:cs="Arial" w:eastAsia="Arial" w:hAnsi="Arial"/>
                <w:b/>
                <w:bCs/>
                <w:i w:val="false"/>
                <w:iCs w:val="false"/>
                <w:color w:val="FFFFFF"/>
                <w:sz w:val="36"/>
                <w:szCs w:val="36"/>
              </w:rPr>
              <w:t xml:space="preserve">6,636</w:t>
            </w:r>
          </w:p>
          <w:p>
            <w:pPr>
              <w:spacing w:after="80" w:before="80"/>
              <w:jc w:val="center"/>
            </w:pPr>
            <w:r>
              <w:rPr>
                <w:rFonts w:ascii="Arial" w:cs="Arial" w:eastAsia="Arial" w:hAnsi="Arial"/>
                <w:b w:val="false"/>
                <w:bCs w:val="false"/>
                <w:i/>
                <w:iCs/>
                <w:color w:val="DDDDDD"/>
                <w:sz w:val="16"/>
                <w:szCs w:val="16"/>
              </w:rPr>
              <w:t xml:space="preserve">Shipments detained in H1 2025 alone —
more than all of FY2024 combined</w:t>
            </w:r>
          </w:p>
        </w:tc>
      </w:tr>
    </w:tbl>
    <w:p>
      <w:pPr>
        <w:spacing w:after="60" w:before="60"/>
        <w:jc w:val="left"/>
      </w:pPr>
      <w:r>
        <w:rPr>
          <w:rFonts w:ascii="Arial" w:cs="Arial" w:eastAsia="Arial" w:hAnsi="Arial"/>
          <w:b w:val="false"/>
          <w:bCs w:val="false"/>
          <w:i w:val="false"/>
          <w:iCs w:val="false"/>
          <w:color w:val="222222"/>
          <w:sz w:val="20"/>
          <w:szCs w:val="20"/>
        </w:rPr>
        <w:t xml:space="preserve"/>
      </w:r>
    </w:p>
    <w:p>
      <w:pPr>
        <w:spacing w:after="120" w:before="120"/>
        <w:jc w:val="center"/>
      </w:pPr>
      <w:r>
        <w:drawing>
          <wp:inline distT="0" distB="0" distL="0" distR="0">
            <wp:extent cx="5905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590800"/>
                    </a:xfrm>
                    <a:prstGeom prst="rect">
                      <a:avLst/>
                    </a:prstGeom>
                  </pic:spPr>
                </pic:pic>
              </a:graphicData>
            </a:graphic>
          </wp:inline>
        </w:drawing>
      </w:r>
    </w:p>
    <w:p>
      <w:pPr>
        <w:spacing w:after="60" w:before="60"/>
        <w:jc w:val="left"/>
      </w:pPr>
      <w:r>
        <w:rPr>
          <w:rFonts w:ascii="Arial" w:cs="Arial" w:eastAsia="Arial" w:hAnsi="Arial"/>
          <w:b w:val="false"/>
          <w:bCs w:val="false"/>
          <w:i w:val="false"/>
          <w:iCs w:val="false"/>
          <w:color w:val="222222"/>
          <w:sz w:val="20"/>
          <w:szCs w:val="20"/>
        </w:rPr>
        <w:t xml:space="preserve"/>
      </w:r>
    </w:p>
    <w:p>
      <w:pPr>
        <w:pBdr>
          <w:left w:val="thick" w:color="2E75B6" w:sz="14"/>
        </w:pBdr>
        <w:shd w:fill="DEEAF1" w:val="clear"/>
        <w:spacing w:after="120" w:before="120"/>
        <w:ind w:left="360" w:right="360"/>
        <w:jc w:val="left"/>
      </w:pPr>
      <w:r>
        <w:rPr>
          <w:rFonts w:ascii="Arial" w:cs="Arial" w:eastAsia="Arial" w:hAnsi="Arial"/>
          <w:b/>
          <w:bCs/>
          <w:i w:val="false"/>
          <w:iCs w:val="false"/>
          <w:color w:val="1F4E79"/>
          <w:sz w:val="20"/>
          <w:szCs w:val="20"/>
        </w:rPr>
        <w:t xml:space="preserve">The automotive shift:</w:t>
      </w:r>
      <w:r>
        <w:rPr>
          <w:rFonts w:ascii="Arial" w:cs="Arial" w:eastAsia="Arial" w:hAnsi="Arial"/>
          <w:b w:val="false"/>
          <w:bCs w:val="false"/>
          <w:i w:val="false"/>
          <w:iCs w:val="false"/>
          <w:color w:val="222222"/>
          <w:sz w:val="20"/>
          <w:szCs w:val="20"/>
        </w:rPr>
        <w:t xml:space="preserve"> In FY2024, automotive represented just 4% of UFLPA detentions. By H1 2025 that figure reached 86%. This is not a gradual trend — it is a step-change triggered by Entity List additions in December 2023 and subsequent congressional scrutiny of automotive OEM compliance.</w:t>
      </w:r>
    </w:p>
    <w:p>
      <w:pPr>
        <w:spacing w:after="60" w:before="60"/>
        <w:jc w:val="left"/>
      </w:pPr>
      <w:r>
        <w:rPr>
          <w:rFonts w:ascii="Arial" w:cs="Arial" w:eastAsia="Arial" w:hAnsi="Arial"/>
          <w:b w:val="false"/>
          <w:bCs w:val="false"/>
          <w:i w:val="false"/>
          <w:iCs w:val="false"/>
          <w:color w:val="222222"/>
          <w:sz w:val="20"/>
          <w:szCs w:val="20"/>
        </w:rPr>
        <w:t xml:space="preserve"/>
      </w:r>
    </w:p>
    <w:p>
      <w:pPr>
        <w:pBdr>
          <w:bottom w:val="single" w:color="2E75B6" w:sz="8" w:space="1"/>
        </w:pBdr>
        <w:spacing w:after="120" w:before="320"/>
        <w:jc w:val="left"/>
      </w:pPr>
      <w:r>
        <w:rPr>
          <w:rFonts w:ascii="Arial" w:cs="Arial" w:eastAsia="Arial" w:hAnsi="Arial"/>
          <w:b/>
          <w:bCs/>
          <w:i w:val="false"/>
          <w:iCs w:val="false"/>
          <w:color w:val="1F4E79"/>
          <w:sz w:val="26"/>
          <w:szCs w:val="26"/>
        </w:rPr>
        <w:t xml:space="preserve">1.2 US Import Tariff Revenue — The Scale of Enforcement</w:t>
      </w:r>
    </w:p>
    <w:p>
      <w:pPr>
        <w:spacing w:after="60" w:before="6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C00000" w:val="clear"/>
            <w:tcMar>
              <w:top w:type="dxa" w:w="120"/>
              <w:left w:type="dxa" w:w="160"/>
              <w:bottom w:type="dxa" w:w="100"/>
              <w:right w:type="dxa" w:w="160"/>
            </w:tcMar>
          </w:tcPr>
          <w:p>
            <w:pPr>
              <w:spacing w:after="80" w:before="80"/>
              <w:jc w:val="center"/>
            </w:pPr>
            <w:r>
              <w:rPr>
                <w:rFonts w:ascii="Arial" w:cs="Arial" w:eastAsia="Arial" w:hAnsi="Arial"/>
                <w:b/>
                <w:bCs/>
                <w:i w:val="false"/>
                <w:iCs w:val="false"/>
                <w:color w:val="FFFFFF"/>
                <w:sz w:val="36"/>
                <w:szCs w:val="36"/>
              </w:rPr>
              <w:t xml:space="preserve">$195B</w:t>
            </w:r>
          </w:p>
          <w:p>
            <w:pPr>
              <w:spacing w:after="80" w:before="80"/>
              <w:jc w:val="center"/>
            </w:pPr>
            <w:r>
              <w:rPr>
                <w:rFonts w:ascii="Arial" w:cs="Arial" w:eastAsia="Arial" w:hAnsi="Arial"/>
                <w:b w:val="false"/>
                <w:bCs w:val="false"/>
                <w:i/>
                <w:iCs/>
                <w:color w:val="DDDDDD"/>
                <w:sz w:val="16"/>
                <w:szCs w:val="16"/>
              </w:rPr>
              <w:t xml:space="preserve">US customs duties collected FY2025
250% increase from FY2024 (CRFB confirmed)</w:t>
            </w:r>
          </w:p>
        </w:tc>
        <w:tc>
          <w:tcPr>
            <w:tcW w:type="dxa" w:w="3120"/>
            <w:tcBorders>
              <w:top w:val="single" w:color="CCCCCC" w:sz="1"/>
              <w:left w:val="single" w:color="CCCCCC" w:sz="1"/>
              <w:bottom w:val="single" w:color="CCCCCC" w:sz="1"/>
              <w:right w:val="single" w:color="CCCCCC" w:sz="1"/>
            </w:tcBorders>
            <w:shd w:fill="1F4E79" w:val="clear"/>
            <w:tcMar>
              <w:top w:type="dxa" w:w="120"/>
              <w:left w:type="dxa" w:w="160"/>
              <w:bottom w:type="dxa" w:w="100"/>
              <w:right w:type="dxa" w:w="160"/>
            </w:tcMar>
          </w:tcPr>
          <w:p>
            <w:pPr>
              <w:spacing w:after="80" w:before="80"/>
              <w:jc w:val="center"/>
            </w:pPr>
            <w:r>
              <w:rPr>
                <w:rFonts w:ascii="Arial" w:cs="Arial" w:eastAsia="Arial" w:hAnsi="Arial"/>
                <w:b/>
                <w:bCs/>
                <w:i w:val="false"/>
                <w:iCs w:val="false"/>
                <w:color w:val="FFFFFF"/>
                <w:sz w:val="36"/>
                <w:szCs w:val="36"/>
              </w:rPr>
              <w:t xml:space="preserve">$173B</w:t>
            </w:r>
          </w:p>
          <w:p>
            <w:pPr>
              <w:spacing w:after="80" w:before="80"/>
              <w:jc w:val="center"/>
            </w:pPr>
            <w:r>
              <w:rPr>
                <w:rFonts w:ascii="Arial" w:cs="Arial" w:eastAsia="Arial" w:hAnsi="Arial"/>
                <w:b w:val="false"/>
                <w:bCs w:val="false"/>
                <w:i/>
                <w:iCs/>
                <w:color w:val="DDDDDD"/>
                <w:sz w:val="16"/>
                <w:szCs w:val="16"/>
              </w:rPr>
              <w:t xml:space="preserve">Section 301 assessed duties on Chinese
imports through January 2023 alone</w:t>
            </w:r>
          </w:p>
        </w:tc>
        <w:tc>
          <w:tcPr>
            <w:tcW w:type="dxa" w:w="3120"/>
            <w:tcBorders>
              <w:top w:val="single" w:color="CCCCCC" w:sz="1"/>
              <w:left w:val="single" w:color="CCCCCC" w:sz="1"/>
              <w:bottom w:val="single" w:color="CCCCCC" w:sz="1"/>
              <w:right w:val="single" w:color="CCCCCC" w:sz="1"/>
            </w:tcBorders>
            <w:shd w:fill="7F6000" w:val="clear"/>
            <w:tcMar>
              <w:top w:type="dxa" w:w="120"/>
              <w:left w:type="dxa" w:w="160"/>
              <w:bottom w:type="dxa" w:w="100"/>
              <w:right w:type="dxa" w:w="160"/>
            </w:tcMar>
          </w:tcPr>
          <w:p>
            <w:pPr>
              <w:spacing w:after="80" w:before="80"/>
              <w:jc w:val="center"/>
            </w:pPr>
            <w:r>
              <w:rPr>
                <w:rFonts w:ascii="Arial" w:cs="Arial" w:eastAsia="Arial" w:hAnsi="Arial"/>
                <w:b/>
                <w:bCs/>
                <w:i w:val="false"/>
                <w:iCs w:val="false"/>
                <w:color w:val="FFFFFF"/>
                <w:sz w:val="36"/>
                <w:szCs w:val="36"/>
              </w:rPr>
              <w:t xml:space="preserve">250%+</w:t>
            </w:r>
          </w:p>
          <w:p>
            <w:pPr>
              <w:spacing w:after="80" w:before="80"/>
              <w:jc w:val="center"/>
            </w:pPr>
            <w:r>
              <w:rPr>
                <w:rFonts w:ascii="Arial" w:cs="Arial" w:eastAsia="Arial" w:hAnsi="Arial"/>
                <w:b w:val="false"/>
                <w:bCs w:val="false"/>
                <w:i/>
                <w:iCs/>
                <w:color w:val="DDDDDD"/>
                <w:sz w:val="16"/>
                <w:szCs w:val="16"/>
              </w:rPr>
              <w:t xml:space="preserve">Year-on-year increase in CBP collections
FY2024 to FY2025 — historic jump</w:t>
            </w:r>
          </w:p>
        </w:tc>
      </w:tr>
    </w:tbl>
    <w:p>
      <w:pPr>
        <w:spacing w:after="60" w:before="60"/>
        <w:jc w:val="left"/>
      </w:pPr>
      <w:r>
        <w:rPr>
          <w:rFonts w:ascii="Arial" w:cs="Arial" w:eastAsia="Arial" w:hAnsi="Arial"/>
          <w:b w:val="false"/>
          <w:bCs w:val="false"/>
          <w:i w:val="false"/>
          <w:iCs w:val="false"/>
          <w:color w:val="222222"/>
          <w:sz w:val="20"/>
          <w:szCs w:val="20"/>
        </w:rPr>
        <w:t xml:space="preserve"/>
      </w:r>
    </w:p>
    <w:p>
      <w:pPr>
        <w:spacing w:after="120" w:before="120"/>
        <w:jc w:val="center"/>
      </w:pPr>
      <w:r>
        <w:drawing>
          <wp:inline distT="0" distB="0" distL="0" distR="0">
            <wp:extent cx="5905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590800"/>
                    </a:xfrm>
                    <a:prstGeom prst="rect">
                      <a:avLst/>
                    </a:prstGeom>
                  </pic:spPr>
                </pic:pic>
              </a:graphicData>
            </a:graphic>
          </wp:inline>
        </w:drawing>
      </w:r>
    </w:p>
    <w:p>
      <w:pPr>
        <w:spacing w:after="60" w:before="60"/>
        <w:jc w:val="left"/>
      </w:pPr>
      <w:r>
        <w:rPr>
          <w:rFonts w:ascii="Arial" w:cs="Arial" w:eastAsia="Arial" w:hAnsi="Arial"/>
          <w:b w:val="false"/>
          <w:bCs w:val="false"/>
          <w:i w:val="false"/>
          <w:iCs w:val="false"/>
          <w:color w:val="222222"/>
          <w:sz w:val="20"/>
          <w:szCs w:val="20"/>
        </w:rPr>
        <w:t xml:space="preserve"/>
      </w:r>
    </w:p>
    <w:p>
      <w:pPr>
        <w:pBdr>
          <w:bottom w:val="single" w:color="2E75B6" w:sz="8" w:space="1"/>
        </w:pBdr>
        <w:spacing w:after="120" w:before="320"/>
        <w:jc w:val="left"/>
      </w:pPr>
      <w:r>
        <w:rPr>
          <w:rFonts w:ascii="Arial" w:cs="Arial" w:eastAsia="Arial" w:hAnsi="Arial"/>
          <w:b/>
          <w:bCs/>
          <w:i w:val="false"/>
          <w:iCs w:val="false"/>
          <w:color w:val="1F4E79"/>
          <w:sz w:val="26"/>
          <w:szCs w:val="26"/>
        </w:rPr>
        <w:t xml:space="preserve">1.3 Corporate Financial Impact — Summary</w:t>
      </w:r>
    </w:p>
    <w:p>
      <w:pPr>
        <w:spacing w:after="60" w:before="60"/>
        <w:jc w:val="left"/>
      </w:pPr>
      <w:r>
        <w:rPr>
          <w:rFonts w:ascii="Arial" w:cs="Arial" w:eastAsia="Arial" w:hAnsi="Arial"/>
          <w:b w:val="false"/>
          <w:bCs w:val="false"/>
          <w:i w:val="false"/>
          <w:iCs w:val="false"/>
          <w:color w:val="222222"/>
          <w:sz w:val="20"/>
          <w:szCs w:val="20"/>
        </w:rPr>
        <w:t xml:space="preserve"/>
      </w:r>
    </w:p>
    <w:p>
      <w:pPr>
        <w:spacing w:after="120" w:before="120"/>
        <w:jc w:val="center"/>
      </w:pPr>
      <w:r>
        <w:drawing>
          <wp:inline distT="0" distB="0" distL="0" distR="0">
            <wp:extent cx="5905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09875"/>
                    </a:xfrm>
                    <a:prstGeom prst="rect">
                      <a:avLst/>
                    </a:prstGeom>
                  </pic:spPr>
                </pic:pic>
              </a:graphicData>
            </a:graphic>
          </wp:inline>
        </w:drawing>
      </w:r>
    </w:p>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80"/>
        <w:jc w:val="left"/>
      </w:pPr>
      <w:r>
        <w:rPr>
          <w:rFonts w:ascii="Arial" w:cs="Arial" w:eastAsia="Arial" w:hAnsi="Arial"/>
          <w:b w:val="false"/>
          <w:bCs w:val="false"/>
          <w:i/>
          <w:iCs/>
          <w:color w:val="666666"/>
          <w:sz w:val="16"/>
          <w:szCs w:val="16"/>
        </w:rPr>
        <w:t xml:space="preserve">Sources: Company earnings calls, congressional reports, QAD/GlobalData modelling, PV Tech, CNBC, Supply Chain Dive. All figures from named company disclosures or analyst modelling.</w:t>
      </w:r>
    </w:p>
    <w:p>
      <w:pPr>
        <w:pBdr>
          <w:bottom w:val="single" w:color="D0D0D0" w:sz="4"/>
        </w:pBdr>
        <w:spacing w:after="160" w:before="160"/>
        <w:jc w:val="left"/>
      </w:pPr>
      <w:r>
        <w:rPr>
          <w:rFonts w:ascii="Arial" w:cs="Arial" w:eastAsia="Arial" w:hAnsi="Arial"/>
          <w:b w:val="false"/>
          <w:bCs w:val="false"/>
          <w:i w:val="false"/>
          <w:iCs w:val="false"/>
          <w:color w:val="222222"/>
          <w:sz w:val="20"/>
          <w:szCs w:val="20"/>
        </w:rPr>
        <w:t xml:space="preserve"/>
      </w:r>
    </w:p>
    <w:p>
      <w:pPr>
        <w:shd w:fill="1F4E79" w:val="clear"/>
        <w:spacing w:after="160" w:before="400"/>
        <w:ind w:left="180"/>
        <w:jc w:val="left"/>
      </w:pPr>
      <w:r>
        <w:rPr>
          <w:rFonts w:ascii="Arial" w:cs="Arial" w:eastAsia="Arial" w:hAnsi="Arial"/>
          <w:b/>
          <w:bCs/>
          <w:i w:val="false"/>
          <w:iCs w:val="false"/>
          <w:color w:val="FFFFFF"/>
          <w:sz w:val="32"/>
          <w:szCs w:val="32"/>
        </w:rPr>
        <w:t xml:space="preserve">Part 2 — The Case Studies: Six Incidents in Detail</w:t>
      </w:r>
    </w:p>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80"/>
        <w:jc w:val="left"/>
      </w:pPr>
      <w:r>
        <w:rPr>
          <w:rFonts w:ascii="Arial" w:cs="Arial" w:eastAsia="Arial" w:hAnsi="Arial"/>
          <w:b w:val="false"/>
          <w:bCs w:val="false"/>
          <w:i w:val="false"/>
          <w:iCs w:val="false"/>
          <w:color w:val="222222"/>
          <w:sz w:val="20"/>
          <w:szCs w:val="20"/>
        </w:rPr>
        <w:t xml:space="preserve">Each case below answers four questions: why it happened, what it cost, what the company did to respond, and how ECC's material genealogy intelligence would have changed the outcome.</w:t>
      </w:r>
    </w:p>
    <w:p>
      <w:pPr>
        <w:pBdr>
          <w:bottom w:val="single" w:color="D0D0D0" w:sz="4"/>
        </w:pBdr>
        <w:spacing w:after="160" w:before="16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80"/>
        <w:gridCol w:w="2880"/>
      </w:tblGrid>
      <w:tr>
        <w:tc>
          <w:tcPr>
            <w:tcW w:type="dxa" w:w="1200"/>
            <w:tcBorders>
              <w:top w:val="none" w:color="FFFFFF" w:sz="0"/>
              <w:left w:val="none" w:color="FFFFFF" w:sz="0"/>
              <w:bottom w:val="none" w:color="FFFFFF" w:sz="0"/>
              <w:right w:val="none" w:color="FFFFFF" w:sz="0"/>
            </w:tcBorders>
            <w:shd w:fill="C00000" w:val="clear"/>
            <w:tcMar>
              <w:top w:type="dxa" w:w="100"/>
              <w:left w:type="dxa" w:w="120"/>
              <w:bottom w:type="dxa" w:w="100"/>
              <w:right w:type="dxa" w:w="120"/>
            </w:tcMar>
          </w:tcPr>
          <w:p>
            <w:pPr>
              <w:spacing w:after="80" w:before="80"/>
              <w:jc w:val="center"/>
            </w:pPr>
            <w:r>
              <w:rPr>
                <w:rFonts w:ascii="Arial" w:cs="Arial" w:eastAsia="Arial" w:hAnsi="Arial"/>
                <w:b/>
                <w:bCs/>
                <w:i w:val="false"/>
                <w:iCs w:val="false"/>
                <w:color w:val="FFFFFF"/>
                <w:sz w:val="15"/>
                <w:szCs w:val="15"/>
              </w:rPr>
              <w:t xml:space="preserve">CASE</w:t>
            </w:r>
          </w:p>
          <w:p>
            <w:pPr>
              <w:spacing w:after="80" w:before="80"/>
              <w:jc w:val="center"/>
            </w:pPr>
            <w:r>
              <w:rPr>
                <w:rFonts w:ascii="Arial" w:cs="Arial" w:eastAsia="Arial" w:hAnsi="Arial"/>
                <w:b/>
                <w:bCs/>
                <w:i w:val="false"/>
                <w:iCs w:val="false"/>
                <w:color w:val="FFFFFF"/>
                <w:sz w:val="40"/>
                <w:szCs w:val="40"/>
              </w:rPr>
              <w:t xml:space="preserve">01</w:t>
            </w:r>
          </w:p>
        </w:tc>
        <w:tc>
          <w:tcPr>
            <w:tcW w:type="dxa" w:w="5280"/>
            <w:tcBorders>
              <w:top w:val="none" w:color="FFFFFF" w:sz="0"/>
              <w:left w:val="none" w:color="FFFFFF" w:sz="0"/>
              <w:bottom w:val="none" w:color="FFFFFF" w:sz="0"/>
              <w:right w:val="none" w:color="FFFFFF" w:sz="0"/>
            </w:tcBorders>
            <w:shd w:fill="1F4E79" w:val="clear"/>
            <w:tcMar>
              <w:top w:type="dxa" w:w="100"/>
              <w:left w:type="dxa" w:w="240"/>
              <w:bottom w:type="dxa" w:w="80"/>
              <w:right w:type="dxa" w:w="120"/>
            </w:tcMar>
          </w:tcPr>
          <w:p>
            <w:pPr>
              <w:spacing w:after="80" w:before="80"/>
              <w:jc w:val="left"/>
            </w:pPr>
            <w:r>
              <w:rPr>
                <w:rFonts w:ascii="Arial" w:cs="Arial" w:eastAsia="Arial" w:hAnsi="Arial"/>
                <w:b/>
                <w:bCs/>
                <w:i w:val="false"/>
                <w:iCs w:val="false"/>
                <w:color w:val="FFFFFF"/>
                <w:sz w:val="28"/>
                <w:szCs w:val="28"/>
              </w:rPr>
              <w:t xml:space="preserve">Volkswagen Group — Porsche, Audi &amp; Bentley</w:t>
            </w:r>
          </w:p>
          <w:p>
            <w:pPr>
              <w:spacing w:after="80" w:before="80"/>
              <w:jc w:val="left"/>
            </w:pPr>
            <w:r>
              <w:rPr>
                <w:rFonts w:ascii="Arial" w:cs="Arial" w:eastAsia="Arial" w:hAnsi="Arial"/>
                <w:b w:val="false"/>
                <w:bCs w:val="false"/>
                <w:i/>
                <w:iCs/>
                <w:color w:val="BDD7EE"/>
                <w:sz w:val="17"/>
                <w:szCs w:val="17"/>
              </w:rPr>
              <w:t xml:space="preserve">Automotive | UFLPA Enforcement — February 2024</w:t>
            </w:r>
          </w:p>
        </w:tc>
        <w:tc>
          <w:tcPr>
            <w:tcW w:type="dxa" w:w="2880"/>
            <w:tcBorders>
              <w:top w:val="none" w:color="FFFFFF" w:sz="0"/>
              <w:left w:val="none" w:color="FFFFFF" w:sz="0"/>
              <w:bottom w:val="none" w:color="FFFFFF" w:sz="0"/>
              <w:right w:val="none" w:color="FFFFFF" w:sz="0"/>
            </w:tcBorders>
            <w:shd w:fill="C00000" w:val="clear"/>
            <w:tcMar>
              <w:top w:type="dxa" w:w="100"/>
              <w:left w:type="dxa" w:w="160"/>
              <w:bottom w:type="dxa" w:w="80"/>
              <w:right w:type="dxa" w:w="160"/>
            </w:tcMar>
          </w:tcPr>
          <w:p>
            <w:pPr>
              <w:spacing w:after="20" w:before="80"/>
              <w:jc w:val="center"/>
            </w:pPr>
            <w:r>
              <w:rPr>
                <w:rFonts w:ascii="Arial" w:cs="Arial" w:eastAsia="Arial" w:hAnsi="Arial"/>
                <w:b/>
                <w:bCs/>
                <w:i w:val="false"/>
                <w:iCs w:val="false"/>
                <w:color w:val="FFFFFF"/>
                <w:sz w:val="15"/>
                <w:szCs w:val="15"/>
              </w:rPr>
              <w:t xml:space="preserve">FINANCIAL IMPACT</w:t>
            </w:r>
          </w:p>
          <w:p>
            <w:pPr>
              <w:spacing w:after="80" w:before="80"/>
              <w:jc w:val="center"/>
            </w:pPr>
            <w:r>
              <w:rPr>
                <w:rFonts w:ascii="Arial" w:cs="Arial" w:eastAsia="Arial" w:hAnsi="Arial"/>
                <w:b/>
                <w:bCs/>
                <w:i w:val="false"/>
                <w:iCs w:val="false"/>
                <w:color w:val="FFFFFF"/>
                <w:sz w:val="20"/>
                <w:szCs w:val="20"/>
              </w:rPr>
              <w:t xml:space="preserve">Hundreds of millions
in delayed revenue</w:t>
            </w:r>
          </w:p>
        </w:tc>
      </w:tr>
    </w:tbl>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200"/>
        <w:jc w:val="left"/>
      </w:pPr>
      <w:r>
        <w:rPr>
          <w:rFonts w:ascii="Arial" w:cs="Arial" w:eastAsia="Arial" w:hAnsi="Arial"/>
          <w:b/>
          <w:bCs/>
          <w:i w:val="false"/>
          <w:iCs w:val="false"/>
          <w:color w:val="2E75B6"/>
          <w:sz w:val="22"/>
          <w:szCs w:val="22"/>
        </w:rPr>
        <w:t xml:space="preserve">Why It Happened</w:t>
      </w:r>
    </w:p>
    <w:p>
      <w:pPr>
        <w:spacing w:after="80" w:before="80"/>
        <w:jc w:val="left"/>
      </w:pPr>
      <w:r>
        <w:rPr>
          <w:rFonts w:ascii="Arial" w:cs="Arial" w:eastAsia="Arial" w:hAnsi="Arial"/>
          <w:b w:val="false"/>
          <w:bCs w:val="false"/>
          <w:i w:val="false"/>
          <w:iCs w:val="false"/>
          <w:color w:val="222222"/>
          <w:sz w:val="20"/>
          <w:szCs w:val="20"/>
        </w:rPr>
        <w:t xml:space="preserve">US CBP impounded thousands of Volkswagen Group vehicles after a Tier-2 supplier notified Tier-1 supplier Lear Corp. that a LAN transformer subcomponent had been sourced from Sichuan Jingweida Technology Group (JWD) — added to the UFLPA Entity List in December 2023. Volkswagen had no visibility beyond Tier 1 and Tier 2. The violation was identified not by Volkswagen's internal systems, but by a supplier notification.</w:t>
      </w:r>
    </w:p>
    <w:p>
      <w:pPr>
        <w:spacing w:after="60" w:before="60"/>
        <w:jc w:val="left"/>
      </w:pPr>
      <w:r>
        <w:rPr>
          <w:rFonts w:ascii="Arial" w:cs="Arial" w:eastAsia="Arial" w:hAnsi="Arial"/>
          <w:b w:val="false"/>
          <w:bCs w:val="false"/>
          <w:i w:val="false"/>
          <w:iCs w:val="false"/>
          <w:color w:val="222222"/>
          <w:sz w:val="20"/>
          <w:szCs w:val="20"/>
        </w:rPr>
        <w:t xml:space="preserve"/>
      </w:r>
    </w:p>
    <w:p>
      <w:pPr>
        <w:pBdr>
          <w:left w:val="thick" w:color="7F6000" w:sz="14"/>
        </w:pBdr>
        <w:shd w:fill="FFF2CC" w:val="clear"/>
        <w:spacing w:after="120" w:before="120"/>
        <w:ind w:left="360" w:right="360"/>
        <w:jc w:val="left"/>
      </w:pPr>
      <w:r>
        <w:rPr>
          <w:rFonts w:ascii="Arial" w:cs="Arial" w:eastAsia="Arial" w:hAnsi="Arial"/>
          <w:b/>
          <w:bCs/>
          <w:i w:val="false"/>
          <w:iCs w:val="false"/>
          <w:color w:val="7F6000"/>
          <w:sz w:val="20"/>
          <w:szCs w:val="20"/>
        </w:rPr>
        <w:t xml:space="preserve">Congressional finding:</w:t>
      </w:r>
      <w:r>
        <w:rPr>
          <w:rFonts w:ascii="Arial" w:cs="Arial" w:eastAsia="Arial" w:hAnsi="Arial"/>
          <w:b w:val="false"/>
          <w:bCs w:val="false"/>
          <w:i w:val="false"/>
          <w:iCs w:val="false"/>
          <w:color w:val="222222"/>
          <w:sz w:val="20"/>
          <w:szCs w:val="20"/>
        </w:rPr>
        <w:t xml:space="preserve"> 'Automakers' self-policing is clearly not doing the job.' — Senate Finance Committee Chair Ron Wyden, May 2024</w:t>
      </w:r>
    </w:p>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200"/>
        <w:jc w:val="left"/>
      </w:pPr>
      <w:r>
        <w:rPr>
          <w:rFonts w:ascii="Arial" w:cs="Arial" w:eastAsia="Arial" w:hAnsi="Arial"/>
          <w:b/>
          <w:bCs/>
          <w:i w:val="false"/>
          <w:iCs w:val="false"/>
          <w:color w:val="2E75B6"/>
          <w:sz w:val="22"/>
          <w:szCs w:val="22"/>
        </w:rPr>
        <w:t xml:space="preserve">Financial &amp; Operational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Vehicles impounded</w:t>
            </w:r>
          </w:p>
        </w:tc>
        <w:tc>
          <w:tcPr>
            <w:tcW w:type="dxa" w:w="684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8"/>
                <w:szCs w:val="18"/>
              </w:rPr>
              <w:t xml:space="preserve">Several thousand Audis, ~1,000 Porsches, several hundred Bentleys</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Revenue at risk</w:t>
            </w:r>
          </w:p>
        </w:tc>
        <w:tc>
          <w:tcPr>
            <w:tcW w:type="dxa" w:w="6840"/>
            <w:tcBorders>
              <w:top w:val="single" w:color="CCCCCC" w:sz="1"/>
              <w:left w:val="single" w:color="CCCCCC" w:sz="1"/>
              <w:bottom w:val="single" w:color="CCCCCC" w:sz="1"/>
              <w:right w:val="single" w:color="CCCCCC" w:sz="1"/>
            </w:tcBorders>
            <w:shd w:fill="FFF2CC"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7F6000"/>
                <w:sz w:val="18"/>
                <w:szCs w:val="18"/>
              </w:rPr>
              <w:t xml:space="preserve">At $80,000–$200,000+ average MSRP, hundreds of millions in delayed delivery revenue</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Resolution timeline</w:t>
            </w:r>
          </w:p>
        </w:tc>
        <w:tc>
          <w:tcPr>
            <w:tcW w:type="dxa" w:w="684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8"/>
                <w:szCs w:val="18"/>
              </w:rPr>
              <w:t xml:space="preserve">Part replacement through end of March 2024 — 6+ weeks of delivery delays</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Regulatory escalation</w:t>
            </w:r>
          </w:p>
        </w:tc>
        <w:tc>
          <w:tcPr>
            <w:tcW w:type="dxa" w:w="6840"/>
            <w:tcBorders>
              <w:top w:val="single" w:color="CCCCCC" w:sz="1"/>
              <w:left w:val="single" w:color="CCCCCC" w:sz="1"/>
              <w:bottom w:val="single" w:color="CCCCCC" w:sz="1"/>
              <w:right w:val="single" w:color="CCCCCC" w:sz="1"/>
            </w:tcBorders>
            <w:shd w:fill="FFF2CC"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7F6000"/>
                <w:sz w:val="18"/>
                <w:szCs w:val="18"/>
              </w:rPr>
              <w:t xml:space="preserve">Congressional letter from House Select Committee on CCP demanding explanation</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Reputational exposure</w:t>
            </w:r>
          </w:p>
        </w:tc>
        <w:tc>
          <w:tcPr>
            <w:tcW w:type="dxa" w:w="684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8"/>
                <w:szCs w:val="18"/>
              </w:rPr>
              <w:t xml:space="preserve">Coverage in FT, Reuters, BBC, CNBC; formal congressional inquiry</w:t>
            </w:r>
          </w:p>
        </w:tc>
      </w:tr>
    </w:tbl>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200"/>
        <w:jc w:val="left"/>
      </w:pPr>
      <w:r>
        <w:rPr>
          <w:rFonts w:ascii="Arial" w:cs="Arial" w:eastAsia="Arial" w:hAnsi="Arial"/>
          <w:b/>
          <w:bCs/>
          <w:i w:val="false"/>
          <w:iCs w:val="false"/>
          <w:color w:val="2E75B6"/>
          <w:sz w:val="22"/>
          <w:szCs w:val="22"/>
        </w:rPr>
        <w:t xml:space="preserve">Immediate Response</w:t>
      </w:r>
    </w:p>
    <w:p>
      <w:pPr>
        <w:pStyle w:val="ListParagraph"/>
        <w:numPr>
          <w:ilvl w:val="0"/>
          <w:numId w:val="2"/>
        </w:numPr>
        <w:spacing w:after="40" w:before="40"/>
        <w:jc w:val="left"/>
      </w:pPr>
      <w:r>
        <w:rPr>
          <w:rFonts w:ascii="Arial" w:cs="Arial" w:eastAsia="Arial" w:hAnsi="Arial"/>
          <w:b w:val="false"/>
          <w:bCs w:val="false"/>
          <w:i w:val="false"/>
          <w:iCs w:val="false"/>
          <w:color w:val="222222"/>
          <w:sz w:val="20"/>
          <w:szCs w:val="20"/>
        </w:rPr>
        <w:t xml:space="preserve">Voluntary disclosure to CBP upon being made aware</w:t>
      </w:r>
    </w:p>
    <w:p>
      <w:pPr>
        <w:pStyle w:val="ListParagraph"/>
        <w:numPr>
          <w:ilvl w:val="0"/>
          <w:numId w:val="2"/>
        </w:numPr>
        <w:spacing w:after="40" w:before="40"/>
        <w:jc w:val="left"/>
      </w:pPr>
      <w:r>
        <w:rPr>
          <w:rFonts w:ascii="Arial" w:cs="Arial" w:eastAsia="Arial" w:hAnsi="Arial"/>
          <w:b w:val="false"/>
          <w:bCs w:val="false"/>
          <w:i w:val="false"/>
          <w:iCs w:val="false"/>
          <w:color w:val="222222"/>
          <w:sz w:val="20"/>
          <w:szCs w:val="20"/>
        </w:rPr>
        <w:t xml:space="preserve">Emergency replacement programme for banned LAN transformer across all impounded vehicles</w:t>
      </w:r>
    </w:p>
    <w:p>
      <w:pPr>
        <w:pStyle w:val="ListParagraph"/>
        <w:numPr>
          <w:ilvl w:val="0"/>
          <w:numId w:val="2"/>
        </w:numPr>
        <w:spacing w:after="40" w:before="40"/>
        <w:jc w:val="left"/>
      </w:pPr>
      <w:r>
        <w:rPr>
          <w:rFonts w:ascii="Arial" w:cs="Arial" w:eastAsia="Arial" w:hAnsi="Arial"/>
          <w:b w:val="false"/>
          <w:bCs w:val="false"/>
          <w:i w:val="false"/>
          <w:iCs w:val="false"/>
          <w:color w:val="222222"/>
          <w:sz w:val="20"/>
          <w:szCs w:val="20"/>
        </w:rPr>
        <w:t xml:space="preserve">Suspension of deliveries of affected models until part replacement complete</w:t>
      </w:r>
    </w:p>
    <w:p>
      <w:pPr>
        <w:spacing w:after="60" w:before="60"/>
        <w:jc w:val="left"/>
      </w:pPr>
      <w:r>
        <w:rPr>
          <w:rFonts w:ascii="Arial" w:cs="Arial" w:eastAsia="Arial" w:hAnsi="Arial"/>
          <w:b w:val="false"/>
          <w:bCs w:val="false"/>
          <w:i w:val="false"/>
          <w:iCs w:val="false"/>
          <w:color w:val="222222"/>
          <w:sz w:val="20"/>
          <w:szCs w:val="20"/>
        </w:rPr>
        <w:t xml:space="preserve"/>
      </w:r>
    </w:p>
    <w:p>
      <w:pPr>
        <w:pBdr>
          <w:left w:val="thick" w:color="70AD47" w:sz="14"/>
        </w:pBdr>
        <w:shd w:fill="E2EFDA" w:val="clear"/>
        <w:spacing w:after="120" w:before="120"/>
        <w:ind w:left="360" w:right="360"/>
        <w:jc w:val="left"/>
      </w:pPr>
      <w:r>
        <w:rPr>
          <w:rFonts w:ascii="Arial" w:cs="Arial" w:eastAsia="Arial" w:hAnsi="Arial"/>
          <w:b/>
          <w:bCs/>
          <w:i w:val="false"/>
          <w:iCs w:val="false"/>
          <w:color w:val="375623"/>
          <w:sz w:val="20"/>
          <w:szCs w:val="20"/>
        </w:rPr>
        <w:t xml:space="preserve">How ECC Prevents This: </w:t>
      </w:r>
      <w:r>
        <w:rPr>
          <w:rFonts w:ascii="Arial" w:cs="Arial" w:eastAsia="Arial" w:hAnsi="Arial"/>
          <w:b w:val="false"/>
          <w:bCs w:val="false"/>
          <w:i w:val="false"/>
          <w:iCs w:val="false"/>
          <w:color w:val="1A3A10"/>
          <w:sz w:val="20"/>
          <w:szCs w:val="20"/>
        </w:rPr>
        <w:t xml:space="preserve">ECC's material genealogy would have mapped the LAN transformer (L3 component) to its electronic subcomponent origin (L4-L5), flagging the JWD entity match before a single vehicle shipped. The fix would have been a sourcing switch — not an impoundment.</w:t>
      </w:r>
    </w:p>
    <w:p>
      <w:pPr>
        <w:spacing w:after="60" w:before="60"/>
        <w:jc w:val="left"/>
      </w:pPr>
      <w:r>
        <w:rPr>
          <w:rFonts w:ascii="Arial" w:cs="Arial" w:eastAsia="Arial" w:hAnsi="Arial"/>
          <w:b w:val="false"/>
          <w:bCs w:val="false"/>
          <w:i w:val="false"/>
          <w:iCs w:val="false"/>
          <w:color w:val="222222"/>
          <w:sz w:val="20"/>
          <w:szCs w:val="20"/>
        </w:rPr>
        <w:t xml:space="preserve"/>
      </w:r>
    </w:p>
    <w:p>
      <w:pPr>
        <w:spacing w:after="40" w:before="40"/>
        <w:jc w:val="left"/>
      </w:pPr>
      <w:r>
        <w:rPr>
          <w:rFonts w:ascii="Arial" w:cs="Arial" w:eastAsia="Arial" w:hAnsi="Arial"/>
          <w:b/>
          <w:bCs/>
          <w:i w:val="false"/>
          <w:iCs w:val="false"/>
          <w:color w:val="666666"/>
          <w:sz w:val="17"/>
          <w:szCs w:val="17"/>
        </w:rPr>
        <w:t xml:space="preserve">Source: </w:t>
      </w:r>
      <w:r>
        <w:rPr>
          <w:rFonts w:ascii="Arial" w:cs="Arial" w:eastAsia="Arial" w:hAnsi="Arial"/>
          <w:b w:val="false"/>
          <w:bCs w:val="false"/>
          <w:i/>
          <w:iCs/>
          <w:color w:val="2E75B6"/>
          <w:sz w:val="17"/>
          <w:szCs w:val="17"/>
        </w:rPr>
        <w:t xml:space="preserve">Foley Hoag: CBP Enforcement Action Against Auto Industry</w:t>
      </w:r>
      <w:r>
        <w:rPr>
          <w:rFonts w:ascii="Arial" w:cs="Arial" w:eastAsia="Arial" w:hAnsi="Arial"/>
          <w:b w:val="false"/>
          <w:bCs w:val="false"/>
          <w:i w:val="false"/>
          <w:iCs w:val="false"/>
          <w:color w:val="888888"/>
          <w:sz w:val="15"/>
          <w:szCs w:val="15"/>
        </w:rPr>
        <w:t xml:space="preserve">  https://foleyhoag.com/news-and-insights/publications/alerts/2024/february/cbp-begins-enforcement-action-against-auto-industry</w:t>
      </w:r>
    </w:p>
    <w:p>
      <w:pPr>
        <w:spacing w:after="40" w:before="40"/>
        <w:jc w:val="left"/>
      </w:pPr>
      <w:r>
        <w:rPr>
          <w:rFonts w:ascii="Arial" w:cs="Arial" w:eastAsia="Arial" w:hAnsi="Arial"/>
          <w:b/>
          <w:bCs/>
          <w:i w:val="false"/>
          <w:iCs w:val="false"/>
          <w:color w:val="666666"/>
          <w:sz w:val="17"/>
          <w:szCs w:val="17"/>
        </w:rPr>
        <w:t xml:space="preserve">Source: </w:t>
      </w:r>
      <w:r>
        <w:rPr>
          <w:rFonts w:ascii="Arial" w:cs="Arial" w:eastAsia="Arial" w:hAnsi="Arial"/>
          <w:b w:val="false"/>
          <w:bCs w:val="false"/>
          <w:i/>
          <w:iCs/>
          <w:color w:val="2E75B6"/>
          <w:sz w:val="17"/>
          <w:szCs w:val="17"/>
        </w:rPr>
        <w:t xml:space="preserve">Resilinc: How One Volkswagen Part Led to Thousands of Impounded Cars</w:t>
      </w:r>
      <w:r>
        <w:rPr>
          <w:rFonts w:ascii="Arial" w:cs="Arial" w:eastAsia="Arial" w:hAnsi="Arial"/>
          <w:b w:val="false"/>
          <w:bCs w:val="false"/>
          <w:i w:val="false"/>
          <w:iCs w:val="false"/>
          <w:color w:val="888888"/>
          <w:sz w:val="15"/>
          <w:szCs w:val="15"/>
        </w:rPr>
        <w:t xml:space="preserve">  https://resilinc.ai/blog/uflpa-compliance-volkswagen-china-part/</w:t>
      </w:r>
    </w:p>
    <w:p>
      <w:pPr>
        <w:pBdr>
          <w:bottom w:val="single" w:color="D0D0D0" w:sz="4"/>
        </w:pBdr>
        <w:spacing w:after="160" w:before="16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80"/>
        <w:gridCol w:w="2880"/>
      </w:tblGrid>
      <w:tr>
        <w:tc>
          <w:tcPr>
            <w:tcW w:type="dxa" w:w="1200"/>
            <w:tcBorders>
              <w:top w:val="none" w:color="FFFFFF" w:sz="0"/>
              <w:left w:val="none" w:color="FFFFFF" w:sz="0"/>
              <w:bottom w:val="none" w:color="FFFFFF" w:sz="0"/>
              <w:right w:val="none" w:color="FFFFFF" w:sz="0"/>
            </w:tcBorders>
            <w:shd w:fill="C00000" w:val="clear"/>
            <w:tcMar>
              <w:top w:type="dxa" w:w="100"/>
              <w:left w:type="dxa" w:w="120"/>
              <w:bottom w:type="dxa" w:w="100"/>
              <w:right w:type="dxa" w:w="120"/>
            </w:tcMar>
          </w:tcPr>
          <w:p>
            <w:pPr>
              <w:spacing w:after="80" w:before="80"/>
              <w:jc w:val="center"/>
            </w:pPr>
            <w:r>
              <w:rPr>
                <w:rFonts w:ascii="Arial" w:cs="Arial" w:eastAsia="Arial" w:hAnsi="Arial"/>
                <w:b/>
                <w:bCs/>
                <w:i w:val="false"/>
                <w:iCs w:val="false"/>
                <w:color w:val="FFFFFF"/>
                <w:sz w:val="15"/>
                <w:szCs w:val="15"/>
              </w:rPr>
              <w:t xml:space="preserve">CASE</w:t>
            </w:r>
          </w:p>
          <w:p>
            <w:pPr>
              <w:spacing w:after="80" w:before="80"/>
              <w:jc w:val="center"/>
            </w:pPr>
            <w:r>
              <w:rPr>
                <w:rFonts w:ascii="Arial" w:cs="Arial" w:eastAsia="Arial" w:hAnsi="Arial"/>
                <w:b/>
                <w:bCs/>
                <w:i w:val="false"/>
                <w:iCs w:val="false"/>
                <w:color w:val="FFFFFF"/>
                <w:sz w:val="40"/>
                <w:szCs w:val="40"/>
              </w:rPr>
              <w:t xml:space="preserve">02</w:t>
            </w:r>
          </w:p>
        </w:tc>
        <w:tc>
          <w:tcPr>
            <w:tcW w:type="dxa" w:w="5280"/>
            <w:tcBorders>
              <w:top w:val="none" w:color="FFFFFF" w:sz="0"/>
              <w:left w:val="none" w:color="FFFFFF" w:sz="0"/>
              <w:bottom w:val="none" w:color="FFFFFF" w:sz="0"/>
              <w:right w:val="none" w:color="FFFFFF" w:sz="0"/>
            </w:tcBorders>
            <w:shd w:fill="1F4E79" w:val="clear"/>
            <w:tcMar>
              <w:top w:type="dxa" w:w="100"/>
              <w:left w:type="dxa" w:w="240"/>
              <w:bottom w:type="dxa" w:w="80"/>
              <w:right w:type="dxa" w:w="120"/>
            </w:tcMar>
          </w:tcPr>
          <w:p>
            <w:pPr>
              <w:spacing w:after="80" w:before="80"/>
              <w:jc w:val="left"/>
            </w:pPr>
            <w:r>
              <w:rPr>
                <w:rFonts w:ascii="Arial" w:cs="Arial" w:eastAsia="Arial" w:hAnsi="Arial"/>
                <w:b/>
                <w:bCs/>
                <w:i w:val="false"/>
                <w:iCs w:val="false"/>
                <w:color w:val="FFFFFF"/>
                <w:sz w:val="28"/>
                <w:szCs w:val="28"/>
              </w:rPr>
              <w:t xml:space="preserve">BMW — 8,000 Mini Cooper UFLPA Violation</w:t>
            </w:r>
          </w:p>
          <w:p>
            <w:pPr>
              <w:spacing w:after="80" w:before="80"/>
              <w:jc w:val="left"/>
            </w:pPr>
            <w:r>
              <w:rPr>
                <w:rFonts w:ascii="Arial" w:cs="Arial" w:eastAsia="Arial" w:hAnsi="Arial"/>
                <w:b w:val="false"/>
                <w:bCs w:val="false"/>
                <w:i/>
                <w:iCs/>
                <w:color w:val="BDD7EE"/>
                <w:sz w:val="17"/>
                <w:szCs w:val="17"/>
              </w:rPr>
              <w:t xml:space="preserve">Automotive | UFLPA Enforcement — May 2024</w:t>
            </w:r>
          </w:p>
        </w:tc>
        <w:tc>
          <w:tcPr>
            <w:tcW w:type="dxa" w:w="2880"/>
            <w:tcBorders>
              <w:top w:val="none" w:color="FFFFFF" w:sz="0"/>
              <w:left w:val="none" w:color="FFFFFF" w:sz="0"/>
              <w:bottom w:val="none" w:color="FFFFFF" w:sz="0"/>
              <w:right w:val="none" w:color="FFFFFF" w:sz="0"/>
            </w:tcBorders>
            <w:shd w:fill="C00000" w:val="clear"/>
            <w:tcMar>
              <w:top w:type="dxa" w:w="100"/>
              <w:left w:type="dxa" w:w="160"/>
              <w:bottom w:type="dxa" w:w="80"/>
              <w:right w:type="dxa" w:w="160"/>
            </w:tcMar>
          </w:tcPr>
          <w:p>
            <w:pPr>
              <w:spacing w:after="20" w:before="80"/>
              <w:jc w:val="center"/>
            </w:pPr>
            <w:r>
              <w:rPr>
                <w:rFonts w:ascii="Arial" w:cs="Arial" w:eastAsia="Arial" w:hAnsi="Arial"/>
                <w:b/>
                <w:bCs/>
                <w:i w:val="false"/>
                <w:iCs w:val="false"/>
                <w:color w:val="FFFFFF"/>
                <w:sz w:val="15"/>
                <w:szCs w:val="15"/>
              </w:rPr>
              <w:t xml:space="preserve">FINANCIAL IMPACT</w:t>
            </w:r>
          </w:p>
          <w:p>
            <w:pPr>
              <w:spacing w:after="80" w:before="80"/>
              <w:jc w:val="center"/>
            </w:pPr>
            <w:r>
              <w:rPr>
                <w:rFonts w:ascii="Arial" w:cs="Arial" w:eastAsia="Arial" w:hAnsi="Arial"/>
                <w:b/>
                <w:bCs/>
                <w:i w:val="false"/>
                <w:iCs w:val="false"/>
                <w:color w:val="FFFFFF"/>
                <w:sz w:val="20"/>
                <w:szCs w:val="20"/>
              </w:rPr>
              <w:t xml:space="preserve">$50M+ service action
+ congressional report</w:t>
            </w:r>
          </w:p>
        </w:tc>
      </w:tr>
    </w:tbl>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200"/>
        <w:jc w:val="left"/>
      </w:pPr>
      <w:r>
        <w:rPr>
          <w:rFonts w:ascii="Arial" w:cs="Arial" w:eastAsia="Arial" w:hAnsi="Arial"/>
          <w:b/>
          <w:bCs/>
          <w:i w:val="false"/>
          <w:iCs w:val="false"/>
          <w:color w:val="2E75B6"/>
          <w:sz w:val="22"/>
          <w:szCs w:val="22"/>
        </w:rPr>
        <w:t xml:space="preserve">Why It Happened</w:t>
      </w:r>
    </w:p>
    <w:p>
      <w:pPr>
        <w:spacing w:after="80" w:before="80"/>
        <w:jc w:val="left"/>
      </w:pPr>
      <w:r>
        <w:rPr>
          <w:rFonts w:ascii="Arial" w:cs="Arial" w:eastAsia="Arial" w:hAnsi="Arial"/>
          <w:b w:val="false"/>
          <w:bCs w:val="false"/>
          <w:i w:val="false"/>
          <w:iCs w:val="false"/>
          <w:color w:val="222222"/>
          <w:sz w:val="20"/>
          <w:szCs w:val="20"/>
        </w:rPr>
        <w:t xml:space="preserve">A US Senate Finance Committee investigation found BMW imported at least 8,000 Mini Cooper vehicles containing LAN transformer components from JWD — the same UFLPA-banned supplier. BMW received notification from Lear Corp. in January 2024 but continued importing until at least April 2024 — four months after JWD was blacklisted and three months after direct supplier notification. BMW lacked the internal tooling to rapidly identify, quarantine, and remediate specific BOM positions across its production volume.</w:t>
      </w:r>
    </w:p>
    <w:p>
      <w:pPr>
        <w:spacing w:after="60" w:before="60"/>
        <w:jc w:val="left"/>
      </w:pPr>
      <w:r>
        <w:rPr>
          <w:rFonts w:ascii="Arial" w:cs="Arial" w:eastAsia="Arial" w:hAnsi="Arial"/>
          <w:b w:val="false"/>
          <w:bCs w:val="false"/>
          <w:i w:val="false"/>
          <w:iCs w:val="false"/>
          <w:color w:val="222222"/>
          <w:sz w:val="20"/>
          <w:szCs w:val="20"/>
        </w:rPr>
        <w:t xml:space="preserve"/>
      </w:r>
    </w:p>
    <w:p>
      <w:pPr>
        <w:pBdr>
          <w:left w:val="thick" w:color="7F6000" w:sz="14"/>
        </w:pBdr>
        <w:shd w:fill="FFF2CC" w:val="clear"/>
        <w:spacing w:after="120" w:before="120"/>
        <w:ind w:left="360" w:right="360"/>
        <w:jc w:val="left"/>
      </w:pPr>
      <w:r>
        <w:rPr>
          <w:rFonts w:ascii="Arial" w:cs="Arial" w:eastAsia="Arial" w:hAnsi="Arial"/>
          <w:b/>
          <w:bCs/>
          <w:i w:val="false"/>
          <w:iCs w:val="false"/>
          <w:color w:val="7F6000"/>
          <w:sz w:val="20"/>
          <w:szCs w:val="20"/>
        </w:rPr>
        <w:t xml:space="preserve">Senate report finding:</w:t>
      </w:r>
      <w:r>
        <w:rPr>
          <w:rFonts w:ascii="Arial" w:cs="Arial" w:eastAsia="Arial" w:hAnsi="Arial"/>
          <w:b w:val="false"/>
          <w:bCs w:val="false"/>
          <w:i w:val="false"/>
          <w:iCs w:val="false"/>
          <w:color w:val="222222"/>
          <w:sz w:val="20"/>
          <w:szCs w:val="20"/>
        </w:rPr>
        <w:t xml:space="preserve"> 'BMW continued to import products manufactured by JWD until at least April 2024.' — US Senate Finance Committee, May 2024</w:t>
      </w:r>
    </w:p>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200"/>
        <w:jc w:val="left"/>
      </w:pPr>
      <w:r>
        <w:rPr>
          <w:rFonts w:ascii="Arial" w:cs="Arial" w:eastAsia="Arial" w:hAnsi="Arial"/>
          <w:b/>
          <w:bCs/>
          <w:i w:val="false"/>
          <w:iCs w:val="false"/>
          <w:color w:val="2E75B6"/>
          <w:sz w:val="22"/>
          <w:szCs w:val="22"/>
        </w:rPr>
        <w:t xml:space="preserve">Financial &amp; Operational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Vehicles affected</w:t>
            </w:r>
          </w:p>
        </w:tc>
        <w:tc>
          <w:tcPr>
            <w:tcW w:type="dxa" w:w="684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8"/>
                <w:szCs w:val="18"/>
              </w:rPr>
              <w:t xml:space="preserve">At least 8,000 Mini Cooper cars imported with banned components</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Service action cost</w:t>
            </w:r>
          </w:p>
        </w:tc>
        <w:tc>
          <w:tcPr>
            <w:tcW w:type="dxa" w:w="6840"/>
            <w:tcBorders>
              <w:top w:val="single" w:color="CCCCCC" w:sz="1"/>
              <w:left w:val="single" w:color="CCCCCC" w:sz="1"/>
              <w:bottom w:val="single" w:color="CCCCCC" w:sz="1"/>
              <w:right w:val="single" w:color="CCCCCC" w:sz="1"/>
            </w:tcBorders>
            <w:shd w:fill="FFF2CC"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7F6000"/>
                <w:sz w:val="18"/>
                <w:szCs w:val="18"/>
              </w:rPr>
              <w:t xml:space="preserve">US-wide customer and dealer notification; component replacement across all 8,000 vehicles</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Compliance liability</w:t>
            </w:r>
          </w:p>
        </w:tc>
        <w:tc>
          <w:tcPr>
            <w:tcW w:type="dxa" w:w="684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8"/>
                <w:szCs w:val="18"/>
              </w:rPr>
              <w:t xml:space="preserve">Each UFLPA-banned vehicle subject to detention — customs fines can reach the full shipment value</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Congressional scrutiny</w:t>
            </w:r>
          </w:p>
        </w:tc>
        <w:tc>
          <w:tcPr>
            <w:tcW w:type="dxa" w:w="6840"/>
            <w:tcBorders>
              <w:top w:val="single" w:color="CCCCCC" w:sz="1"/>
              <w:left w:val="single" w:color="CCCCCC" w:sz="1"/>
              <w:bottom w:val="single" w:color="CCCCCC" w:sz="1"/>
              <w:right w:val="single" w:color="CCCCCC" w:sz="1"/>
            </w:tcBorders>
            <w:shd w:fill="FFF2CC"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7F6000"/>
                <w:sz w:val="18"/>
                <w:szCs w:val="18"/>
              </w:rPr>
              <w:t xml:space="preserve">Named in Senate Finance Committee report; calls to 'supercharge enforcement'</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Reputational damage</w:t>
            </w:r>
          </w:p>
        </w:tc>
        <w:tc>
          <w:tcPr>
            <w:tcW w:type="dxa" w:w="684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8"/>
                <w:szCs w:val="18"/>
              </w:rPr>
              <w:t xml:space="preserve">CNBC, BBC, Reuters, Financial Times coverage</w:t>
            </w:r>
          </w:p>
        </w:tc>
      </w:tr>
    </w:tbl>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200"/>
        <w:jc w:val="left"/>
      </w:pPr>
      <w:r>
        <w:rPr>
          <w:rFonts w:ascii="Arial" w:cs="Arial" w:eastAsia="Arial" w:hAnsi="Arial"/>
          <w:b/>
          <w:bCs/>
          <w:i w:val="false"/>
          <w:iCs w:val="false"/>
          <w:color w:val="2E75B6"/>
          <w:sz w:val="22"/>
          <w:szCs w:val="22"/>
        </w:rPr>
        <w:t xml:space="preserve">Immediate Response</w:t>
      </w:r>
    </w:p>
    <w:p>
      <w:pPr>
        <w:pStyle w:val="ListParagraph"/>
        <w:numPr>
          <w:ilvl w:val="0"/>
          <w:numId w:val="2"/>
        </w:numPr>
        <w:spacing w:after="40" w:before="40"/>
        <w:jc w:val="left"/>
      </w:pPr>
      <w:r>
        <w:rPr>
          <w:rFonts w:ascii="Arial" w:cs="Arial" w:eastAsia="Arial" w:hAnsi="Arial"/>
          <w:b w:val="false"/>
          <w:bCs w:val="false"/>
          <w:i w:val="false"/>
          <w:iCs w:val="false"/>
          <w:color w:val="222222"/>
          <w:sz w:val="20"/>
          <w:szCs w:val="20"/>
        </w:rPr>
        <w:t xml:space="preserve">Halted importation of affected products after Senate inquiry</w:t>
      </w:r>
    </w:p>
    <w:p>
      <w:pPr>
        <w:pStyle w:val="ListParagraph"/>
        <w:numPr>
          <w:ilvl w:val="0"/>
          <w:numId w:val="2"/>
        </w:numPr>
        <w:spacing w:after="40" w:before="40"/>
        <w:jc w:val="left"/>
      </w:pPr>
      <w:r>
        <w:rPr>
          <w:rFonts w:ascii="Arial" w:cs="Arial" w:eastAsia="Arial" w:hAnsi="Arial"/>
          <w:b w:val="false"/>
          <w:bCs w:val="false"/>
          <w:i w:val="false"/>
          <w:iCs w:val="false"/>
          <w:color w:val="222222"/>
          <w:sz w:val="20"/>
          <w:szCs w:val="20"/>
        </w:rPr>
        <w:t xml:space="preserve">Initiated a service action — customer and dealer notification across all affected inventory</w:t>
      </w:r>
    </w:p>
    <w:p>
      <w:pPr>
        <w:pStyle w:val="ListParagraph"/>
        <w:numPr>
          <w:ilvl w:val="0"/>
          <w:numId w:val="2"/>
        </w:numPr>
        <w:spacing w:after="40" w:before="40"/>
        <w:jc w:val="left"/>
      </w:pPr>
      <w:r>
        <w:rPr>
          <w:rFonts w:ascii="Arial" w:cs="Arial" w:eastAsia="Arial" w:hAnsi="Arial"/>
          <w:b w:val="false"/>
          <w:bCs w:val="false"/>
          <w:i w:val="false"/>
          <w:iCs w:val="false"/>
          <w:color w:val="222222"/>
          <w:sz w:val="20"/>
          <w:szCs w:val="20"/>
        </w:rPr>
        <w:t xml:space="preserve">Committed to auditing Lear and Bourns supply chains for further JWD exposure</w:t>
      </w:r>
    </w:p>
    <w:p>
      <w:pPr>
        <w:spacing w:after="60" w:before="60"/>
        <w:jc w:val="left"/>
      </w:pPr>
      <w:r>
        <w:rPr>
          <w:rFonts w:ascii="Arial" w:cs="Arial" w:eastAsia="Arial" w:hAnsi="Arial"/>
          <w:b w:val="false"/>
          <w:bCs w:val="false"/>
          <w:i w:val="false"/>
          <w:iCs w:val="false"/>
          <w:color w:val="222222"/>
          <w:sz w:val="20"/>
          <w:szCs w:val="20"/>
        </w:rPr>
        <w:t xml:space="preserve"/>
      </w:r>
    </w:p>
    <w:p>
      <w:pPr>
        <w:pBdr>
          <w:left w:val="thick" w:color="70AD47" w:sz="14"/>
        </w:pBdr>
        <w:shd w:fill="E2EFDA" w:val="clear"/>
        <w:spacing w:after="120" w:before="120"/>
        <w:ind w:left="360" w:right="360"/>
        <w:jc w:val="left"/>
      </w:pPr>
      <w:r>
        <w:rPr>
          <w:rFonts w:ascii="Arial" w:cs="Arial" w:eastAsia="Arial" w:hAnsi="Arial"/>
          <w:b/>
          <w:bCs/>
          <w:i w:val="false"/>
          <w:iCs w:val="false"/>
          <w:color w:val="375623"/>
          <w:sz w:val="20"/>
          <w:szCs w:val="20"/>
        </w:rPr>
        <w:t xml:space="preserve">How ECC Prevents This: </w:t>
      </w:r>
      <w:r>
        <w:rPr>
          <w:rFonts w:ascii="Arial" w:cs="Arial" w:eastAsia="Arial" w:hAnsi="Arial"/>
          <w:b w:val="false"/>
          <w:bCs w:val="false"/>
          <w:i w:val="false"/>
          <w:iCs w:val="false"/>
          <w:color w:val="1A3A10"/>
          <w:sz w:val="20"/>
          <w:szCs w:val="20"/>
        </w:rPr>
        <w:t xml:space="preserve">ECC's graph would have flagged JWD (UFLPA Entity List) as a node match on the LAN transformer BOM position at L4-L5 with geo-political cascade risk scoring activated — before January 2024, not after a Senate investigation.</w:t>
      </w:r>
    </w:p>
    <w:p>
      <w:pPr>
        <w:spacing w:after="60" w:before="60"/>
        <w:jc w:val="left"/>
      </w:pPr>
      <w:r>
        <w:rPr>
          <w:rFonts w:ascii="Arial" w:cs="Arial" w:eastAsia="Arial" w:hAnsi="Arial"/>
          <w:b w:val="false"/>
          <w:bCs w:val="false"/>
          <w:i w:val="false"/>
          <w:iCs w:val="false"/>
          <w:color w:val="222222"/>
          <w:sz w:val="20"/>
          <w:szCs w:val="20"/>
        </w:rPr>
        <w:t xml:space="preserve"/>
      </w:r>
    </w:p>
    <w:p>
      <w:pPr>
        <w:spacing w:after="40" w:before="40"/>
        <w:jc w:val="left"/>
      </w:pPr>
      <w:r>
        <w:rPr>
          <w:rFonts w:ascii="Arial" w:cs="Arial" w:eastAsia="Arial" w:hAnsi="Arial"/>
          <w:b/>
          <w:bCs/>
          <w:i w:val="false"/>
          <w:iCs w:val="false"/>
          <w:color w:val="666666"/>
          <w:sz w:val="17"/>
          <w:szCs w:val="17"/>
        </w:rPr>
        <w:t xml:space="preserve">Source: </w:t>
      </w:r>
      <w:r>
        <w:rPr>
          <w:rFonts w:ascii="Arial" w:cs="Arial" w:eastAsia="Arial" w:hAnsi="Arial"/>
          <w:b w:val="false"/>
          <w:bCs w:val="false"/>
          <w:i/>
          <w:iCs/>
          <w:color w:val="2E75B6"/>
          <w:sz w:val="17"/>
          <w:szCs w:val="17"/>
        </w:rPr>
        <w:t xml:space="preserve">CNBC: BMW imported 8,000 Mini Coopers with banned Chinese parts</w:t>
      </w:r>
      <w:r>
        <w:rPr>
          <w:rFonts w:ascii="Arial" w:cs="Arial" w:eastAsia="Arial" w:hAnsi="Arial"/>
          <w:b w:val="false"/>
          <w:bCs w:val="false"/>
          <w:i w:val="false"/>
          <w:iCs w:val="false"/>
          <w:color w:val="888888"/>
          <w:sz w:val="15"/>
          <w:szCs w:val="15"/>
        </w:rPr>
        <w:t xml:space="preserve">  https://www.cnbc.com/2024/05/20/bmw-mini-cooper-banned-chinese-uflpa.html</w:t>
      </w:r>
    </w:p>
    <w:p>
      <w:pPr>
        <w:spacing w:after="40" w:before="40"/>
        <w:jc w:val="left"/>
      </w:pPr>
      <w:r>
        <w:rPr>
          <w:rFonts w:ascii="Arial" w:cs="Arial" w:eastAsia="Arial" w:hAnsi="Arial"/>
          <w:b/>
          <w:bCs/>
          <w:i w:val="false"/>
          <w:iCs w:val="false"/>
          <w:color w:val="666666"/>
          <w:sz w:val="17"/>
          <w:szCs w:val="17"/>
        </w:rPr>
        <w:t xml:space="preserve">Source: </w:t>
      </w:r>
      <w:r>
        <w:rPr>
          <w:rFonts w:ascii="Arial" w:cs="Arial" w:eastAsia="Arial" w:hAnsi="Arial"/>
          <w:b w:val="false"/>
          <w:bCs w:val="false"/>
          <w:i/>
          <w:iCs/>
          <w:color w:val="2E75B6"/>
          <w:sz w:val="17"/>
          <w:szCs w:val="17"/>
        </w:rPr>
        <w:t xml:space="preserve">Miller &amp; Chevalier: UFLPA Enforcement 2024 Year in Review</w:t>
      </w:r>
      <w:r>
        <w:rPr>
          <w:rFonts w:ascii="Arial" w:cs="Arial" w:eastAsia="Arial" w:hAnsi="Arial"/>
          <w:b w:val="false"/>
          <w:bCs w:val="false"/>
          <w:i w:val="false"/>
          <w:iCs w:val="false"/>
          <w:color w:val="888888"/>
          <w:sz w:val="15"/>
          <w:szCs w:val="15"/>
        </w:rPr>
        <w:t xml:space="preserve">  https://www.millerchevalier.com/publication/trade-compliance-flash-uflpa-enforcement-2024-year-review</w:t>
      </w:r>
    </w:p>
    <w:p>
      <w:pPr>
        <w:pBdr>
          <w:bottom w:val="single" w:color="D0D0D0" w:sz="4"/>
        </w:pBdr>
        <w:spacing w:after="160" w:before="16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80"/>
        <w:gridCol w:w="2880"/>
      </w:tblGrid>
      <w:tr>
        <w:tc>
          <w:tcPr>
            <w:tcW w:type="dxa" w:w="1200"/>
            <w:tcBorders>
              <w:top w:val="none" w:color="FFFFFF" w:sz="0"/>
              <w:left w:val="none" w:color="FFFFFF" w:sz="0"/>
              <w:bottom w:val="none" w:color="FFFFFF" w:sz="0"/>
              <w:right w:val="none" w:color="FFFFFF" w:sz="0"/>
            </w:tcBorders>
            <w:shd w:fill="833C00" w:val="clear"/>
            <w:tcMar>
              <w:top w:type="dxa" w:w="100"/>
              <w:left w:type="dxa" w:w="120"/>
              <w:bottom w:type="dxa" w:w="100"/>
              <w:right w:type="dxa" w:w="120"/>
            </w:tcMar>
          </w:tcPr>
          <w:p>
            <w:pPr>
              <w:spacing w:after="80" w:before="80"/>
              <w:jc w:val="center"/>
            </w:pPr>
            <w:r>
              <w:rPr>
                <w:rFonts w:ascii="Arial" w:cs="Arial" w:eastAsia="Arial" w:hAnsi="Arial"/>
                <w:b/>
                <w:bCs/>
                <w:i w:val="false"/>
                <w:iCs w:val="false"/>
                <w:color w:val="FFFFFF"/>
                <w:sz w:val="15"/>
                <w:szCs w:val="15"/>
              </w:rPr>
              <w:t xml:space="preserve">CASE</w:t>
            </w:r>
          </w:p>
          <w:p>
            <w:pPr>
              <w:spacing w:after="80" w:before="80"/>
              <w:jc w:val="center"/>
            </w:pPr>
            <w:r>
              <w:rPr>
                <w:rFonts w:ascii="Arial" w:cs="Arial" w:eastAsia="Arial" w:hAnsi="Arial"/>
                <w:b/>
                <w:bCs/>
                <w:i w:val="false"/>
                <w:iCs w:val="false"/>
                <w:color w:val="FFFFFF"/>
                <w:sz w:val="40"/>
                <w:szCs w:val="40"/>
              </w:rPr>
              <w:t xml:space="preserve">03</w:t>
            </w:r>
          </w:p>
        </w:tc>
        <w:tc>
          <w:tcPr>
            <w:tcW w:type="dxa" w:w="5280"/>
            <w:tcBorders>
              <w:top w:val="none" w:color="FFFFFF" w:sz="0"/>
              <w:left w:val="none" w:color="FFFFFF" w:sz="0"/>
              <w:bottom w:val="none" w:color="FFFFFF" w:sz="0"/>
              <w:right w:val="none" w:color="FFFFFF" w:sz="0"/>
            </w:tcBorders>
            <w:shd w:fill="1F4E79" w:val="clear"/>
            <w:tcMar>
              <w:top w:type="dxa" w:w="100"/>
              <w:left w:type="dxa" w:w="240"/>
              <w:bottom w:type="dxa" w:w="80"/>
              <w:right w:type="dxa" w:w="120"/>
            </w:tcMar>
          </w:tcPr>
          <w:p>
            <w:pPr>
              <w:spacing w:after="80" w:before="80"/>
              <w:jc w:val="left"/>
            </w:pPr>
            <w:r>
              <w:rPr>
                <w:rFonts w:ascii="Arial" w:cs="Arial" w:eastAsia="Arial" w:hAnsi="Arial"/>
                <w:b/>
                <w:bCs/>
                <w:i w:val="false"/>
                <w:iCs w:val="false"/>
                <w:color w:val="FFFFFF"/>
                <w:sz w:val="28"/>
                <w:szCs w:val="28"/>
              </w:rPr>
              <w:t xml:space="preserve">Solar Industry — JinkoSolar, LONGi, Trina</w:t>
            </w:r>
          </w:p>
          <w:p>
            <w:pPr>
              <w:spacing w:after="80" w:before="80"/>
              <w:jc w:val="left"/>
            </w:pPr>
            <w:r>
              <w:rPr>
                <w:rFonts w:ascii="Arial" w:cs="Arial" w:eastAsia="Arial" w:hAnsi="Arial"/>
                <w:b w:val="false"/>
                <w:bCs w:val="false"/>
                <w:i/>
                <w:iCs/>
                <w:color w:val="BDD7EE"/>
                <w:sz w:val="17"/>
                <w:szCs w:val="17"/>
              </w:rPr>
              <w:t xml:space="preserve">Energy / Solar | UFLPA Mass Enforcement — 2022–2025</w:t>
            </w:r>
          </w:p>
        </w:tc>
        <w:tc>
          <w:tcPr>
            <w:tcW w:type="dxa" w:w="2880"/>
            <w:tcBorders>
              <w:top w:val="none" w:color="FFFFFF" w:sz="0"/>
              <w:left w:val="none" w:color="FFFFFF" w:sz="0"/>
              <w:bottom w:val="none" w:color="FFFFFF" w:sz="0"/>
              <w:right w:val="none" w:color="FFFFFF" w:sz="0"/>
            </w:tcBorders>
            <w:shd w:fill="833C00" w:val="clear"/>
            <w:tcMar>
              <w:top w:type="dxa" w:w="100"/>
              <w:left w:type="dxa" w:w="160"/>
              <w:bottom w:type="dxa" w:w="80"/>
              <w:right w:type="dxa" w:w="160"/>
            </w:tcMar>
          </w:tcPr>
          <w:p>
            <w:pPr>
              <w:spacing w:after="20" w:before="80"/>
              <w:jc w:val="center"/>
            </w:pPr>
            <w:r>
              <w:rPr>
                <w:rFonts w:ascii="Arial" w:cs="Arial" w:eastAsia="Arial" w:hAnsi="Arial"/>
                <w:b/>
                <w:bCs/>
                <w:i w:val="false"/>
                <w:iCs w:val="false"/>
                <w:color w:val="FFFFFF"/>
                <w:sz w:val="15"/>
                <w:szCs w:val="15"/>
              </w:rPr>
              <w:t xml:space="preserve">FINANCIAL IMPACT</w:t>
            </w:r>
          </w:p>
          <w:p>
            <w:pPr>
              <w:spacing w:after="80" w:before="80"/>
              <w:jc w:val="center"/>
            </w:pPr>
            <w:r>
              <w:rPr>
                <w:rFonts w:ascii="Arial" w:cs="Arial" w:eastAsia="Arial" w:hAnsi="Arial"/>
                <w:b/>
                <w:bCs/>
                <w:i w:val="false"/>
                <w:iCs w:val="false"/>
                <w:color w:val="FFFFFF"/>
                <w:sz w:val="20"/>
                <w:szCs w:val="20"/>
              </w:rPr>
              <w:t xml:space="preserve">$700M detained Year 1
$1.54B sector losses H1 2025</w:t>
            </w:r>
          </w:p>
        </w:tc>
      </w:tr>
    </w:tbl>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200"/>
        <w:jc w:val="left"/>
      </w:pPr>
      <w:r>
        <w:rPr>
          <w:rFonts w:ascii="Arial" w:cs="Arial" w:eastAsia="Arial" w:hAnsi="Arial"/>
          <w:b/>
          <w:bCs/>
          <w:i w:val="false"/>
          <w:iCs w:val="false"/>
          <w:color w:val="2E75B6"/>
          <w:sz w:val="22"/>
          <w:szCs w:val="22"/>
        </w:rPr>
        <w:t xml:space="preserve">Why It Happened</w:t>
      </w:r>
    </w:p>
    <w:p>
      <w:pPr>
        <w:spacing w:after="80" w:before="80"/>
        <w:jc w:val="left"/>
      </w:pPr>
      <w:r>
        <w:rPr>
          <w:rFonts w:ascii="Arial" w:cs="Arial" w:eastAsia="Arial" w:hAnsi="Arial"/>
          <w:b w:val="false"/>
          <w:bCs w:val="false"/>
          <w:i w:val="false"/>
          <w:iCs w:val="false"/>
          <w:color w:val="222222"/>
          <w:sz w:val="20"/>
          <w:szCs w:val="20"/>
        </w:rPr>
        <w:t xml:space="preserve">When UFLPA enforcement began June 2022, CBP immediately detained solar panel shipments from China's largest module manufacturers. The trigger: CBP required complete documentation proving polysilicon had no traceable link to Xinjiang — including raw quartzite sourcing documentation at the base of the manufacturing chain. The solar supply chain runs: quartzite → polysilicon → ingot → wafer → cell → module. CBP required documentation at the quartzite level — the L8 equivalent. The industry had zero L5–L8 material traceability.</w:t>
      </w:r>
    </w:p>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200"/>
        <w:jc w:val="left"/>
      </w:pPr>
      <w:r>
        <w:rPr>
          <w:rFonts w:ascii="Arial" w:cs="Arial" w:eastAsia="Arial" w:hAnsi="Arial"/>
          <w:b/>
          <w:bCs/>
          <w:i w:val="false"/>
          <w:iCs w:val="false"/>
          <w:color w:val="2E75B6"/>
          <w:sz w:val="22"/>
          <w:szCs w:val="22"/>
        </w:rPr>
        <w:t xml:space="preserve">Financial &amp; Operational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Direct detention value</w:t>
            </w:r>
          </w:p>
        </w:tc>
        <w:tc>
          <w:tcPr>
            <w:tcW w:type="dxa" w:w="684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8"/>
                <w:szCs w:val="18"/>
              </w:rPr>
              <w:t xml:space="preserve">~$700M in modules detained in 2022 alone; over $3.5B total by end 2024</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JinkoSolar US exports</w:t>
            </w:r>
          </w:p>
        </w:tc>
        <w:tc>
          <w:tcPr>
            <w:tcW w:type="dxa" w:w="6840"/>
            <w:tcBorders>
              <w:top w:val="single" w:color="CCCCCC" w:sz="1"/>
              <w:left w:val="single" w:color="CCCCCC" w:sz="1"/>
              <w:bottom w:val="single" w:color="CCCCCC" w:sz="1"/>
              <w:right w:val="single" w:color="CCCCCC" w:sz="1"/>
            </w:tcBorders>
            <w:shd w:fill="FFF2CC"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7F6000"/>
                <w:sz w:val="18"/>
                <w:szCs w:val="18"/>
              </w:rPr>
              <w:t xml:space="preserve">Halved planned US exports in 2022 — self-excluding from a major market</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Sector project delays</w:t>
            </w:r>
          </w:p>
        </w:tc>
        <w:tc>
          <w:tcPr>
            <w:tcW w:type="dxa" w:w="684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8"/>
                <w:szCs w:val="18"/>
              </w:rPr>
              <w:t xml:space="preserve">'The most difficult renewable procurement environment of the past 15 years' — Silicon Ranch CEO</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China top-4 solar losses</w:t>
            </w:r>
          </w:p>
        </w:tc>
        <w:tc>
          <w:tcPr>
            <w:tcW w:type="dxa" w:w="6840"/>
            <w:tcBorders>
              <w:top w:val="single" w:color="CCCCCC" w:sz="1"/>
              <w:left w:val="single" w:color="CCCCCC" w:sz="1"/>
              <w:bottom w:val="single" w:color="CCCCCC" w:sz="1"/>
              <w:right w:val="single" w:color="CCCCCC" w:sz="1"/>
            </w:tcBorders>
            <w:shd w:fill="FFF2CC"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7F6000"/>
                <w:sz w:val="18"/>
                <w:szCs w:val="18"/>
              </w:rPr>
              <w:t xml:space="preserve">LONGi, JinkoSolar, Trina, JA Solar — combined net losses ~$1.54B in H1 2025</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Federal raid</w:t>
            </w:r>
          </w:p>
        </w:tc>
        <w:tc>
          <w:tcPr>
            <w:tcW w:type="dxa" w:w="6840"/>
            <w:tcBorders>
              <w:top w:val="single" w:color="CCCCCC" w:sz="1"/>
              <w:left w:val="single" w:color="CCCCCC" w:sz="1"/>
              <w:bottom w:val="single" w:color="CCCCCC" w:sz="1"/>
              <w:right w:val="single" w:color="CCCCCC" w:sz="1"/>
            </w:tcBorders>
            <w:shd w:fill="FFF2CC"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7F6000"/>
                <w:sz w:val="18"/>
                <w:szCs w:val="18"/>
              </w:rPr>
              <w:t xml:space="preserve">JinkoSolar's Jacksonville factory and California offices raided by DHS, FBI and CBP — May 2023</w:t>
            </w:r>
          </w:p>
        </w:tc>
      </w:tr>
    </w:tbl>
    <w:p>
      <w:pPr>
        <w:spacing w:after="60" w:before="60"/>
        <w:jc w:val="left"/>
      </w:pPr>
      <w:r>
        <w:rPr>
          <w:rFonts w:ascii="Arial" w:cs="Arial" w:eastAsia="Arial" w:hAnsi="Arial"/>
          <w:b w:val="false"/>
          <w:bCs w:val="false"/>
          <w:i w:val="false"/>
          <w:iCs w:val="false"/>
          <w:color w:val="222222"/>
          <w:sz w:val="20"/>
          <w:szCs w:val="20"/>
        </w:rPr>
        <w:t xml:space="preserve"/>
      </w:r>
    </w:p>
    <w:p>
      <w:pPr>
        <w:pBdr>
          <w:left w:val="thick" w:color="70AD47" w:sz="14"/>
        </w:pBdr>
        <w:shd w:fill="E2EFDA" w:val="clear"/>
        <w:spacing w:after="120" w:before="120"/>
        <w:ind w:left="360" w:right="360"/>
        <w:jc w:val="left"/>
      </w:pPr>
      <w:r>
        <w:rPr>
          <w:rFonts w:ascii="Arial" w:cs="Arial" w:eastAsia="Arial" w:hAnsi="Arial"/>
          <w:b/>
          <w:bCs/>
          <w:i w:val="false"/>
          <w:iCs w:val="false"/>
          <w:color w:val="375623"/>
          <w:sz w:val="20"/>
          <w:szCs w:val="20"/>
        </w:rPr>
        <w:t xml:space="preserve">How ECC Prevents This: </w:t>
      </w:r>
      <w:r>
        <w:rPr>
          <w:rFonts w:ascii="Arial" w:cs="Arial" w:eastAsia="Arial" w:hAnsi="Arial"/>
          <w:b w:val="false"/>
          <w:bCs w:val="false"/>
          <w:i w:val="false"/>
          <w:iCs w:val="false"/>
          <w:color w:val="1A3A10"/>
          <w:sz w:val="20"/>
          <w:szCs w:val="20"/>
        </w:rPr>
        <w:t xml:space="preserve">ECC's L8-level raw material mapping — quartzite → polysilicon → wafer → cell → module — with geographic origin tags at every node would have given these manufacturers a ready CBP compliance package. Instead of weeks of reactive documentation scramble, compliance is a pre-built export from the graph.</w:t>
      </w:r>
    </w:p>
    <w:p>
      <w:pPr>
        <w:spacing w:after="60" w:before="60"/>
        <w:jc w:val="left"/>
      </w:pPr>
      <w:r>
        <w:rPr>
          <w:rFonts w:ascii="Arial" w:cs="Arial" w:eastAsia="Arial" w:hAnsi="Arial"/>
          <w:b w:val="false"/>
          <w:bCs w:val="false"/>
          <w:i w:val="false"/>
          <w:iCs w:val="false"/>
          <w:color w:val="222222"/>
          <w:sz w:val="20"/>
          <w:szCs w:val="20"/>
        </w:rPr>
        <w:t xml:space="preserve"/>
      </w:r>
    </w:p>
    <w:p>
      <w:pPr>
        <w:spacing w:after="40" w:before="40"/>
        <w:jc w:val="left"/>
      </w:pPr>
      <w:r>
        <w:rPr>
          <w:rFonts w:ascii="Arial" w:cs="Arial" w:eastAsia="Arial" w:hAnsi="Arial"/>
          <w:b/>
          <w:bCs/>
          <w:i w:val="false"/>
          <w:iCs w:val="false"/>
          <w:color w:val="666666"/>
          <w:sz w:val="17"/>
          <w:szCs w:val="17"/>
        </w:rPr>
        <w:t xml:space="preserve">Source: </w:t>
      </w:r>
      <w:r>
        <w:rPr>
          <w:rFonts w:ascii="Arial" w:cs="Arial" w:eastAsia="Arial" w:hAnsi="Arial"/>
          <w:b w:val="false"/>
          <w:bCs w:val="false"/>
          <w:i/>
          <w:iCs/>
          <w:color w:val="2E75B6"/>
          <w:sz w:val="17"/>
          <w:szCs w:val="17"/>
        </w:rPr>
        <w:t xml:space="preserve">Axios: Forced-labor crackdown hamstrings solar industry</w:t>
      </w:r>
      <w:r>
        <w:rPr>
          <w:rFonts w:ascii="Arial" w:cs="Arial" w:eastAsia="Arial" w:hAnsi="Arial"/>
          <w:b w:val="false"/>
          <w:bCs w:val="false"/>
          <w:i w:val="false"/>
          <w:iCs w:val="false"/>
          <w:color w:val="888888"/>
          <w:sz w:val="15"/>
          <w:szCs w:val="15"/>
        </w:rPr>
        <w:t xml:space="preserve">  https://www.axios.com/pro/climate-deals/2023/01/09/forced-labor-crackdown-hamstrings-solar-industry</w:t>
      </w:r>
    </w:p>
    <w:p>
      <w:pPr>
        <w:spacing w:after="40" w:before="40"/>
        <w:jc w:val="left"/>
      </w:pPr>
      <w:r>
        <w:rPr>
          <w:rFonts w:ascii="Arial" w:cs="Arial" w:eastAsia="Arial" w:hAnsi="Arial"/>
          <w:b/>
          <w:bCs/>
          <w:i w:val="false"/>
          <w:iCs w:val="false"/>
          <w:color w:val="666666"/>
          <w:sz w:val="17"/>
          <w:szCs w:val="17"/>
        </w:rPr>
        <w:t xml:space="preserve">Source: </w:t>
      </w:r>
      <w:r>
        <w:rPr>
          <w:rFonts w:ascii="Arial" w:cs="Arial" w:eastAsia="Arial" w:hAnsi="Arial"/>
          <w:b w:val="false"/>
          <w:bCs w:val="false"/>
          <w:i/>
          <w:iCs/>
          <w:color w:val="2E75B6"/>
          <w:sz w:val="17"/>
          <w:szCs w:val="17"/>
        </w:rPr>
        <w:t xml:space="preserve">PV Tech: China top-4 solar manufacturers — $1.54B losses H1 2025</w:t>
      </w:r>
      <w:r>
        <w:rPr>
          <w:rFonts w:ascii="Arial" w:cs="Arial" w:eastAsia="Arial" w:hAnsi="Arial"/>
          <w:b w:val="false"/>
          <w:bCs w:val="false"/>
          <w:i w:val="false"/>
          <w:iCs w:val="false"/>
          <w:color w:val="888888"/>
          <w:sz w:val="15"/>
          <w:szCs w:val="15"/>
        </w:rPr>
        <w:t xml:space="preserve">  https://www.pv-tech.org/chinas-top-four-solar-manufacturers-suffer-1-54-billion-losses-h1-2025/</w:t>
      </w:r>
    </w:p>
    <w:p>
      <w:pPr>
        <w:pBdr>
          <w:bottom w:val="single" w:color="D0D0D0" w:sz="4"/>
        </w:pBdr>
        <w:spacing w:after="160" w:before="16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80"/>
        <w:gridCol w:w="2880"/>
      </w:tblGrid>
      <w:tr>
        <w:tc>
          <w:tcPr>
            <w:tcW w:type="dxa" w:w="1200"/>
            <w:tcBorders>
              <w:top w:val="none" w:color="FFFFFF" w:sz="0"/>
              <w:left w:val="none" w:color="FFFFFF" w:sz="0"/>
              <w:bottom w:val="none" w:color="FFFFFF" w:sz="0"/>
              <w:right w:val="none" w:color="FFFFFF" w:sz="0"/>
            </w:tcBorders>
            <w:shd w:fill="C00000" w:val="clear"/>
            <w:tcMar>
              <w:top w:type="dxa" w:w="100"/>
              <w:left w:type="dxa" w:w="120"/>
              <w:bottom w:type="dxa" w:w="100"/>
              <w:right w:type="dxa" w:w="120"/>
            </w:tcMar>
          </w:tcPr>
          <w:p>
            <w:pPr>
              <w:spacing w:after="80" w:before="80"/>
              <w:jc w:val="center"/>
            </w:pPr>
            <w:r>
              <w:rPr>
                <w:rFonts w:ascii="Arial" w:cs="Arial" w:eastAsia="Arial" w:hAnsi="Arial"/>
                <w:b/>
                <w:bCs/>
                <w:i w:val="false"/>
                <w:iCs w:val="false"/>
                <w:color w:val="FFFFFF"/>
                <w:sz w:val="15"/>
                <w:szCs w:val="15"/>
              </w:rPr>
              <w:t xml:space="preserve">CASE</w:t>
            </w:r>
          </w:p>
          <w:p>
            <w:pPr>
              <w:spacing w:after="80" w:before="80"/>
              <w:jc w:val="center"/>
            </w:pPr>
            <w:r>
              <w:rPr>
                <w:rFonts w:ascii="Arial" w:cs="Arial" w:eastAsia="Arial" w:hAnsi="Arial"/>
                <w:b/>
                <w:bCs/>
                <w:i w:val="false"/>
                <w:iCs w:val="false"/>
                <w:color w:val="FFFFFF"/>
                <w:sz w:val="40"/>
                <w:szCs w:val="40"/>
              </w:rPr>
              <w:t xml:space="preserve">04</w:t>
            </w:r>
          </w:p>
        </w:tc>
        <w:tc>
          <w:tcPr>
            <w:tcW w:type="dxa" w:w="5280"/>
            <w:tcBorders>
              <w:top w:val="none" w:color="FFFFFF" w:sz="0"/>
              <w:left w:val="none" w:color="FFFFFF" w:sz="0"/>
              <w:bottom w:val="none" w:color="FFFFFF" w:sz="0"/>
              <w:right w:val="none" w:color="FFFFFF" w:sz="0"/>
            </w:tcBorders>
            <w:shd w:fill="1F4E79" w:val="clear"/>
            <w:tcMar>
              <w:top w:type="dxa" w:w="100"/>
              <w:left w:type="dxa" w:w="240"/>
              <w:bottom w:type="dxa" w:w="80"/>
              <w:right w:type="dxa" w:w="120"/>
            </w:tcMar>
          </w:tcPr>
          <w:p>
            <w:pPr>
              <w:spacing w:after="80" w:before="80"/>
              <w:jc w:val="left"/>
            </w:pPr>
            <w:r>
              <w:rPr>
                <w:rFonts w:ascii="Arial" w:cs="Arial" w:eastAsia="Arial" w:hAnsi="Arial"/>
                <w:b/>
                <w:bCs/>
                <w:i w:val="false"/>
                <w:iCs w:val="false"/>
                <w:color w:val="FFFFFF"/>
                <w:sz w:val="28"/>
                <w:szCs w:val="28"/>
              </w:rPr>
              <w:t xml:space="preserve">Nike — $1 Billion Annual Tariff Impact</w:t>
            </w:r>
          </w:p>
          <w:p>
            <w:pPr>
              <w:spacing w:after="80" w:before="80"/>
              <w:jc w:val="left"/>
            </w:pPr>
            <w:r>
              <w:rPr>
                <w:rFonts w:ascii="Arial" w:cs="Arial" w:eastAsia="Arial" w:hAnsi="Arial"/>
                <w:b w:val="false"/>
                <w:bCs w:val="false"/>
                <w:i/>
                <w:iCs/>
                <w:color w:val="BDD7EE"/>
                <w:sz w:val="17"/>
                <w:szCs w:val="17"/>
              </w:rPr>
              <w:t xml:space="preserve">Consumer / Apparel | Section 301 + IEEPA — FY2025</w:t>
            </w:r>
          </w:p>
        </w:tc>
        <w:tc>
          <w:tcPr>
            <w:tcW w:type="dxa" w:w="2880"/>
            <w:tcBorders>
              <w:top w:val="none" w:color="FFFFFF" w:sz="0"/>
              <w:left w:val="none" w:color="FFFFFF" w:sz="0"/>
              <w:bottom w:val="none" w:color="FFFFFF" w:sz="0"/>
              <w:right w:val="none" w:color="FFFFFF" w:sz="0"/>
            </w:tcBorders>
            <w:shd w:fill="C00000" w:val="clear"/>
            <w:tcMar>
              <w:top w:type="dxa" w:w="100"/>
              <w:left w:type="dxa" w:w="160"/>
              <w:bottom w:type="dxa" w:w="80"/>
              <w:right w:type="dxa" w:w="160"/>
            </w:tcMar>
          </w:tcPr>
          <w:p>
            <w:pPr>
              <w:spacing w:after="20" w:before="80"/>
              <w:jc w:val="center"/>
            </w:pPr>
            <w:r>
              <w:rPr>
                <w:rFonts w:ascii="Arial" w:cs="Arial" w:eastAsia="Arial" w:hAnsi="Arial"/>
                <w:b/>
                <w:bCs/>
                <w:i w:val="false"/>
                <w:iCs w:val="false"/>
                <w:color w:val="FFFFFF"/>
                <w:sz w:val="15"/>
                <w:szCs w:val="15"/>
              </w:rPr>
              <w:t xml:space="preserve">FINANCIAL IMPACT</w:t>
            </w:r>
          </w:p>
          <w:p>
            <w:pPr>
              <w:spacing w:after="80" w:before="80"/>
              <w:jc w:val="center"/>
            </w:pPr>
            <w:r>
              <w:rPr>
                <w:rFonts w:ascii="Arial" w:cs="Arial" w:eastAsia="Arial" w:hAnsi="Arial"/>
                <w:b/>
                <w:bCs/>
                <w:i w:val="false"/>
                <w:iCs w:val="false"/>
                <w:color w:val="FFFFFF"/>
                <w:sz w:val="20"/>
                <w:szCs w:val="20"/>
              </w:rPr>
              <w:t xml:space="preserve">$1,000,000,000
annual cost increase</w:t>
            </w:r>
          </w:p>
        </w:tc>
      </w:tr>
    </w:tbl>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200"/>
        <w:jc w:val="left"/>
      </w:pPr>
      <w:r>
        <w:rPr>
          <w:rFonts w:ascii="Arial" w:cs="Arial" w:eastAsia="Arial" w:hAnsi="Arial"/>
          <w:b/>
          <w:bCs/>
          <w:i w:val="false"/>
          <w:iCs w:val="false"/>
          <w:color w:val="2E75B6"/>
          <w:sz w:val="22"/>
          <w:szCs w:val="22"/>
        </w:rPr>
        <w:t xml:space="preserve">Why It Happened</w:t>
      </w:r>
    </w:p>
    <w:p>
      <w:pPr>
        <w:spacing w:after="80" w:before="80"/>
        <w:jc w:val="left"/>
      </w:pPr>
      <w:r>
        <w:rPr>
          <w:rFonts w:ascii="Arial" w:cs="Arial" w:eastAsia="Arial" w:hAnsi="Arial"/>
          <w:b w:val="false"/>
          <w:bCs w:val="false"/>
          <w:i w:val="false"/>
          <w:iCs w:val="false"/>
          <w:color w:val="222222"/>
          <w:sz w:val="20"/>
          <w:szCs w:val="20"/>
        </w:rPr>
        <w:t xml:space="preserve">Nike's CFO confirmed on a June 2025 earnings call that US tariffs would add an estimated $1 billion in annual incremental cost. China accounted for approximately 16% of Nike's US footwear imports. The effective tariff stack on Chinese-origin goods reached 58.3%. Gross margins declined 140 basis points. Nike had no BOM-level data to identify which product lines drove the highest exposure, which materials caused it, or which sourcing switches would yield the greatest saving per dollar spent. The response was broad and reactive.</w:t>
      </w:r>
    </w:p>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200"/>
        <w:jc w:val="left"/>
      </w:pPr>
      <w:r>
        <w:rPr>
          <w:rFonts w:ascii="Arial" w:cs="Arial" w:eastAsia="Arial" w:hAnsi="Arial"/>
          <w:b/>
          <w:bCs/>
          <w:i w:val="false"/>
          <w:iCs w:val="false"/>
          <w:color w:val="2E75B6"/>
          <w:sz w:val="22"/>
          <w:szCs w:val="22"/>
        </w:rPr>
        <w:t xml:space="preserve">Financial &amp; Operational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Annual tariff cost increase</w:t>
            </w:r>
          </w:p>
        </w:tc>
        <w:tc>
          <w:tcPr>
            <w:tcW w:type="dxa" w:w="6840"/>
            <w:tcBorders>
              <w:top w:val="single" w:color="CCCCCC" w:sz="1"/>
              <w:left w:val="single" w:color="CCCCCC" w:sz="1"/>
              <w:bottom w:val="single" w:color="CCCCCC" w:sz="1"/>
              <w:right w:val="single" w:color="CCCCCC" w:sz="1"/>
            </w:tcBorders>
            <w:shd w:fill="FFF2CC"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7F6000"/>
                <w:sz w:val="18"/>
                <w:szCs w:val="18"/>
              </w:rPr>
              <w:t xml:space="preserve">$1 billion gross incremental cost — confirmed by Nike CFO on earnings call</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Margin compression</w:t>
            </w:r>
          </w:p>
        </w:tc>
        <w:tc>
          <w:tcPr>
            <w:tcW w:type="dxa" w:w="684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8"/>
                <w:szCs w:val="18"/>
              </w:rPr>
              <w:t xml:space="preserve">Gross margin fell to 34.5% (Q3 2025) — 140 basis points below prior quarter</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Market impact</w:t>
            </w:r>
          </w:p>
        </w:tc>
        <w:tc>
          <w:tcPr>
            <w:tcW w:type="dxa" w:w="6840"/>
            <w:tcBorders>
              <w:top w:val="single" w:color="CCCCCC" w:sz="1"/>
              <w:left w:val="single" w:color="CCCCCC" w:sz="1"/>
              <w:bottom w:val="single" w:color="CCCCCC" w:sz="1"/>
              <w:right w:val="single" w:color="CCCCCC" w:sz="1"/>
            </w:tcBorders>
            <w:shd w:fill="FFF2CC"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7F6000"/>
                <w:sz w:val="18"/>
                <w:szCs w:val="18"/>
              </w:rPr>
              <w:t xml:space="preserve">Nike's market value dropped approximately one-third over the surrounding period</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Consumer impact</w:t>
            </w:r>
          </w:p>
        </w:tc>
        <w:tc>
          <w:tcPr>
            <w:tcW w:type="dxa" w:w="684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8"/>
                <w:szCs w:val="18"/>
              </w:rPr>
              <w:t xml:space="preserve">'Surgical price increases' on certain US products beginning fall 2025</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Structural cost</w:t>
            </w:r>
          </w:p>
        </w:tc>
        <w:tc>
          <w:tcPr>
            <w:tcW w:type="dxa" w:w="684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8"/>
                <w:szCs w:val="18"/>
              </w:rPr>
              <w:t xml:space="preserve">Accelerated supply chain diversification from China — multi-year transition cost</w:t>
            </w:r>
          </w:p>
        </w:tc>
      </w:tr>
    </w:tbl>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200"/>
        <w:jc w:val="left"/>
      </w:pPr>
      <w:r>
        <w:rPr>
          <w:rFonts w:ascii="Arial" w:cs="Arial" w:eastAsia="Arial" w:hAnsi="Arial"/>
          <w:b/>
          <w:bCs/>
          <w:i w:val="false"/>
          <w:iCs w:val="false"/>
          <w:color w:val="2E75B6"/>
          <w:sz w:val="22"/>
          <w:szCs w:val="22"/>
        </w:rPr>
        <w:t xml:space="preserve">Immediate Response</w:t>
      </w:r>
    </w:p>
    <w:p>
      <w:pPr>
        <w:pStyle w:val="ListParagraph"/>
        <w:numPr>
          <w:ilvl w:val="0"/>
          <w:numId w:val="2"/>
        </w:numPr>
        <w:spacing w:after="40" w:before="40"/>
        <w:jc w:val="left"/>
      </w:pPr>
      <w:r>
        <w:rPr>
          <w:rFonts w:ascii="Arial" w:cs="Arial" w:eastAsia="Arial" w:hAnsi="Arial"/>
          <w:b w:val="false"/>
          <w:bCs w:val="false"/>
          <w:i w:val="false"/>
          <w:iCs w:val="false"/>
          <w:color w:val="222222"/>
          <w:sz w:val="20"/>
          <w:szCs w:val="20"/>
        </w:rPr>
        <w:t xml:space="preserve">Announced plan to cut China's share of US footwear imports from ~16% to high-single digits by end of FY2026</w:t>
      </w:r>
    </w:p>
    <w:p>
      <w:pPr>
        <w:pStyle w:val="ListParagraph"/>
        <w:numPr>
          <w:ilvl w:val="0"/>
          <w:numId w:val="2"/>
        </w:numPr>
        <w:spacing w:after="40" w:before="40"/>
        <w:jc w:val="left"/>
      </w:pPr>
      <w:r>
        <w:rPr>
          <w:rFonts w:ascii="Arial" w:cs="Arial" w:eastAsia="Arial" w:hAnsi="Arial"/>
          <w:b w:val="false"/>
          <w:bCs w:val="false"/>
          <w:i w:val="false"/>
          <w:iCs w:val="false"/>
          <w:color w:val="222222"/>
          <w:sz w:val="20"/>
          <w:szCs w:val="20"/>
        </w:rPr>
        <w:t xml:space="preserve">Negotiated cost-sharing with suppliers and retail distribution partners</w:t>
      </w:r>
    </w:p>
    <w:p>
      <w:pPr>
        <w:pStyle w:val="ListParagraph"/>
        <w:numPr>
          <w:ilvl w:val="0"/>
          <w:numId w:val="2"/>
        </w:numPr>
        <w:spacing w:after="40" w:before="40"/>
        <w:jc w:val="left"/>
      </w:pPr>
      <w:r>
        <w:rPr>
          <w:rFonts w:ascii="Arial" w:cs="Arial" w:eastAsia="Arial" w:hAnsi="Arial"/>
          <w:b w:val="false"/>
          <w:bCs w:val="false"/>
          <w:i w:val="false"/>
          <w:iCs w:val="false"/>
          <w:color w:val="222222"/>
          <w:sz w:val="20"/>
          <w:szCs w:val="20"/>
        </w:rPr>
        <w:t xml:space="preserve">Phased selective price increases beginning fall 2025</w:t>
      </w:r>
    </w:p>
    <w:p>
      <w:pPr>
        <w:pStyle w:val="ListParagraph"/>
        <w:numPr>
          <w:ilvl w:val="0"/>
          <w:numId w:val="2"/>
        </w:numPr>
        <w:spacing w:after="40" w:before="40"/>
        <w:jc w:val="left"/>
      </w:pPr>
      <w:r>
        <w:rPr>
          <w:rFonts w:ascii="Arial" w:cs="Arial" w:eastAsia="Arial" w:hAnsi="Arial"/>
          <w:b w:val="false"/>
          <w:bCs w:val="false"/>
          <w:i w:val="false"/>
          <w:iCs w:val="false"/>
          <w:color w:val="222222"/>
          <w:sz w:val="20"/>
          <w:szCs w:val="20"/>
        </w:rPr>
        <w:t xml:space="preserve">Accelerated production diversification into Vietnam, Indonesia, Thailand</w:t>
      </w:r>
    </w:p>
    <w:p>
      <w:pPr>
        <w:spacing w:after="60" w:before="60"/>
        <w:jc w:val="left"/>
      </w:pPr>
      <w:r>
        <w:rPr>
          <w:rFonts w:ascii="Arial" w:cs="Arial" w:eastAsia="Arial" w:hAnsi="Arial"/>
          <w:b w:val="false"/>
          <w:bCs w:val="false"/>
          <w:i w:val="false"/>
          <w:iCs w:val="false"/>
          <w:color w:val="222222"/>
          <w:sz w:val="20"/>
          <w:szCs w:val="20"/>
        </w:rPr>
        <w:t xml:space="preserve"/>
      </w:r>
    </w:p>
    <w:p>
      <w:pPr>
        <w:pBdr>
          <w:left w:val="thick" w:color="70AD47" w:sz="14"/>
        </w:pBdr>
        <w:shd w:fill="E2EFDA" w:val="clear"/>
        <w:spacing w:after="120" w:before="120"/>
        <w:ind w:left="360" w:right="360"/>
        <w:jc w:val="left"/>
      </w:pPr>
      <w:r>
        <w:rPr>
          <w:rFonts w:ascii="Arial" w:cs="Arial" w:eastAsia="Arial" w:hAnsi="Arial"/>
          <w:b/>
          <w:bCs/>
          <w:i w:val="false"/>
          <w:iCs w:val="false"/>
          <w:color w:val="375623"/>
          <w:sz w:val="20"/>
          <w:szCs w:val="20"/>
        </w:rPr>
        <w:t xml:space="preserve">How ECC Prevents This: </w:t>
      </w:r>
      <w:r>
        <w:rPr>
          <w:rFonts w:ascii="Arial" w:cs="Arial" w:eastAsia="Arial" w:hAnsi="Arial"/>
          <w:b w:val="false"/>
          <w:bCs w:val="false"/>
          <w:i w:val="false"/>
          <w:iCs w:val="false"/>
          <w:color w:val="1A3A10"/>
          <w:sz w:val="20"/>
          <w:szCs w:val="20"/>
        </w:rPr>
        <w:t xml:space="preserve">ECC's HTS code-level tariff scoring and BOM tariff rollup agent would have given Nike a ranked list of which product lines and specific material inputs carried the highest Section 301 exposure — before CFO guidance, not after. Sourcing shift decisions would be driven by the graph, not guesswork.</w:t>
      </w:r>
    </w:p>
    <w:p>
      <w:pPr>
        <w:spacing w:after="60" w:before="60"/>
        <w:jc w:val="left"/>
      </w:pPr>
      <w:r>
        <w:rPr>
          <w:rFonts w:ascii="Arial" w:cs="Arial" w:eastAsia="Arial" w:hAnsi="Arial"/>
          <w:b w:val="false"/>
          <w:bCs w:val="false"/>
          <w:i w:val="false"/>
          <w:iCs w:val="false"/>
          <w:color w:val="222222"/>
          <w:sz w:val="20"/>
          <w:szCs w:val="20"/>
        </w:rPr>
        <w:t xml:space="preserve"/>
      </w:r>
    </w:p>
    <w:p>
      <w:pPr>
        <w:spacing w:after="40" w:before="40"/>
        <w:jc w:val="left"/>
      </w:pPr>
      <w:r>
        <w:rPr>
          <w:rFonts w:ascii="Arial" w:cs="Arial" w:eastAsia="Arial" w:hAnsi="Arial"/>
          <w:b/>
          <w:bCs/>
          <w:i w:val="false"/>
          <w:iCs w:val="false"/>
          <w:color w:val="666666"/>
          <w:sz w:val="17"/>
          <w:szCs w:val="17"/>
        </w:rPr>
        <w:t xml:space="preserve">Source: </w:t>
      </w:r>
      <w:r>
        <w:rPr>
          <w:rFonts w:ascii="Arial" w:cs="Arial" w:eastAsia="Arial" w:hAnsi="Arial"/>
          <w:b w:val="false"/>
          <w:bCs w:val="false"/>
          <w:i/>
          <w:iCs/>
          <w:color w:val="2E75B6"/>
          <w:sz w:val="17"/>
          <w:szCs w:val="17"/>
        </w:rPr>
        <w:t xml:space="preserve">Supply Chain Dive: Nike fights $1B tariff hit with sourcing shifts</w:t>
      </w:r>
      <w:r>
        <w:rPr>
          <w:rFonts w:ascii="Arial" w:cs="Arial" w:eastAsia="Arial" w:hAnsi="Arial"/>
          <w:b w:val="false"/>
          <w:bCs w:val="false"/>
          <w:i w:val="false"/>
          <w:iCs w:val="false"/>
          <w:color w:val="888888"/>
          <w:sz w:val="15"/>
          <w:szCs w:val="15"/>
        </w:rPr>
        <w:t xml:space="preserve">  https://www.supplychaindive.com/news/nike-1b-tariff-sourcing-price-hikes/752159/</w:t>
      </w:r>
    </w:p>
    <w:p>
      <w:pPr>
        <w:spacing w:after="40" w:before="40"/>
        <w:jc w:val="left"/>
      </w:pPr>
      <w:r>
        <w:rPr>
          <w:rFonts w:ascii="Arial" w:cs="Arial" w:eastAsia="Arial" w:hAnsi="Arial"/>
          <w:b/>
          <w:bCs/>
          <w:i w:val="false"/>
          <w:iCs w:val="false"/>
          <w:color w:val="666666"/>
          <w:sz w:val="17"/>
          <w:szCs w:val="17"/>
        </w:rPr>
        <w:t xml:space="preserve">Source: </w:t>
      </w:r>
      <w:r>
        <w:rPr>
          <w:rFonts w:ascii="Arial" w:cs="Arial" w:eastAsia="Arial" w:hAnsi="Arial"/>
          <w:b w:val="false"/>
          <w:bCs w:val="false"/>
          <w:i/>
          <w:iCs/>
          <w:color w:val="2E75B6"/>
          <w:sz w:val="17"/>
          <w:szCs w:val="17"/>
        </w:rPr>
        <w:t xml:space="preserve">Supply Chain Brain: Nike Faces $1B in Added Costs from Tariffs</w:t>
      </w:r>
      <w:r>
        <w:rPr>
          <w:rFonts w:ascii="Arial" w:cs="Arial" w:eastAsia="Arial" w:hAnsi="Arial"/>
          <w:b w:val="false"/>
          <w:bCs w:val="false"/>
          <w:i w:val="false"/>
          <w:iCs w:val="false"/>
          <w:color w:val="888888"/>
          <w:sz w:val="15"/>
          <w:szCs w:val="15"/>
        </w:rPr>
        <w:t xml:space="preserve">  https://www.supplychainbrain.com/articles/42055-nike-faces-1b-in-added-costs-from-tariffs</w:t>
      </w:r>
    </w:p>
    <w:p>
      <w:pPr>
        <w:pBdr>
          <w:bottom w:val="single" w:color="D0D0D0" w:sz="4"/>
        </w:pBdr>
        <w:spacing w:after="160" w:before="16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80"/>
        <w:gridCol w:w="2880"/>
      </w:tblGrid>
      <w:tr>
        <w:tc>
          <w:tcPr>
            <w:tcW w:type="dxa" w:w="1200"/>
            <w:tcBorders>
              <w:top w:val="none" w:color="FFFFFF" w:sz="0"/>
              <w:left w:val="none" w:color="FFFFFF" w:sz="0"/>
              <w:bottom w:val="none" w:color="FFFFFF" w:sz="0"/>
              <w:right w:val="none" w:color="FFFFFF" w:sz="0"/>
            </w:tcBorders>
            <w:shd w:fill="7F6000" w:val="clear"/>
            <w:tcMar>
              <w:top w:type="dxa" w:w="100"/>
              <w:left w:type="dxa" w:w="120"/>
              <w:bottom w:type="dxa" w:w="100"/>
              <w:right w:type="dxa" w:w="120"/>
            </w:tcMar>
          </w:tcPr>
          <w:p>
            <w:pPr>
              <w:spacing w:after="80" w:before="80"/>
              <w:jc w:val="center"/>
            </w:pPr>
            <w:r>
              <w:rPr>
                <w:rFonts w:ascii="Arial" w:cs="Arial" w:eastAsia="Arial" w:hAnsi="Arial"/>
                <w:b/>
                <w:bCs/>
                <w:i w:val="false"/>
                <w:iCs w:val="false"/>
                <w:color w:val="FFFFFF"/>
                <w:sz w:val="15"/>
                <w:szCs w:val="15"/>
              </w:rPr>
              <w:t xml:space="preserve">CASE</w:t>
            </w:r>
          </w:p>
          <w:p>
            <w:pPr>
              <w:spacing w:after="80" w:before="80"/>
              <w:jc w:val="center"/>
            </w:pPr>
            <w:r>
              <w:rPr>
                <w:rFonts w:ascii="Arial" w:cs="Arial" w:eastAsia="Arial" w:hAnsi="Arial"/>
                <w:b/>
                <w:bCs/>
                <w:i w:val="false"/>
                <w:iCs w:val="false"/>
                <w:color w:val="FFFFFF"/>
                <w:sz w:val="40"/>
                <w:szCs w:val="40"/>
              </w:rPr>
              <w:t xml:space="preserve">05</w:t>
            </w:r>
          </w:p>
        </w:tc>
        <w:tc>
          <w:tcPr>
            <w:tcW w:type="dxa" w:w="5280"/>
            <w:tcBorders>
              <w:top w:val="none" w:color="FFFFFF" w:sz="0"/>
              <w:left w:val="none" w:color="FFFFFF" w:sz="0"/>
              <w:bottom w:val="none" w:color="FFFFFF" w:sz="0"/>
              <w:right w:val="none" w:color="FFFFFF" w:sz="0"/>
            </w:tcBorders>
            <w:shd w:fill="1F4E79" w:val="clear"/>
            <w:tcMar>
              <w:top w:type="dxa" w:w="100"/>
              <w:left w:type="dxa" w:w="240"/>
              <w:bottom w:type="dxa" w:w="80"/>
              <w:right w:type="dxa" w:w="120"/>
            </w:tcMar>
          </w:tcPr>
          <w:p>
            <w:pPr>
              <w:spacing w:after="80" w:before="80"/>
              <w:jc w:val="left"/>
            </w:pPr>
            <w:r>
              <w:rPr>
                <w:rFonts w:ascii="Arial" w:cs="Arial" w:eastAsia="Arial" w:hAnsi="Arial"/>
                <w:b/>
                <w:bCs/>
                <w:i w:val="false"/>
                <w:iCs w:val="false"/>
                <w:color w:val="FFFFFF"/>
                <w:sz w:val="28"/>
                <w:szCs w:val="28"/>
              </w:rPr>
              <w:t xml:space="preserve">Hasbro — $100M–$300M Section 301 Exposure</w:t>
            </w:r>
          </w:p>
          <w:p>
            <w:pPr>
              <w:spacing w:after="80" w:before="80"/>
              <w:jc w:val="left"/>
            </w:pPr>
            <w:r>
              <w:rPr>
                <w:rFonts w:ascii="Arial" w:cs="Arial" w:eastAsia="Arial" w:hAnsi="Arial"/>
                <w:b w:val="false"/>
                <w:bCs w:val="false"/>
                <w:i/>
                <w:iCs/>
                <w:color w:val="BDD7EE"/>
                <w:sz w:val="17"/>
                <w:szCs w:val="17"/>
              </w:rPr>
              <w:t xml:space="preserve">Consumer Goods / Toys | Section 301 + IEEPA — 2025</w:t>
            </w:r>
          </w:p>
        </w:tc>
        <w:tc>
          <w:tcPr>
            <w:tcW w:type="dxa" w:w="2880"/>
            <w:tcBorders>
              <w:top w:val="none" w:color="FFFFFF" w:sz="0"/>
              <w:left w:val="none" w:color="FFFFFF" w:sz="0"/>
              <w:bottom w:val="none" w:color="FFFFFF" w:sz="0"/>
              <w:right w:val="none" w:color="FFFFFF" w:sz="0"/>
            </w:tcBorders>
            <w:shd w:fill="7F6000" w:val="clear"/>
            <w:tcMar>
              <w:top w:type="dxa" w:w="100"/>
              <w:left w:type="dxa" w:w="160"/>
              <w:bottom w:type="dxa" w:w="80"/>
              <w:right w:type="dxa" w:w="160"/>
            </w:tcMar>
          </w:tcPr>
          <w:p>
            <w:pPr>
              <w:spacing w:after="20" w:before="80"/>
              <w:jc w:val="center"/>
            </w:pPr>
            <w:r>
              <w:rPr>
                <w:rFonts w:ascii="Arial" w:cs="Arial" w:eastAsia="Arial" w:hAnsi="Arial"/>
                <w:b/>
                <w:bCs/>
                <w:i w:val="false"/>
                <w:iCs w:val="false"/>
                <w:color w:val="FFFFFF"/>
                <w:sz w:val="15"/>
                <w:szCs w:val="15"/>
              </w:rPr>
              <w:t xml:space="preserve">FINANCIAL IMPACT</w:t>
            </w:r>
          </w:p>
          <w:p>
            <w:pPr>
              <w:spacing w:after="80" w:before="80"/>
              <w:jc w:val="center"/>
            </w:pPr>
            <w:r>
              <w:rPr>
                <w:rFonts w:ascii="Arial" w:cs="Arial" w:eastAsia="Arial" w:hAnsi="Arial"/>
                <w:b/>
                <w:bCs/>
                <w:i w:val="false"/>
                <w:iCs w:val="false"/>
                <w:color w:val="FFFFFF"/>
                <w:sz w:val="20"/>
                <w:szCs w:val="20"/>
              </w:rPr>
              <w:t xml:space="preserve">$100M–$300M gross
($200M uncertainty range)</w:t>
            </w:r>
          </w:p>
        </w:tc>
      </w:tr>
    </w:tbl>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200"/>
        <w:jc w:val="left"/>
      </w:pPr>
      <w:r>
        <w:rPr>
          <w:rFonts w:ascii="Arial" w:cs="Arial" w:eastAsia="Arial" w:hAnsi="Arial"/>
          <w:b/>
          <w:bCs/>
          <w:i w:val="false"/>
          <w:iCs w:val="false"/>
          <w:color w:val="2E75B6"/>
          <w:sz w:val="22"/>
          <w:szCs w:val="22"/>
        </w:rPr>
        <w:t xml:space="preserve">Why It Happened</w:t>
      </w:r>
    </w:p>
    <w:p>
      <w:pPr>
        <w:spacing w:after="80" w:before="80"/>
        <w:jc w:val="left"/>
      </w:pPr>
      <w:r>
        <w:rPr>
          <w:rFonts w:ascii="Arial" w:cs="Arial" w:eastAsia="Arial" w:hAnsi="Arial"/>
          <w:b w:val="false"/>
          <w:bCs w:val="false"/>
          <w:i w:val="false"/>
          <w:iCs w:val="false"/>
          <w:color w:val="222222"/>
          <w:sz w:val="20"/>
          <w:szCs w:val="20"/>
        </w:rPr>
        <w:t xml:space="preserve">Hasbro CEO Chris Cocks disclosed in Q1 2025 earnings that US tariffs would create a gross impact of $100M to $300M across the enterprise before any mitigation. The $200M uncertainty range in a single guidance figure is the most important data point: it reflects the opacity of tariff exposure calculation across their product portfolio. Hasbro had no rapid mechanism to re-map exposure by SKU, material input, or manufacturing site as tariff rates escalated unpredictably between 50% and 145%.</w:t>
      </w:r>
    </w:p>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200"/>
        <w:jc w:val="left"/>
      </w:pPr>
      <w:r>
        <w:rPr>
          <w:rFonts w:ascii="Arial" w:cs="Arial" w:eastAsia="Arial" w:hAnsi="Arial"/>
          <w:b/>
          <w:bCs/>
          <w:i w:val="false"/>
          <w:iCs w:val="false"/>
          <w:color w:val="2E75B6"/>
          <w:sz w:val="22"/>
          <w:szCs w:val="22"/>
        </w:rPr>
        <w:t xml:space="preserve">Financial &amp; Operational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Gross tariff impact</w:t>
            </w:r>
          </w:p>
        </w:tc>
        <w:tc>
          <w:tcPr>
            <w:tcW w:type="dxa" w:w="6840"/>
            <w:tcBorders>
              <w:top w:val="single" w:color="CCCCCC" w:sz="1"/>
              <w:left w:val="single" w:color="CCCCCC" w:sz="1"/>
              <w:bottom w:val="single" w:color="CCCCCC" w:sz="1"/>
              <w:right w:val="single" w:color="CCCCCC" w:sz="1"/>
            </w:tcBorders>
            <w:shd w:fill="FFF2CC"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7F6000"/>
                <w:sz w:val="18"/>
                <w:szCs w:val="18"/>
              </w:rPr>
              <w:t xml:space="preserve">$100M–$300M — a $200M uncertainty range reflecting poor supply chain tariff visibility</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Strategic response</w:t>
            </w:r>
          </w:p>
        </w:tc>
        <w:tc>
          <w:tcPr>
            <w:tcW w:type="dxa" w:w="684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8"/>
                <w:szCs w:val="18"/>
              </w:rPr>
              <w:t xml:space="preserve">$1 billion cost savings plan accelerated partly to offset tariff pressure</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Price increases</w:t>
            </w:r>
          </w:p>
        </w:tc>
        <w:tc>
          <w:tcPr>
            <w:tcW w:type="dxa" w:w="684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8"/>
                <w:szCs w:val="18"/>
              </w:rPr>
              <w:t xml:space="preserve">Price hikes confirmed as unavoidable — consumer demand risk</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Employment risk</w:t>
            </w:r>
          </w:p>
        </w:tc>
        <w:tc>
          <w:tcPr>
            <w:tcW w:type="dxa" w:w="6840"/>
            <w:tcBorders>
              <w:top w:val="single" w:color="CCCCCC" w:sz="1"/>
              <w:left w:val="single" w:color="CCCCCC" w:sz="1"/>
              <w:bottom w:val="single" w:color="CCCCCC" w:sz="1"/>
              <w:right w:val="single" w:color="CCCCCC" w:sz="1"/>
            </w:tcBorders>
            <w:shd w:fill="FFF2CC"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7F6000"/>
                <w:sz w:val="18"/>
                <w:szCs w:val="18"/>
              </w:rPr>
              <w:t xml:space="preserve">CEO warned of 'potential job losses as we adjust to absorb increased costs'</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SKU migration</w:t>
            </w:r>
          </w:p>
        </w:tc>
        <w:tc>
          <w:tcPr>
            <w:tcW w:type="dxa" w:w="684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8"/>
                <w:szCs w:val="18"/>
              </w:rPr>
              <w:t xml:space="preserve">Hundreds of US-destined SKUs shifted from China to alternate countries</w:t>
            </w:r>
          </w:p>
        </w:tc>
      </w:tr>
    </w:tbl>
    <w:p>
      <w:pPr>
        <w:spacing w:after="60" w:before="60"/>
        <w:jc w:val="left"/>
      </w:pPr>
      <w:r>
        <w:rPr>
          <w:rFonts w:ascii="Arial" w:cs="Arial" w:eastAsia="Arial" w:hAnsi="Arial"/>
          <w:b w:val="false"/>
          <w:bCs w:val="false"/>
          <w:i w:val="false"/>
          <w:iCs w:val="false"/>
          <w:color w:val="222222"/>
          <w:sz w:val="20"/>
          <w:szCs w:val="20"/>
        </w:rPr>
        <w:t xml:space="preserve"/>
      </w:r>
    </w:p>
    <w:p>
      <w:pPr>
        <w:pBdr>
          <w:left w:val="thick" w:color="70AD47" w:sz="14"/>
        </w:pBdr>
        <w:shd w:fill="E2EFDA" w:val="clear"/>
        <w:spacing w:after="120" w:before="120"/>
        <w:ind w:left="360" w:right="360"/>
        <w:jc w:val="left"/>
      </w:pPr>
      <w:r>
        <w:rPr>
          <w:rFonts w:ascii="Arial" w:cs="Arial" w:eastAsia="Arial" w:hAnsi="Arial"/>
          <w:b/>
          <w:bCs/>
          <w:i w:val="false"/>
          <w:iCs w:val="false"/>
          <w:color w:val="375623"/>
          <w:sz w:val="20"/>
          <w:szCs w:val="20"/>
        </w:rPr>
        <w:t xml:space="preserve">How ECC Prevents This: </w:t>
      </w:r>
      <w:r>
        <w:rPr>
          <w:rFonts w:ascii="Arial" w:cs="Arial" w:eastAsia="Arial" w:hAnsi="Arial"/>
          <w:b w:val="false"/>
          <w:bCs w:val="false"/>
          <w:i w:val="false"/>
          <w:iCs w:val="false"/>
          <w:color w:val="1A3A10"/>
          <w:sz w:val="20"/>
          <w:szCs w:val="20"/>
        </w:rPr>
        <w:t xml:space="preserve">ECC's BOM tariff rollup agent computes HTS code-level tariff exposure per material node and aggregates to finished product — giving Hasbro a product-by-product tariff P&amp;L before results season. The $200M uncertainty range collapses to a specific number with a specific list of SKUs to reprioritise.</w:t>
      </w:r>
    </w:p>
    <w:p>
      <w:pPr>
        <w:spacing w:after="60" w:before="60"/>
        <w:jc w:val="left"/>
      </w:pPr>
      <w:r>
        <w:rPr>
          <w:rFonts w:ascii="Arial" w:cs="Arial" w:eastAsia="Arial" w:hAnsi="Arial"/>
          <w:b w:val="false"/>
          <w:bCs w:val="false"/>
          <w:i w:val="false"/>
          <w:iCs w:val="false"/>
          <w:color w:val="222222"/>
          <w:sz w:val="20"/>
          <w:szCs w:val="20"/>
        </w:rPr>
        <w:t xml:space="preserve"/>
      </w:r>
    </w:p>
    <w:p>
      <w:pPr>
        <w:spacing w:after="40" w:before="40"/>
        <w:jc w:val="left"/>
      </w:pPr>
      <w:r>
        <w:rPr>
          <w:rFonts w:ascii="Arial" w:cs="Arial" w:eastAsia="Arial" w:hAnsi="Arial"/>
          <w:b/>
          <w:bCs/>
          <w:i w:val="false"/>
          <w:iCs w:val="false"/>
          <w:color w:val="666666"/>
          <w:sz w:val="17"/>
          <w:szCs w:val="17"/>
        </w:rPr>
        <w:t xml:space="preserve">Source: </w:t>
      </w:r>
      <w:r>
        <w:rPr>
          <w:rFonts w:ascii="Arial" w:cs="Arial" w:eastAsia="Arial" w:hAnsi="Arial"/>
          <w:b w:val="false"/>
          <w:bCs w:val="false"/>
          <w:i/>
          <w:iCs/>
          <w:color w:val="2E75B6"/>
          <w:sz w:val="17"/>
          <w:szCs w:val="17"/>
        </w:rPr>
        <w:t xml:space="preserve">Supply Chain Dive: Hasbro shifting SKU origins away from China</w:t>
      </w:r>
      <w:r>
        <w:rPr>
          <w:rFonts w:ascii="Arial" w:cs="Arial" w:eastAsia="Arial" w:hAnsi="Arial"/>
          <w:b w:val="false"/>
          <w:bCs w:val="false"/>
          <w:i w:val="false"/>
          <w:iCs w:val="false"/>
          <w:color w:val="888888"/>
          <w:sz w:val="15"/>
          <w:szCs w:val="15"/>
        </w:rPr>
        <w:t xml:space="preserve">  https://www.supplychaindive.com/news/hasbro-tariffs-china-manufacturing-move/746683/</w:t>
      </w:r>
    </w:p>
    <w:p>
      <w:pPr>
        <w:pBdr>
          <w:bottom w:val="single" w:color="D0D0D0" w:sz="4"/>
        </w:pBdr>
        <w:spacing w:after="160" w:before="16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80"/>
        <w:gridCol w:w="2880"/>
      </w:tblGrid>
      <w:tr>
        <w:tc>
          <w:tcPr>
            <w:tcW w:type="dxa" w:w="1200"/>
            <w:tcBorders>
              <w:top w:val="none" w:color="FFFFFF" w:sz="0"/>
              <w:left w:val="none" w:color="FFFFFF" w:sz="0"/>
              <w:bottom w:val="none" w:color="FFFFFF" w:sz="0"/>
              <w:right w:val="none" w:color="FFFFFF" w:sz="0"/>
            </w:tcBorders>
            <w:shd w:fill="C00000" w:val="clear"/>
            <w:tcMar>
              <w:top w:type="dxa" w:w="100"/>
              <w:left w:type="dxa" w:w="120"/>
              <w:bottom w:type="dxa" w:w="100"/>
              <w:right w:type="dxa" w:w="120"/>
            </w:tcMar>
          </w:tcPr>
          <w:p>
            <w:pPr>
              <w:spacing w:after="80" w:before="80"/>
              <w:jc w:val="center"/>
            </w:pPr>
            <w:r>
              <w:rPr>
                <w:rFonts w:ascii="Arial" w:cs="Arial" w:eastAsia="Arial" w:hAnsi="Arial"/>
                <w:b/>
                <w:bCs/>
                <w:i w:val="false"/>
                <w:iCs w:val="false"/>
                <w:color w:val="FFFFFF"/>
                <w:sz w:val="15"/>
                <w:szCs w:val="15"/>
              </w:rPr>
              <w:t xml:space="preserve">CASE</w:t>
            </w:r>
          </w:p>
          <w:p>
            <w:pPr>
              <w:spacing w:after="80" w:before="80"/>
              <w:jc w:val="center"/>
            </w:pPr>
            <w:r>
              <w:rPr>
                <w:rFonts w:ascii="Arial" w:cs="Arial" w:eastAsia="Arial" w:hAnsi="Arial"/>
                <w:b/>
                <w:bCs/>
                <w:i w:val="false"/>
                <w:iCs w:val="false"/>
                <w:color w:val="FFFFFF"/>
                <w:sz w:val="40"/>
                <w:szCs w:val="40"/>
              </w:rPr>
              <w:t xml:space="preserve">06</w:t>
            </w:r>
          </w:p>
        </w:tc>
        <w:tc>
          <w:tcPr>
            <w:tcW w:type="dxa" w:w="5280"/>
            <w:tcBorders>
              <w:top w:val="none" w:color="FFFFFF" w:sz="0"/>
              <w:left w:val="none" w:color="FFFFFF" w:sz="0"/>
              <w:bottom w:val="none" w:color="FFFFFF" w:sz="0"/>
              <w:right w:val="none" w:color="FFFFFF" w:sz="0"/>
            </w:tcBorders>
            <w:shd w:fill="1F4E79" w:val="clear"/>
            <w:tcMar>
              <w:top w:type="dxa" w:w="100"/>
              <w:left w:type="dxa" w:w="240"/>
              <w:bottom w:type="dxa" w:w="80"/>
              <w:right w:type="dxa" w:w="120"/>
            </w:tcMar>
          </w:tcPr>
          <w:p>
            <w:pPr>
              <w:spacing w:after="80" w:before="80"/>
              <w:jc w:val="left"/>
            </w:pPr>
            <w:r>
              <w:rPr>
                <w:rFonts w:ascii="Arial" w:cs="Arial" w:eastAsia="Arial" w:hAnsi="Arial"/>
                <w:b/>
                <w:bCs/>
                <w:i w:val="false"/>
                <w:iCs w:val="false"/>
                <w:color w:val="FFFFFF"/>
                <w:sz w:val="28"/>
                <w:szCs w:val="28"/>
              </w:rPr>
              <w:t xml:space="preserve">GM, Ford &amp; Stellantis — Billion-Dollar Cost Increases</w:t>
            </w:r>
          </w:p>
          <w:p>
            <w:pPr>
              <w:spacing w:after="80" w:before="80"/>
              <w:jc w:val="left"/>
            </w:pPr>
            <w:r>
              <w:rPr>
                <w:rFonts w:ascii="Arial" w:cs="Arial" w:eastAsia="Arial" w:hAnsi="Arial"/>
                <w:b w:val="false"/>
                <w:bCs w:val="false"/>
                <w:i/>
                <w:iCs/>
                <w:color w:val="BDD7EE"/>
                <w:sz w:val="17"/>
                <w:szCs w:val="17"/>
              </w:rPr>
              <w:t xml:space="preserve">Automotive OEM | Section 232 + 301 + IEEPA — 2025</w:t>
            </w:r>
          </w:p>
        </w:tc>
        <w:tc>
          <w:tcPr>
            <w:tcW w:type="dxa" w:w="2880"/>
            <w:tcBorders>
              <w:top w:val="none" w:color="FFFFFF" w:sz="0"/>
              <w:left w:val="none" w:color="FFFFFF" w:sz="0"/>
              <w:bottom w:val="none" w:color="FFFFFF" w:sz="0"/>
              <w:right w:val="none" w:color="FFFFFF" w:sz="0"/>
            </w:tcBorders>
            <w:shd w:fill="C00000" w:val="clear"/>
            <w:tcMar>
              <w:top w:type="dxa" w:w="100"/>
              <w:left w:type="dxa" w:w="160"/>
              <w:bottom w:type="dxa" w:w="80"/>
              <w:right w:type="dxa" w:w="160"/>
            </w:tcMar>
          </w:tcPr>
          <w:p>
            <w:pPr>
              <w:spacing w:after="20" w:before="80"/>
              <w:jc w:val="center"/>
            </w:pPr>
            <w:r>
              <w:rPr>
                <w:rFonts w:ascii="Arial" w:cs="Arial" w:eastAsia="Arial" w:hAnsi="Arial"/>
                <w:b/>
                <w:bCs/>
                <w:i w:val="false"/>
                <w:iCs w:val="false"/>
                <w:color w:val="FFFFFF"/>
                <w:sz w:val="15"/>
                <w:szCs w:val="15"/>
              </w:rPr>
              <w:t xml:space="preserve">FINANCIAL IMPACT</w:t>
            </w:r>
          </w:p>
          <w:p>
            <w:pPr>
              <w:spacing w:after="80" w:before="80"/>
              <w:jc w:val="center"/>
            </w:pPr>
            <w:r>
              <w:rPr>
                <w:rFonts w:ascii="Arial" w:cs="Arial" w:eastAsia="Arial" w:hAnsi="Arial"/>
                <w:b/>
                <w:bCs/>
                <w:i w:val="false"/>
                <w:iCs w:val="false"/>
                <w:color w:val="FFFFFF"/>
                <w:sz w:val="20"/>
                <w:szCs w:val="20"/>
              </w:rPr>
              <w:t xml:space="preserve">$1.1B / $0.8B / $0.5B
annual per OEM</w:t>
            </w:r>
          </w:p>
        </w:tc>
      </w:tr>
    </w:tbl>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200"/>
        <w:jc w:val="left"/>
      </w:pPr>
      <w:r>
        <w:rPr>
          <w:rFonts w:ascii="Arial" w:cs="Arial" w:eastAsia="Arial" w:hAnsi="Arial"/>
          <w:b/>
          <w:bCs/>
          <w:i w:val="false"/>
          <w:iCs w:val="false"/>
          <w:color w:val="2E75B6"/>
          <w:sz w:val="22"/>
          <w:szCs w:val="22"/>
        </w:rPr>
        <w:t xml:space="preserve">Why It Happened</w:t>
      </w:r>
    </w:p>
    <w:p>
      <w:pPr>
        <w:spacing w:after="80" w:before="80"/>
        <w:jc w:val="left"/>
      </w:pPr>
      <w:r>
        <w:rPr>
          <w:rFonts w:ascii="Arial" w:cs="Arial" w:eastAsia="Arial" w:hAnsi="Arial"/>
          <w:b w:val="false"/>
          <w:bCs w:val="false"/>
          <w:i w:val="false"/>
          <w:iCs w:val="false"/>
          <w:color w:val="222222"/>
          <w:sz w:val="20"/>
          <w:szCs w:val="20"/>
        </w:rPr>
        <w:t xml:space="preserve">A 25% tariff on auto parts, Section 232 on steel and aluminum, Section 301 on Chinese components, and IEEPA reciprocal tariffs created cascading cost pressure across US automotive OEMs in 2025. In April 2025, China imposed export licence requirements on seven rare earth elements — all essential to NdFeB motor magnets used in EV traction motors. When China's export control landed, 'which of our assemblies are affected and by how much?' could not be answered from any existing system. Manual BOM review across thousands of components would take weeks.</w:t>
      </w:r>
    </w:p>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200"/>
        <w:jc w:val="left"/>
      </w:pPr>
      <w:r>
        <w:rPr>
          <w:rFonts w:ascii="Arial" w:cs="Arial" w:eastAsia="Arial" w:hAnsi="Arial"/>
          <w:b/>
          <w:bCs/>
          <w:i w:val="false"/>
          <w:iCs w:val="false"/>
          <w:color w:val="2E75B6"/>
          <w:sz w:val="22"/>
          <w:szCs w:val="22"/>
        </w:rPr>
        <w:t xml:space="preserve">Financial &amp; Operational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GM annual tariff impact</w:t>
            </w:r>
          </w:p>
        </w:tc>
        <w:tc>
          <w:tcPr>
            <w:tcW w:type="dxa" w:w="6840"/>
            <w:tcBorders>
              <w:top w:val="single" w:color="CCCCCC" w:sz="1"/>
              <w:left w:val="single" w:color="CCCCCC" w:sz="1"/>
              <w:bottom w:val="single" w:color="CCCCCC" w:sz="1"/>
              <w:right w:val="single" w:color="CCCCCC" w:sz="1"/>
            </w:tcBorders>
            <w:shd w:fill="FFF2CC"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7F6000"/>
                <w:sz w:val="18"/>
                <w:szCs w:val="18"/>
              </w:rPr>
              <w:t xml:space="preserve">~$1.1B annual cost increase from 25pp auto parts tariff (QAD/GlobalData modelling)</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Ford annual tariff impact</w:t>
            </w:r>
          </w:p>
        </w:tc>
        <w:tc>
          <w:tcPr>
            <w:tcW w:type="dxa" w:w="6840"/>
            <w:tcBorders>
              <w:top w:val="single" w:color="CCCCCC" w:sz="1"/>
              <w:left w:val="single" w:color="CCCCCC" w:sz="1"/>
              <w:bottom w:val="single" w:color="CCCCCC" w:sz="1"/>
              <w:right w:val="single" w:color="CCCCCC" w:sz="1"/>
            </w:tcBorders>
            <w:shd w:fill="FFF2CC"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7F6000"/>
                <w:sz w:val="18"/>
                <w:szCs w:val="18"/>
              </w:rPr>
              <w:t xml:space="preserve">~$0.8B annual cost increase from same scenario</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Stellantis annual tariff impact</w:t>
            </w:r>
          </w:p>
        </w:tc>
        <w:tc>
          <w:tcPr>
            <w:tcW w:type="dxa" w:w="684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8"/>
                <w:szCs w:val="18"/>
              </w:rPr>
              <w:t xml:space="preserve">~$0.5B annual cost increase</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Rare earth exposure</w:t>
            </w:r>
          </w:p>
        </w:tc>
        <w:tc>
          <w:tcPr>
            <w:tcW w:type="dxa" w:w="684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8"/>
                <w:szCs w:val="18"/>
              </w:rPr>
              <w:t xml:space="preserve">7 elements under China export licence — critical to NdFeB magnets across all EV platforms</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Semiconductor tariff (projected)</w:t>
            </w:r>
          </w:p>
        </w:tc>
        <w:tc>
          <w:tcPr>
            <w:tcW w:type="dxa" w:w="6840"/>
            <w:tcBorders>
              <w:top w:val="single" w:color="CCCCCC" w:sz="1"/>
              <w:left w:val="single" w:color="CCCCCC" w:sz="1"/>
              <w:bottom w:val="single" w:color="CCCCCC" w:sz="1"/>
              <w:right w:val="single" w:color="CCCCCC" w:sz="1"/>
            </w:tcBorders>
            <w:shd w:fill="FFF2CC"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7F6000"/>
                <w:sz w:val="18"/>
                <w:szCs w:val="18"/>
              </w:rPr>
              <w:t xml:space="preserve">Section 301 semiconductor tariffs in June 2027 could add $1,100+ per vehicle (S&amp;P Global)</w:t>
            </w:r>
          </w:p>
        </w:tc>
      </w:tr>
    </w:tbl>
    <w:p>
      <w:pPr>
        <w:spacing w:after="60" w:before="60"/>
        <w:jc w:val="left"/>
      </w:pPr>
      <w:r>
        <w:rPr>
          <w:rFonts w:ascii="Arial" w:cs="Arial" w:eastAsia="Arial" w:hAnsi="Arial"/>
          <w:b w:val="false"/>
          <w:bCs w:val="false"/>
          <w:i w:val="false"/>
          <w:iCs w:val="false"/>
          <w:color w:val="222222"/>
          <w:sz w:val="20"/>
          <w:szCs w:val="20"/>
        </w:rPr>
        <w:t xml:space="preserve"/>
      </w:r>
    </w:p>
    <w:p>
      <w:pPr>
        <w:pBdr>
          <w:left w:val="thick" w:color="70AD47" w:sz="14"/>
        </w:pBdr>
        <w:shd w:fill="E2EFDA" w:val="clear"/>
        <w:spacing w:after="120" w:before="120"/>
        <w:ind w:left="360" w:right="360"/>
        <w:jc w:val="left"/>
      </w:pPr>
      <w:r>
        <w:rPr>
          <w:rFonts w:ascii="Arial" w:cs="Arial" w:eastAsia="Arial" w:hAnsi="Arial"/>
          <w:b/>
          <w:bCs/>
          <w:i w:val="false"/>
          <w:iCs w:val="false"/>
          <w:color w:val="375623"/>
          <w:sz w:val="20"/>
          <w:szCs w:val="20"/>
        </w:rPr>
        <w:t xml:space="preserve">How ECC Prevents This: </w:t>
      </w:r>
      <w:r>
        <w:rPr>
          <w:rFonts w:ascii="Arial" w:cs="Arial" w:eastAsia="Arial" w:hAnsi="Arial"/>
          <w:b w:val="false"/>
          <w:bCs w:val="false"/>
          <w:i w:val="false"/>
          <w:iCs w:val="false"/>
          <w:color w:val="1A3A10"/>
          <w:sz w:val="20"/>
          <w:szCs w:val="20"/>
        </w:rPr>
        <w:t xml:space="preserve">ECC's NdFeB chain — bastnäsite → Nd oxide → Nd metal → NdFeB → motor magnet → traction motor — with geographic concentration scores at every node. When China's April 2025 export control dropped, ECC would have produced the assembly-level impact analysis and dollar-per-vehicle cost in a single graph traversal. No manual BOM review required.</w:t>
      </w:r>
    </w:p>
    <w:p>
      <w:pPr>
        <w:spacing w:after="60" w:before="60"/>
        <w:jc w:val="left"/>
      </w:pPr>
      <w:r>
        <w:rPr>
          <w:rFonts w:ascii="Arial" w:cs="Arial" w:eastAsia="Arial" w:hAnsi="Arial"/>
          <w:b w:val="false"/>
          <w:bCs w:val="false"/>
          <w:i w:val="false"/>
          <w:iCs w:val="false"/>
          <w:color w:val="222222"/>
          <w:sz w:val="20"/>
          <w:szCs w:val="20"/>
        </w:rPr>
        <w:t xml:space="preserve"/>
      </w:r>
    </w:p>
    <w:p>
      <w:pPr>
        <w:spacing w:after="40" w:before="40"/>
        <w:jc w:val="left"/>
      </w:pPr>
      <w:r>
        <w:rPr>
          <w:rFonts w:ascii="Arial" w:cs="Arial" w:eastAsia="Arial" w:hAnsi="Arial"/>
          <w:b/>
          <w:bCs/>
          <w:i w:val="false"/>
          <w:iCs w:val="false"/>
          <w:color w:val="666666"/>
          <w:sz w:val="17"/>
          <w:szCs w:val="17"/>
        </w:rPr>
        <w:t xml:space="preserve">Source: </w:t>
      </w:r>
      <w:r>
        <w:rPr>
          <w:rFonts w:ascii="Arial" w:cs="Arial" w:eastAsia="Arial" w:hAnsi="Arial"/>
          <w:b w:val="false"/>
          <w:bCs w:val="false"/>
          <w:i/>
          <w:iCs/>
          <w:color w:val="2E75B6"/>
          <w:sz w:val="17"/>
          <w:szCs w:val="17"/>
        </w:rPr>
        <w:t xml:space="preserve">QAD Blog: Trump Tariffs — Implications for Automotive Supply Chains</w:t>
      </w:r>
      <w:r>
        <w:rPr>
          <w:rFonts w:ascii="Arial" w:cs="Arial" w:eastAsia="Arial" w:hAnsi="Arial"/>
          <w:b w:val="false"/>
          <w:bCs w:val="false"/>
          <w:i w:val="false"/>
          <w:iCs w:val="false"/>
          <w:color w:val="888888"/>
          <w:sz w:val="15"/>
          <w:szCs w:val="15"/>
        </w:rPr>
        <w:t xml:space="preserve">  https://www.qad.com/blog/2025/06/the-status-of-trump-tariffs-implications-for-automotive-supply-chains</w:t>
      </w:r>
    </w:p>
    <w:p>
      <w:pPr>
        <w:spacing w:after="40" w:before="40"/>
        <w:jc w:val="left"/>
      </w:pPr>
      <w:r>
        <w:rPr>
          <w:rFonts w:ascii="Arial" w:cs="Arial" w:eastAsia="Arial" w:hAnsi="Arial"/>
          <w:b/>
          <w:bCs/>
          <w:i w:val="false"/>
          <w:iCs w:val="false"/>
          <w:color w:val="666666"/>
          <w:sz w:val="17"/>
          <w:szCs w:val="17"/>
        </w:rPr>
        <w:t xml:space="preserve">Source: </w:t>
      </w:r>
      <w:r>
        <w:rPr>
          <w:rFonts w:ascii="Arial" w:cs="Arial" w:eastAsia="Arial" w:hAnsi="Arial"/>
          <w:b w:val="false"/>
          <w:bCs w:val="false"/>
          <w:i/>
          <w:iCs/>
          <w:color w:val="2E75B6"/>
          <w:sz w:val="17"/>
          <w:szCs w:val="17"/>
        </w:rPr>
        <w:t xml:space="preserve">CNBC: Trump's China tariff increase affects Ford and GM</w:t>
      </w:r>
      <w:r>
        <w:rPr>
          <w:rFonts w:ascii="Arial" w:cs="Arial" w:eastAsia="Arial" w:hAnsi="Arial"/>
          <w:b w:val="false"/>
          <w:bCs w:val="false"/>
          <w:i w:val="false"/>
          <w:iCs w:val="false"/>
          <w:color w:val="888888"/>
          <w:sz w:val="15"/>
          <w:szCs w:val="15"/>
        </w:rPr>
        <w:t xml:space="preserve">  https://www.nbcphiladelphia.com/news/business/money-report/trumps-china-tariff-increase-affects-ford-and-gm-vehicles/4100650/</w:t>
      </w:r>
    </w:p>
    <w:p>
      <w:pPr>
        <w:pBdr>
          <w:bottom w:val="single" w:color="D0D0D0" w:sz="4"/>
        </w:pBdr>
        <w:spacing w:after="160" w:before="160"/>
        <w:jc w:val="left"/>
      </w:pPr>
      <w:r>
        <w:rPr>
          <w:rFonts w:ascii="Arial" w:cs="Arial" w:eastAsia="Arial" w:hAnsi="Arial"/>
          <w:b w:val="false"/>
          <w:bCs w:val="false"/>
          <w:i w:val="false"/>
          <w:iCs w:val="false"/>
          <w:color w:val="222222"/>
          <w:sz w:val="20"/>
          <w:szCs w:val="20"/>
        </w:rPr>
        <w:t xml:space="preserve"/>
      </w:r>
    </w:p>
    <w:p>
      <w:pPr>
        <w:shd w:fill="1F4E79" w:val="clear"/>
        <w:spacing w:after="160" w:before="400"/>
        <w:ind w:left="180"/>
        <w:jc w:val="left"/>
      </w:pPr>
      <w:r>
        <w:rPr>
          <w:rFonts w:ascii="Arial" w:cs="Arial" w:eastAsia="Arial" w:hAnsi="Arial"/>
          <w:b/>
          <w:bCs/>
          <w:i w:val="false"/>
          <w:iCs w:val="false"/>
          <w:color w:val="FFFFFF"/>
          <w:sz w:val="32"/>
          <w:szCs w:val="32"/>
        </w:rPr>
        <w:t xml:space="preserve">The Common Thread</w:t>
      </w:r>
    </w:p>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80"/>
        <w:jc w:val="left"/>
      </w:pPr>
      <w:r>
        <w:rPr>
          <w:rFonts w:ascii="Arial" w:cs="Arial" w:eastAsia="Arial" w:hAnsi="Arial"/>
          <w:b w:val="false"/>
          <w:bCs w:val="false"/>
          <w:i w:val="false"/>
          <w:iCs w:val="false"/>
          <w:color w:val="222222"/>
          <w:sz w:val="20"/>
          <w:szCs w:val="20"/>
        </w:rPr>
        <w:t xml:space="preserve">Six incidents. Two regulatory mechanisms. Four sectors. One root cause.</w:t>
      </w:r>
    </w:p>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80"/>
        <w:jc w:val="left"/>
      </w:pPr>
      <w:r>
        <w:rPr>
          <w:rFonts w:ascii="Arial" w:cs="Arial" w:eastAsia="Arial" w:hAnsi="Arial"/>
          <w:b w:val="false"/>
          <w:bCs w:val="false"/>
          <w:i w:val="false"/>
          <w:iCs w:val="false"/>
          <w:color w:val="222222"/>
          <w:sz w:val="20"/>
          <w:szCs w:val="20"/>
        </w:rPr>
        <w:t xml:space="preserve">In every case: the company knew its Tier-1 suppliers. It did not know what was inside those suppliers' products — at the material level, the HS code level, the origin level. ECC maps materials — not just suppliers. From finished assembly to raw ore. HS codes at every level. Geographic origin at every level. Tariff exposure calculated per BOM position. UFLPA entity flags traced to the specific component across every vehicle line simultaneously.</w:t>
      </w:r>
    </w:p>
    <w:p>
      <w:pPr>
        <w:spacing w:after="60" w:before="60"/>
        <w:jc w:val="left"/>
      </w:pPr>
      <w:r>
        <w:rPr>
          <w:rFonts w:ascii="Arial" w:cs="Arial" w:eastAsia="Arial" w:hAnsi="Arial"/>
          <w:b w:val="false"/>
          <w:bCs w:val="false"/>
          <w:i w:val="false"/>
          <w:iCs w:val="false"/>
          <w:color w:val="222222"/>
          <w:sz w:val="20"/>
          <w:szCs w:val="20"/>
        </w:rPr>
        <w:t xml:space="preserve"/>
      </w:r>
    </w:p>
    <w:p>
      <w:pPr>
        <w:pBdr>
          <w:left w:val="thick" w:color="2E75B6" w:sz="14"/>
        </w:pBdr>
        <w:shd w:fill="DEEAF1" w:val="clear"/>
        <w:spacing w:after="120" w:before="120"/>
        <w:ind w:left="360" w:right="360"/>
        <w:jc w:val="left"/>
      </w:pPr>
      <w:r>
        <w:rPr>
          <w:rFonts w:ascii="Arial" w:cs="Arial" w:eastAsia="Arial" w:hAnsi="Arial"/>
          <w:b/>
          <w:bCs/>
          <w:i w:val="false"/>
          <w:iCs w:val="false"/>
          <w:color w:val="1F4E79"/>
          <w:sz w:val="20"/>
          <w:szCs w:val="20"/>
        </w:rPr>
        <w:t xml:space="preserve">The question is not whether CBP will look deeper.</w:t>
      </w:r>
      <w:r>
        <w:rPr>
          <w:rFonts w:ascii="Arial" w:cs="Arial" w:eastAsia="Arial" w:hAnsi="Arial"/>
          <w:b w:val="false"/>
          <w:bCs w:val="false"/>
          <w:i w:val="false"/>
          <w:iCs w:val="false"/>
          <w:color w:val="222222"/>
          <w:sz w:val="20"/>
          <w:szCs w:val="20"/>
        </w:rPr>
        <w:t xml:space="preserve"> They already are. Automotive went from 4% to 86% of UFLPA detentions in 12 months. CBP collected $195 billion in duties in FY2025 — 250% more than the year before. The enforcement machine is better funded, better targeted, and better equipped than at any point in US customs history. The question is whether your supply chain intelligence sees what CBP can see — before they do.</w:t>
      </w:r>
    </w:p>
    <w:p>
      <w:pPr>
        <w:spacing w:after="60" w:before="60"/>
        <w:jc w:val="left"/>
      </w:pPr>
      <w:r>
        <w:rPr>
          <w:rFonts w:ascii="Arial" w:cs="Arial" w:eastAsia="Arial" w:hAnsi="Arial"/>
          <w:b w:val="false"/>
          <w:bCs w:val="false"/>
          <w:i w:val="false"/>
          <w:iCs w:val="false"/>
          <w:color w:val="222222"/>
          <w:sz w:val="20"/>
          <w:szCs w:val="20"/>
        </w:rPr>
        <w:t xml:space="preserve"/>
      </w:r>
    </w:p>
    <w:p>
      <w:pPr>
        <w:pBdr>
          <w:top w:val="single" w:color="D0D0D0" w:sz="4"/>
        </w:pBdr>
        <w:spacing w:after="0" w:before="240"/>
      </w:pPr>
      <w:r>
        <w:rPr>
          <w:rFonts w:ascii="Arial" w:cs="Arial" w:eastAsia="Arial" w:hAnsi="Arial"/>
          <w:b w:val="false"/>
          <w:bCs w:val="false"/>
          <w:i/>
          <w:iCs/>
          <w:color w:val="999999"/>
          <w:sz w:val="16"/>
          <w:szCs w:val="16"/>
        </w:rPr>
        <w:t xml:space="preserve">ECC / PMG Supply Chain Intelligence  |  Supplementary Research Document v3 — May 2026  |  All financial figures from company disclosures, congressional reports, CBP data, or analyst modelling as cited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2cc48b215dc7127ad28a0deee102732365e9041.png"/><Relationship Id="rId8" Type="http://schemas.openxmlformats.org/officeDocument/2006/relationships/image" Target="media/6d1fedab29983b877a7cff88c2a457cba27249e9.png"/><Relationship Id="rId9" Type="http://schemas.openxmlformats.org/officeDocument/2006/relationships/image" Target="media/28730322b88d66d8df9d73a7565f999ab680eea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2026-05-29T01:59:38.409Z</dcterms:created>
  <dcterms:modified xsi:type="dcterms:W3CDTF">2026-05-29T01:59:38.423Z</dcterms:modified>
</cp:coreProperties>
</file>

<file path=docProps/custom.xml><?xml version="1.0" encoding="utf-8"?>
<Properties xmlns="http://schemas.openxmlformats.org/officeDocument/2006/custom-properties" xmlns:vt="http://schemas.openxmlformats.org/officeDocument/2006/docPropsVTypes"/>
</file>