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DATOS DEL CLIENTE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Empresa: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[Nombre de la empresa]</w:t>
            </w:r>
          </w:p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Contacto: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[Nombre y apellidos]</w:t>
            </w:r>
          </w:p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Email: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[email@empresa.com]</w:t>
            </w:r>
          </w:p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Teléfono: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[Número de contacto]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CONDICIONES GENERALES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Válido hasta: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04/06/2026 (30 días)</w:t>
            </w:r>
          </w:p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Oferta: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Exclusiva primeros 4 clientes</w:t>
            </w:r>
          </w:p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Moneda: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Euro (€) — precios sin IVA</w:t>
            </w:r>
          </w:p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IVA: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21% aplicable según normativa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9C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⭐  OFERTA ESPECIAL PRIMEROS 4 CLIENTES  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Precios promocionales exclusivos — plazas limitadas</w:t>
            </w:r>
          </w:p>
        </w:tc>
      </w:tr>
    </w:tbl>
    <w:p>
      <w:pPr>
        <w:pBdr>
          <w:bottom w:val="single" w:color="2563A8" w:sz="8" w:space="4"/>
        </w:pBdr>
        <w:spacing w:after="10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SERVICIO 1 — Claude Kick-Off Day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Puesta en marcha completa de tu sistema de IA y primeras automatizaciones.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Qué incluye: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Análisis inicial del negocio y mapa de automatizaciones prioritarias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Configuración completa de Claude con memoria, skills y contexto de empresa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Diseño e implementación de automatizaciones con N8N (hasta 3 flujos)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Integración con el servidor NUC (disponibilidad 24/7) para ejecución continua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Traspaso de conocimiento: formación básica al equipo para uso autónomo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Acceso al curso online «Claude Kick-Off Day» (valor: 69 €)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Precio oferta (1º–4º cliente)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32"/>
                <w:szCs w:val="32"/>
              </w:rPr>
              <w:t xml:space="preserve">895 € + IVA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Precio estándar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/>
                <w:color w:val="475569"/>
                <w:sz w:val="28"/>
                <w:szCs w:val="28"/>
              </w:rPr>
              <w:t xml:space="preserve">2.500 € + IVA</w:t>
            </w:r>
          </w:p>
        </w:tc>
      </w:tr>
    </w:tbl>
    <w:p>
      <w:pPr>
        <w:pBdr>
          <w:bottom w:val="single" w:color="2563A8" w:sz="8" w:space="4"/>
        </w:pBdr>
        <w:spacing w:after="10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SERVICIO 2 — Evolución Continua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Cuota mensual recurrente — tu IA mejora cada mes, no solo el día de la instalación.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563A8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¿Por qué una cuota mensual?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Anthropic actualiza el modelo de Claude de manera continua. Un cambio en su comportamiento puede afectar tus flujos sin previo aviso. Además, tu negocio evoluciona: nuevos procesos, nuevos contextos, nuevas oportunidades de automatizar. La cuota de Evolución Continua garantiza que tu sistema de IA no se queda estancado, sino que mejora mes a mes — de forma proactiva, sin que tú tengas que preocuparte.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No es mantenimiento reactivo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(«arreglar lo que se rompe»). Es </w:t>
            </w: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evolución activa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(«cada mes funciona mejor»).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Qué incluye: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Monitorización proactiva de todas las automatizaciones activas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Actualizaciones ante cambios de versión del modelo de Claude (Anthropic actualiza frecuentemente)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Hasta 2 horas de mejoras o refinamientos mensuales incluidas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Revisión trimestral de rendimiento y detección de nuevas oportunidades de automatización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Soporte por incidencias con respuesta garantizada en 24 h laborables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Acceso prioritario para presupuesto de nuevas automatizaciones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Precio oferta (1º–4º cliente)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32"/>
                <w:szCs w:val="32"/>
              </w:rPr>
              <w:t xml:space="preserve">197 €/mes + IVA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Precio estándar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/>
                <w:color w:val="475569"/>
                <w:sz w:val="28"/>
                <w:szCs w:val="28"/>
              </w:rPr>
              <w:t xml:space="preserve">297 €/mes + IVA</w:t>
            </w:r>
          </w:p>
        </w:tc>
      </w:tr>
    </w:tbl>
    <w:p>
      <w:pPr>
        <w:pBdr>
          <w:bottom w:val="single" w:color="2563A8" w:sz="8" w:space="4"/>
        </w:pBdr>
        <w:spacing w:after="10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NUEVAS AUTOMATIZACIONES (adicionales)</w:t>
      </w:r>
    </w:p>
    <w:p>
      <w:pPr>
        <w:spacing w:after="14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Cualquier automatización o integración adicional fuera del alcance del Kick-Off Day se presupuesta de manera independiente como una nueva cuota de configuración. El coste depende de la complejidad del flujo.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Automatización simple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(1 flujo, integración directa)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desde 495 € + IVA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Automatización avanzada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(múltiples flujos o integraciones)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26"/>
                <w:szCs w:val="26"/>
              </w:rPr>
              <w:t xml:space="preserve">desde 895 € + IVA</w:t>
            </w:r>
          </w:p>
        </w:tc>
      </w:tr>
    </w:tbl>
    <w:p>
      <w:pPr>
        <w:pBdr>
          <w:bottom w:val="single" w:color="2563A8" w:sz="8" w:space="4"/>
        </w:pBdr>
        <w:spacing w:after="10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RESUMEN ECONÓMICO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500"/>
        <w:gridCol w:w="1500"/>
        <w:gridCol w:w="2138"/>
      </w:tblGrid>
      <w:t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13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s/ IVA</w:t>
            </w:r>
          </w:p>
        </w:tc>
        <w:tc>
          <w:tcPr>
            <w:tcW w:type="dxa" w:w="15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IVA (21%)</w:t>
            </w:r>
          </w:p>
        </w:tc>
        <w:tc>
          <w:tcPr>
            <w:tcW w:type="dxa" w:w="2138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c/ IVA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Claude Kick-Off Day</w:t>
            </w:r>
          </w:p>
          <w:p>
            <w:r>
              <w:rPr>
                <w:rFonts w:ascii="Arial" w:cs="Arial" w:eastAsia="Arial" w:hAnsi="Arial"/>
                <w:i/>
                <w:iCs/>
                <w:color w:val="475569"/>
                <w:sz w:val="17"/>
                <w:szCs w:val="17"/>
              </w:rPr>
              <w:t xml:space="preserve">Configuración inicial completa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Pago único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895,00 €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187,95 €</w:t>
            </w:r>
          </w:p>
        </w:tc>
        <w:tc>
          <w:tcPr>
            <w:tcW w:type="dxa" w:w="21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1.082,95 €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Evolución Continua</w:t>
            </w:r>
          </w:p>
          <w:p>
            <w:r>
              <w:rPr>
                <w:rFonts w:ascii="Arial" w:cs="Arial" w:eastAsia="Arial" w:hAnsi="Arial"/>
                <w:i/>
                <w:iCs/>
                <w:color w:val="475569"/>
                <w:sz w:val="17"/>
                <w:szCs w:val="17"/>
              </w:rPr>
              <w:t xml:space="preserve">Cuota mensual (permanencia mín. 3 meses)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Mensual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197,00 €/mes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41,37 €/mes</w:t>
            </w:r>
          </w:p>
        </w:tc>
        <w:tc>
          <w:tcPr>
            <w:tcW w:type="dxa" w:w="21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238,37 €/mes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PRIMER TRIMESTRE</w:t>
            </w:r>
          </w:p>
          <w:p>
            <w:r>
              <w:rPr>
                <w:rFonts w:ascii="Arial" w:cs="Arial" w:eastAsia="Arial" w:hAnsi="Arial"/>
                <w:i/>
                <w:iCs/>
                <w:color w:val="BFDBFE"/>
                <w:sz w:val="17"/>
                <w:szCs w:val="17"/>
              </w:rPr>
              <w:t xml:space="preserve">(Kick-Off Day + 3 meses Evolución Continua)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1.486,00 €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312,06 €</w:t>
            </w:r>
          </w:p>
        </w:tc>
        <w:tc>
          <w:tcPr>
            <w:tcW w:type="dxa" w:w="21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EF9C3"/>
                <w:sz w:val="24"/>
                <w:szCs w:val="24"/>
              </w:rPr>
              <w:t xml:space="preserve">1.798,06 €</w:t>
            </w:r>
          </w:p>
        </w:tc>
      </w:tr>
    </w:tbl>
    <w:p>
      <w:pPr>
        <w:pBdr>
          <w:bottom w:val="single" w:color="2563A8" w:sz="8" w:space="4"/>
        </w:pBdr>
        <w:spacing w:after="10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CONDICIONES DE PAGO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Claude Kick-Off Day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50% a la firma del presupuesto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50% a la entrega y puesta en marcha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Forma de pago: transferencia bancaria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Evolución Continua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Facturación mensual anticipada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Forma de pago: domiciliación bancaria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Permanencia mínima: 3 meses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Cancelación con 30 días de preaviso</w:t>
            </w:r>
          </w:p>
        </w:tc>
      </w:tr>
    </w:tbl>
    <w:p>
      <w:pPr>
        <w:pBdr>
          <w:bottom w:val="single" w:color="2563A8" w:sz="8" w:space="4"/>
        </w:pBdr>
        <w:spacing w:after="10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ACEPTACIÓN DEL PRESUPUESTO</w:t>
      </w:r>
    </w:p>
    <w:p>
      <w:pPr>
        <w:spacing w:after="20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La firma de este documento implica la aceptación de las condiciones descritas y da inicio al proceso de onboarding.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Por el cliente:</w:t>
            </w:r>
          </w:p>
          <w:p>
            <w:pPr>
              <w:spacing w:after="3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CBD5E1" w:sz="4" w:space="4"/>
              </w:pBdr>
            </w:pPr>
            <w:r>
              <w:rPr>
                <w:rFonts w:ascii="Arial" w:cs="Arial" w:eastAsia="Arial" w:hAnsi="Arial"/>
                <w:i/>
                <w:iCs/>
                <w:color w:val="475569"/>
                <w:sz w:val="17"/>
                <w:szCs w:val="17"/>
              </w:rPr>
              <w:t xml:space="preserve">Nombre, firma y fecha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Por Equia:</w:t>
            </w:r>
          </w:p>
          <w:p>
            <w:pPr>
              <w:spacing w:after="3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CBD5E1" w:sz="4" w:space="4"/>
              </w:pBdr>
            </w:pPr>
            <w:r>
              <w:rPr>
                <w:rFonts w:ascii="Arial" w:cs="Arial" w:eastAsia="Arial" w:hAnsi="Arial"/>
                <w:i/>
                <w:iCs/>
                <w:color w:val="475569"/>
                <w:sz w:val="17"/>
                <w:szCs w:val="17"/>
              </w:rPr>
              <w:t xml:space="preserve">María — Equia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Gracias por confiar en Equia para transformar tu negocio con IA. Estamos encantadas de acompañarte en este proceso.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</w:pPr>
    <w:r>
      <w:rPr>
        <w:rFonts w:ascii="Arial" w:cs="Arial" w:eastAsia="Arial" w:hAnsi="Arial"/>
        <w:color w:val="475569"/>
        <w:sz w:val="16"/>
        <w:szCs w:val="16"/>
      </w:rPr>
      <w:t xml:space="preserve">Equia • empresarioscrecenconia.es • mov8891@gmail.com</w:t>
    </w:r>
    <w:r>
      <w:rPr>
        <w:rFonts w:ascii="Arial" w:cs="Arial" w:eastAsia="Arial" w:hAnsi="Arial"/>
        <w:color w:val="475569"/>
        <w:sz w:val="16"/>
        <w:szCs w:val="16"/>
      </w:rPr>
      <w:t xml:space="preserve">     Página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500"/>
      <w:gridCol w:w="4138"/>
    </w:tblGrid>
    <w:tr>
      <w:tc>
        <w:tcPr>
          <w:tcW w:type="dxa" w:w="5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200"/>
            <w:bottom w:type="dxa" w:w="12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34"/>
              <w:szCs w:val="34"/>
            </w:rPr>
            <w:t xml:space="preserve">EQUIA</w:t>
          </w:r>
        </w:p>
        <w:p>
          <w:r>
            <w:rPr>
              <w:rFonts w:ascii="Arial" w:cs="Arial" w:eastAsia="Arial" w:hAnsi="Arial"/>
              <w:color w:val="93C5FD"/>
              <w:sz w:val="18"/>
              <w:szCs w:val="18"/>
            </w:rPr>
            <w:t xml:space="preserve">empresarioscrecenconia.es</w:t>
          </w:r>
        </w:p>
      </w:tc>
      <w:tc>
        <w:tcPr>
          <w:tcW w:type="dxa" w:w="41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563A8" w:val="clear"/>
          <w:tcMar>
            <w:top w:type="dxa" w:w="120"/>
            <w:left w:type="dxa" w:w="200"/>
            <w:bottom w:type="dxa" w:w="12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PRESUPUESTO DE SERVICIOS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BFDBFE"/>
              <w:sz w:val="18"/>
              <w:szCs w:val="18"/>
            </w:rPr>
            <w:t xml:space="preserve">Nº ECQ-2026-001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BFDBFE"/>
              <w:sz w:val="18"/>
              <w:szCs w:val="18"/>
            </w:rPr>
            <w:t xml:space="preserve">Fecha: 05/05/2026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2026-05-05T06:34:51.197Z</dcterms:created>
  <dcterms:modified xsi:type="dcterms:W3CDTF">2026-05-05T06:34:51.198Z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