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4E323" w14:textId="450A7AB9" w:rsidR="005C0A23" w:rsidRPr="005C0A23" w:rsidRDefault="005C0A23" w:rsidP="005C0A23">
      <w:pPr>
        <w:jc w:val="center"/>
        <w:rPr>
          <w:b/>
          <w:bCs/>
          <w:sz w:val="28"/>
          <w:szCs w:val="28"/>
        </w:rPr>
      </w:pPr>
      <w:r w:rsidRPr="005C0A23">
        <w:rPr>
          <w:b/>
          <w:bCs/>
          <w:sz w:val="28"/>
          <w:szCs w:val="28"/>
        </w:rPr>
        <w:t>Inventory of Supporting Information</w:t>
      </w:r>
    </w:p>
    <w:p w14:paraId="6F4895F4" w14:textId="77777777" w:rsidR="005C0A23" w:rsidRPr="005C0A23" w:rsidRDefault="005C0A23" w:rsidP="005C0A23">
      <w:pPr>
        <w:jc w:val="center"/>
        <w:rPr>
          <w:b/>
          <w:bCs/>
        </w:rPr>
      </w:pPr>
    </w:p>
    <w:p w14:paraId="0E149073" w14:textId="6BBA008B" w:rsidR="009D703F" w:rsidRPr="007507D2" w:rsidRDefault="0030377E" w:rsidP="009D703F">
      <w:pPr>
        <w:jc w:val="both"/>
      </w:pPr>
      <w:r w:rsidRPr="007507D2">
        <w:rPr>
          <w:b/>
          <w:bCs/>
        </w:rPr>
        <w:t xml:space="preserve">Extended Data </w:t>
      </w:r>
      <w:r w:rsidR="009D703F" w:rsidRPr="007507D2">
        <w:rPr>
          <w:b/>
          <w:bCs/>
        </w:rPr>
        <w:t>Figure 1.</w:t>
      </w:r>
      <w:r w:rsidR="009D703F" w:rsidRPr="007507D2">
        <w:t xml:space="preserve"> Efficacy of the phage cocktail-V1 against mouse infections and its host coverage across a range of clinical isolates. </w:t>
      </w:r>
      <w:r w:rsidR="009D703F" w:rsidRPr="007507D2">
        <w:rPr>
          <w:b/>
          <w:bCs/>
        </w:rPr>
        <w:t>(A)</w:t>
      </w:r>
      <w:r w:rsidR="009D703F" w:rsidRPr="007507D2">
        <w:t xml:space="preserve"> Experimental scheme for the animal experiment. Grey numbers represent number of mice, black numbers represent hours post-infection. </w:t>
      </w:r>
      <w:r w:rsidR="00B73197" w:rsidRPr="00B73197">
        <w:t>Th</w:t>
      </w:r>
      <w:r w:rsidR="00EB1D2B">
        <w:t>e</w:t>
      </w:r>
      <w:r w:rsidR="00B73197" w:rsidRPr="00B73197">
        <w:t xml:space="preserve"> </w:t>
      </w:r>
      <w:r w:rsidR="00EB1D2B">
        <w:t>illustration</w:t>
      </w:r>
      <w:r w:rsidR="00B73197" w:rsidRPr="00B73197">
        <w:t xml:space="preserve"> was created using </w:t>
      </w:r>
      <w:proofErr w:type="spellStart"/>
      <w:r w:rsidR="00B73197" w:rsidRPr="00B73197">
        <w:t>BioRender</w:t>
      </w:r>
      <w:proofErr w:type="spellEnd"/>
      <w:r w:rsidR="00B73197">
        <w:t xml:space="preserve">. </w:t>
      </w:r>
      <w:r w:rsidR="009D703F" w:rsidRPr="007507D2">
        <w:rPr>
          <w:b/>
          <w:bCs/>
        </w:rPr>
        <w:t>(B)</w:t>
      </w:r>
      <w:r w:rsidR="009D703F" w:rsidRPr="007507D2">
        <w:t xml:space="preserve"> The reduction of bacterial load in vital tissues of control mice compared to the treatment group. Each data point represents an individual mouse (</w:t>
      </w:r>
      <w:r w:rsidR="009D703F" w:rsidRPr="007507D2">
        <w:rPr>
          <w:i/>
          <w:iCs/>
        </w:rPr>
        <w:t xml:space="preserve">n </w:t>
      </w:r>
      <w:r w:rsidR="009D703F" w:rsidRPr="007507D2">
        <w:t>= 6)</w:t>
      </w:r>
      <w:r w:rsidR="000119B7" w:rsidRPr="007507D2">
        <w:t>. Box plot</w:t>
      </w:r>
      <w:r w:rsidR="00E06676" w:rsidRPr="007507D2">
        <w:t>s</w:t>
      </w:r>
      <w:r w:rsidR="009D703F" w:rsidRPr="007507D2">
        <w:t xml:space="preserve"> </w:t>
      </w:r>
      <w:r w:rsidR="00E06676" w:rsidRPr="007507D2">
        <w:t xml:space="preserve">show </w:t>
      </w:r>
      <w:r w:rsidR="009D703F" w:rsidRPr="007507D2">
        <w:t xml:space="preserve">median </w:t>
      </w:r>
      <w:r w:rsidR="005B3E0B" w:rsidRPr="007507D2">
        <w:t xml:space="preserve">(centre line), </w:t>
      </w:r>
      <w:r w:rsidR="009D703F" w:rsidRPr="007507D2">
        <w:t>interquartile range</w:t>
      </w:r>
      <w:r w:rsidR="005B3E0B" w:rsidRPr="007507D2">
        <w:t xml:space="preserve"> (box edges: 25th-75th percentiles)</w:t>
      </w:r>
      <w:r w:rsidR="00870F85" w:rsidRPr="007507D2">
        <w:t xml:space="preserve">, </w:t>
      </w:r>
      <w:r w:rsidR="00E46DFA" w:rsidRPr="007507D2">
        <w:t>whiskers extending to the most extreme values within 1.5× interquartile range, and outliers as individual points beyond whiskers</w:t>
      </w:r>
      <w:r w:rsidR="007605CD" w:rsidRPr="007507D2">
        <w:t xml:space="preserve">. </w:t>
      </w:r>
      <w:r w:rsidR="009D703F" w:rsidRPr="007507D2">
        <w:t>Total represents data from all samples (</w:t>
      </w:r>
      <w:r w:rsidR="009D703F" w:rsidRPr="007507D2">
        <w:rPr>
          <w:i/>
          <w:iCs/>
        </w:rPr>
        <w:t xml:space="preserve">n </w:t>
      </w:r>
      <w:r w:rsidR="009D703F" w:rsidRPr="007507D2">
        <w:t>= 24) combined. Statistical analysis was performed using the Mann-Whitney U test</w:t>
      </w:r>
      <w:r w:rsidR="00302CBE" w:rsidRPr="007507D2">
        <w:t xml:space="preserve"> (two-sided) with ex</w:t>
      </w:r>
      <w:r w:rsidR="003129A3" w:rsidRPr="007507D2">
        <w:t xml:space="preserve">act </w:t>
      </w:r>
      <w:r w:rsidR="003129A3" w:rsidRPr="002D5646">
        <w:rPr>
          <w:i/>
          <w:iCs/>
        </w:rPr>
        <w:t>p</w:t>
      </w:r>
      <w:r w:rsidR="003129A3" w:rsidRPr="007507D2">
        <w:t>-</w:t>
      </w:r>
      <w:r w:rsidR="00E608B9" w:rsidRPr="007507D2">
        <w:t>values to</w:t>
      </w:r>
      <w:r w:rsidR="009D703F" w:rsidRPr="007507D2">
        <w:t xml:space="preserve"> </w:t>
      </w:r>
      <w:r w:rsidR="00DE19FB" w:rsidRPr="007507D2">
        <w:t xml:space="preserve">compare </w:t>
      </w:r>
      <w:r w:rsidR="009D703F" w:rsidRPr="007507D2">
        <w:t>medians of bacterial count</w:t>
      </w:r>
      <w:r w:rsidR="003F1291" w:rsidRPr="007507D2">
        <w:t xml:space="preserve"> </w:t>
      </w:r>
      <w:r w:rsidR="00E608B9" w:rsidRPr="007507D2">
        <w:t xml:space="preserve">between groups. </w:t>
      </w:r>
      <w:r w:rsidR="009D703F" w:rsidRPr="007507D2">
        <w:rPr>
          <w:b/>
          <w:bCs/>
        </w:rPr>
        <w:t>(C)</w:t>
      </w:r>
      <w:r w:rsidR="009D703F" w:rsidRPr="007507D2">
        <w:t xml:space="preserve"> The propagation of three different phages in various tissues of treated mice. The data (</w:t>
      </w:r>
      <w:r w:rsidR="009D703F" w:rsidRPr="007507D2">
        <w:rPr>
          <w:i/>
          <w:iCs/>
        </w:rPr>
        <w:t xml:space="preserve">n </w:t>
      </w:r>
      <w:r w:rsidR="009D703F" w:rsidRPr="007507D2">
        <w:t>= 6) are shown in box plots</w:t>
      </w:r>
      <w:r w:rsidR="00A4403F" w:rsidRPr="007507D2">
        <w:t xml:space="preserve"> as above</w:t>
      </w:r>
      <w:r w:rsidR="007D7907" w:rsidRPr="007507D2">
        <w:t>.</w:t>
      </w:r>
      <w:r w:rsidR="009D703F" w:rsidRPr="007507D2">
        <w:t xml:space="preserve"> Statistical analysis was performed using the Mann-Whitney U test </w:t>
      </w:r>
      <w:r w:rsidR="00C50508" w:rsidRPr="007507D2">
        <w:t>as above.</w:t>
      </w:r>
      <w:r w:rsidR="009D703F" w:rsidRPr="007507D2">
        <w:t xml:space="preserve"> </w:t>
      </w:r>
      <w:r w:rsidR="009D703F" w:rsidRPr="007507D2">
        <w:rPr>
          <w:b/>
          <w:bCs/>
        </w:rPr>
        <w:t>(D)</w:t>
      </w:r>
      <w:r w:rsidR="009D703F" w:rsidRPr="007507D2">
        <w:t xml:space="preserve"> Host range map of cocktail-V1 (øEnA02, øEnC07, and øEnC15) and its individual components tested against 120 </w:t>
      </w:r>
      <w:r w:rsidR="009D703F" w:rsidRPr="007507D2">
        <w:rPr>
          <w:i/>
          <w:iCs/>
        </w:rPr>
        <w:t>Enterobacter cloacae</w:t>
      </w:r>
      <w:r w:rsidR="009D703F" w:rsidRPr="007507D2">
        <w:t xml:space="preserve"> complex (ECC) isolates from The Alfred Hospital. Each column represents an ECC isolate classified based on their Sequence Type (ST) and is color-coded accordingly. Red boxes indicate complete phage lysis of the respective ECC isolate, yellow boxes represent partial lysis, and light blue boxes indicate no observed lysis.</w:t>
      </w:r>
    </w:p>
    <w:p w14:paraId="57F8D4FA" w14:textId="77777777" w:rsidR="00C57042" w:rsidRPr="007507D2" w:rsidRDefault="00C57042" w:rsidP="009D703F">
      <w:pPr>
        <w:jc w:val="both"/>
      </w:pPr>
    </w:p>
    <w:p w14:paraId="6788C50E" w14:textId="4922F946" w:rsidR="00C57042" w:rsidRPr="007507D2" w:rsidRDefault="00C57042" w:rsidP="009D703F">
      <w:pPr>
        <w:jc w:val="both"/>
      </w:pPr>
      <w:r w:rsidRPr="007507D2">
        <w:rPr>
          <w:b/>
          <w:bCs/>
        </w:rPr>
        <w:t>Extended Data Figure 2.</w:t>
      </w:r>
      <w:r w:rsidRPr="007507D2">
        <w:t xml:space="preserve"> Growth kinetic assay</w:t>
      </w:r>
      <w:r w:rsidR="00DB3307" w:rsidRPr="007507D2">
        <w:t xml:space="preserve"> (left)</w:t>
      </w:r>
      <w:r w:rsidRPr="007507D2">
        <w:t xml:space="preserve"> and the corresponding phage score plot</w:t>
      </w:r>
      <w:r w:rsidR="00DB3307" w:rsidRPr="007507D2">
        <w:t xml:space="preserve"> (right)</w:t>
      </w:r>
      <w:r w:rsidRPr="007507D2">
        <w:t xml:space="preserve">. The data presented in the ﬁgure reﬂects the performance of the </w:t>
      </w:r>
      <w:r w:rsidR="0077208D" w:rsidRPr="007507D2">
        <w:t>adapted</w:t>
      </w:r>
      <w:r w:rsidRPr="007507D2">
        <w:t xml:space="preserve"> phage in days (D1-D10). D0 represents unadapted (ancestor phage)</w:t>
      </w:r>
      <w:r w:rsidR="00B44D1A" w:rsidRPr="007507D2">
        <w:t xml:space="preserve"> and Pos </w:t>
      </w:r>
      <w:proofErr w:type="spellStart"/>
      <w:r w:rsidR="00B44D1A" w:rsidRPr="007507D2">
        <w:t>Cont</w:t>
      </w:r>
      <w:proofErr w:type="spellEnd"/>
      <w:r w:rsidR="00B44D1A" w:rsidRPr="007507D2">
        <w:t xml:space="preserve"> and the host names indicate conditions where bacterial growth was observed without the phage treatment. </w:t>
      </w:r>
      <w:r w:rsidRPr="007507D2">
        <w:t>(A) øEnC07 and host AH17D011 (pilot study)</w:t>
      </w:r>
      <w:r w:rsidR="0088096B" w:rsidRPr="007507D2">
        <w:t xml:space="preserve"> and corresponding phage score (</w:t>
      </w:r>
      <w:r w:rsidR="0088096B" w:rsidRPr="007507D2">
        <w:rPr>
          <w:i/>
          <w:iCs/>
        </w:rPr>
        <w:t>n</w:t>
      </w:r>
      <w:r w:rsidR="0088096B" w:rsidRPr="007507D2">
        <w:t xml:space="preserve"> = 3)</w:t>
      </w:r>
      <w:r w:rsidR="0075700F" w:rsidRPr="007507D2">
        <w:t>;</w:t>
      </w:r>
      <w:r w:rsidR="00FA2CF5" w:rsidRPr="007507D2">
        <w:t xml:space="preserve"> </w:t>
      </w:r>
      <w:r w:rsidR="00404DAF" w:rsidRPr="007507D2">
        <w:t>e</w:t>
      </w:r>
      <w:r w:rsidR="00FA2CF5" w:rsidRPr="007507D2">
        <w:t>rror bar</w:t>
      </w:r>
      <w:r w:rsidR="00404DAF" w:rsidRPr="007507D2">
        <w:t>s</w:t>
      </w:r>
      <w:r w:rsidR="00FA2CF5" w:rsidRPr="007507D2">
        <w:t xml:space="preserve"> represent standard error of </w:t>
      </w:r>
      <w:r w:rsidR="00404DAF" w:rsidRPr="007507D2">
        <w:t>mean</w:t>
      </w:r>
      <w:r w:rsidRPr="007507D2">
        <w:t>. (B) øEnA02 and host AH19K022</w:t>
      </w:r>
      <w:r w:rsidR="00350532" w:rsidRPr="007507D2">
        <w:t xml:space="preserve"> and corresponding phage score (</w:t>
      </w:r>
      <w:r w:rsidR="00350532" w:rsidRPr="007507D2">
        <w:rPr>
          <w:i/>
          <w:iCs/>
        </w:rPr>
        <w:t>n</w:t>
      </w:r>
      <w:r w:rsidR="00350532" w:rsidRPr="007507D2">
        <w:t xml:space="preserve"> = 1)</w:t>
      </w:r>
      <w:r w:rsidRPr="007507D2">
        <w:t>. (C) øEnC15 and host CPO390</w:t>
      </w:r>
      <w:r w:rsidR="00350532" w:rsidRPr="007507D2">
        <w:t xml:space="preserve"> and corresponding phage score (</w:t>
      </w:r>
      <w:r w:rsidR="00350532" w:rsidRPr="007507D2">
        <w:rPr>
          <w:i/>
          <w:iCs/>
        </w:rPr>
        <w:t>n</w:t>
      </w:r>
      <w:r w:rsidR="00350532" w:rsidRPr="007507D2">
        <w:t xml:space="preserve"> = 1).</w:t>
      </w:r>
    </w:p>
    <w:p w14:paraId="43C18513" w14:textId="77777777" w:rsidR="008D4FA6" w:rsidRPr="007507D2" w:rsidRDefault="008D4FA6"/>
    <w:p w14:paraId="15CA2BE0" w14:textId="3DD71B13" w:rsidR="00AF4BFA" w:rsidRPr="007507D2" w:rsidRDefault="00B141FC" w:rsidP="00E340CD">
      <w:pPr>
        <w:jc w:val="both"/>
      </w:pPr>
      <w:r w:rsidRPr="007507D2">
        <w:rPr>
          <w:b/>
          <w:bCs/>
        </w:rPr>
        <w:t>Extended Data Fig</w:t>
      </w:r>
      <w:r w:rsidR="00B16CEB" w:rsidRPr="007507D2">
        <w:rPr>
          <w:b/>
          <w:bCs/>
        </w:rPr>
        <w:t>ure</w:t>
      </w:r>
      <w:r w:rsidRPr="007507D2">
        <w:rPr>
          <w:b/>
          <w:bCs/>
        </w:rPr>
        <w:t xml:space="preserve"> 3.</w:t>
      </w:r>
      <w:r w:rsidRPr="007507D2">
        <w:t xml:space="preserve"> </w:t>
      </w:r>
      <w:r w:rsidR="00AF4BFA" w:rsidRPr="007507D2">
        <w:t xml:space="preserve">Phage scores comparing ancestral </w:t>
      </w:r>
      <w:r w:rsidR="00B10A51" w:rsidRPr="007507D2">
        <w:t xml:space="preserve">(An) </w:t>
      </w:r>
      <w:r w:rsidR="00AF4BFA" w:rsidRPr="007507D2">
        <w:t xml:space="preserve">and evolved phages </w:t>
      </w:r>
      <w:r w:rsidR="00B10A51" w:rsidRPr="007507D2">
        <w:t>(</w:t>
      </w:r>
      <w:proofErr w:type="spellStart"/>
      <w:r w:rsidR="00B10A51" w:rsidRPr="007507D2">
        <w:t>Ev</w:t>
      </w:r>
      <w:proofErr w:type="spellEnd"/>
      <w:r w:rsidR="00B10A51" w:rsidRPr="007507D2">
        <w:t xml:space="preserve">) </w:t>
      </w:r>
      <w:r w:rsidR="00AF4BFA" w:rsidRPr="007507D2">
        <w:t xml:space="preserve">against </w:t>
      </w:r>
      <w:r w:rsidR="00AF4BFA" w:rsidRPr="007507D2">
        <w:rPr>
          <w:i/>
          <w:iCs/>
        </w:rPr>
        <w:t>Enterobacter cloacae</w:t>
      </w:r>
      <w:r w:rsidR="00AF4BFA" w:rsidRPr="007507D2">
        <w:t xml:space="preserve"> complex isolates</w:t>
      </w:r>
      <w:r w:rsidR="00B10A51" w:rsidRPr="007507D2">
        <w:t xml:space="preserve"> (</w:t>
      </w:r>
      <w:r w:rsidR="00B10A51" w:rsidRPr="007507D2">
        <w:rPr>
          <w:i/>
          <w:iCs/>
        </w:rPr>
        <w:t>n</w:t>
      </w:r>
      <w:r w:rsidR="00B10A51" w:rsidRPr="007507D2">
        <w:t xml:space="preserve"> = 36)</w:t>
      </w:r>
      <w:r w:rsidR="00AF4BFA" w:rsidRPr="007507D2">
        <w:t xml:space="preserve">. Each dot represents the mean phage score from four </w:t>
      </w:r>
      <w:r w:rsidR="00B10A51" w:rsidRPr="007507D2">
        <w:t xml:space="preserve">technical </w:t>
      </w:r>
      <w:r w:rsidR="00AF4BFA" w:rsidRPr="007507D2">
        <w:t>replicates</w:t>
      </w:r>
      <w:r w:rsidR="00C41B58" w:rsidRPr="007507D2">
        <w:t>;</w:t>
      </w:r>
      <w:r w:rsidR="00404DAF" w:rsidRPr="007507D2">
        <w:t xml:space="preserve"> error bars represent standard error of mean.</w:t>
      </w:r>
      <w:r w:rsidR="00AF4BFA" w:rsidRPr="007507D2">
        <w:t xml:space="preserve"> Higher scores indicate greater phage </w:t>
      </w:r>
      <w:r w:rsidR="00AA3711" w:rsidRPr="007507D2">
        <w:t xml:space="preserve">susceptibility. </w:t>
      </w:r>
      <w:r w:rsidR="00C41B58" w:rsidRPr="007507D2">
        <w:t xml:space="preserve">The legend shows the specific phage-host adaptation pairs tested: ancestral phages </w:t>
      </w:r>
      <w:proofErr w:type="gramStart"/>
      <w:r w:rsidR="00C41B58" w:rsidRPr="007507D2">
        <w:t>An</w:t>
      </w:r>
      <w:proofErr w:type="gramEnd"/>
      <w:r w:rsidR="00C41B58" w:rsidRPr="007507D2">
        <w:t>_EnC07, An_EnC15, and An_EnA02, and their corresponding evolved derivatives Ev_EnC07:AH17D011, Ev_EnC15:CPO390, and Ev_EnA02:AH19K020.</w:t>
      </w:r>
    </w:p>
    <w:p w14:paraId="11CD376D" w14:textId="77777777" w:rsidR="0075700F" w:rsidRPr="007507D2" w:rsidRDefault="0075700F" w:rsidP="00E340CD">
      <w:pPr>
        <w:jc w:val="both"/>
      </w:pPr>
    </w:p>
    <w:p w14:paraId="73A9A8CE" w14:textId="4FD29CC7" w:rsidR="006A54BB" w:rsidRPr="007507D2" w:rsidRDefault="00B16CEB" w:rsidP="00E340CD">
      <w:pPr>
        <w:jc w:val="both"/>
      </w:pPr>
      <w:r w:rsidRPr="007507D2">
        <w:rPr>
          <w:b/>
          <w:bCs/>
        </w:rPr>
        <w:t xml:space="preserve">Extended Data Figure </w:t>
      </w:r>
      <w:r w:rsidR="003D26E0" w:rsidRPr="007507D2">
        <w:rPr>
          <w:b/>
          <w:bCs/>
        </w:rPr>
        <w:t>4</w:t>
      </w:r>
      <w:r w:rsidRPr="007507D2">
        <w:rPr>
          <w:b/>
          <w:bCs/>
        </w:rPr>
        <w:t>.</w:t>
      </w:r>
      <w:r w:rsidR="003D26E0" w:rsidRPr="007507D2">
        <w:t xml:space="preserve"> Single nucleotide polymorphisms (SNPs) observed within various genotypes of evolved (adapted) phages. The genome map of øEnC07 is displayed as a </w:t>
      </w:r>
      <w:r w:rsidR="005B251D" w:rsidRPr="007507D2">
        <w:t xml:space="preserve">reference </w:t>
      </w:r>
      <w:r w:rsidR="003D26E0" w:rsidRPr="007507D2">
        <w:t>genome</w:t>
      </w:r>
      <w:r w:rsidR="005B251D" w:rsidRPr="007507D2">
        <w:t xml:space="preserve"> to indicate complete genome</w:t>
      </w:r>
      <w:r w:rsidR="003D26E0" w:rsidRPr="007507D2">
        <w:t>, with distinct phage-specific gene regions indicated</w:t>
      </w:r>
      <w:r w:rsidR="002D37F9" w:rsidRPr="007507D2">
        <w:t xml:space="preserve"> (DNA replication, head-tail baseplate-neck-collar, and tail </w:t>
      </w:r>
      <w:proofErr w:type="spellStart"/>
      <w:r w:rsidR="002D37F9" w:rsidRPr="007507D2">
        <w:t>fibe</w:t>
      </w:r>
      <w:r w:rsidR="00201D04" w:rsidRPr="007507D2">
        <w:t>r</w:t>
      </w:r>
      <w:proofErr w:type="spellEnd"/>
      <w:r w:rsidR="002D37F9" w:rsidRPr="007507D2">
        <w:t xml:space="preserve"> regions)</w:t>
      </w:r>
      <w:r w:rsidR="003E22A7" w:rsidRPr="007507D2">
        <w:t xml:space="preserve">. </w:t>
      </w:r>
      <w:r w:rsidR="006A54BB" w:rsidRPr="007507D2">
        <w:t>Red arrows mark positions of SNPs)</w:t>
      </w:r>
      <w:r w:rsidR="00201D04" w:rsidRPr="007507D2">
        <w:t xml:space="preserve"> </w:t>
      </w:r>
      <w:r w:rsidR="006A54BB" w:rsidRPr="007507D2">
        <w:t xml:space="preserve">identified in evolved phage derivatives øEnA02, øEnC07, and øEnC15 following host adaptation. Each SNP is </w:t>
      </w:r>
      <w:r w:rsidR="00A42C08" w:rsidRPr="007507D2">
        <w:t>labelled</w:t>
      </w:r>
      <w:r w:rsidR="006A54BB" w:rsidRPr="007507D2">
        <w:t xml:space="preserve"> with the amino acid substitution and genomic position. The brown-shaded regions highlight tail </w:t>
      </w:r>
      <w:proofErr w:type="spellStart"/>
      <w:r w:rsidR="006A54BB" w:rsidRPr="007507D2">
        <w:t>fiber</w:t>
      </w:r>
      <w:proofErr w:type="spellEnd"/>
      <w:r w:rsidR="006A54BB" w:rsidRPr="007507D2">
        <w:t xml:space="preserve"> genes where </w:t>
      </w:r>
      <w:proofErr w:type="gramStart"/>
      <w:r w:rsidR="006A54BB" w:rsidRPr="007507D2">
        <w:t>the</w:t>
      </w:r>
      <w:r w:rsidR="00201D04" w:rsidRPr="007507D2">
        <w:t xml:space="preserve"> </w:t>
      </w:r>
      <w:r w:rsidR="006A54BB" w:rsidRPr="007507D2">
        <w:t>majority of</w:t>
      </w:r>
      <w:proofErr w:type="gramEnd"/>
      <w:r w:rsidR="006A54BB" w:rsidRPr="007507D2">
        <w:t xml:space="preserve"> adaptive mutations occurred. Scale bar represents 2.5kb.</w:t>
      </w:r>
    </w:p>
    <w:p w14:paraId="6ED3C38A" w14:textId="77777777" w:rsidR="00E340CD" w:rsidRPr="007507D2" w:rsidRDefault="00E340CD" w:rsidP="00E340CD">
      <w:pPr>
        <w:jc w:val="both"/>
      </w:pPr>
    </w:p>
    <w:p w14:paraId="574FDE0D" w14:textId="4CF9315E" w:rsidR="00A201F8" w:rsidRPr="007507D2" w:rsidRDefault="00AF7300" w:rsidP="006C365B">
      <w:pPr>
        <w:jc w:val="both"/>
      </w:pPr>
      <w:r w:rsidRPr="007507D2">
        <w:rPr>
          <w:b/>
          <w:bCs/>
        </w:rPr>
        <w:t xml:space="preserve">Extended Data Figure </w:t>
      </w:r>
      <w:r w:rsidR="0026578E" w:rsidRPr="007507D2">
        <w:rPr>
          <w:b/>
          <w:bCs/>
        </w:rPr>
        <w:t>5</w:t>
      </w:r>
      <w:r w:rsidRPr="007507D2">
        <w:rPr>
          <w:b/>
          <w:bCs/>
        </w:rPr>
        <w:t>.</w:t>
      </w:r>
      <w:r w:rsidRPr="007507D2">
        <w:t xml:space="preserve"> </w:t>
      </w:r>
      <w:r w:rsidR="00EC055E" w:rsidRPr="007507D2">
        <w:t xml:space="preserve">Host range analysis of individual phages and phage cocktails against </w:t>
      </w:r>
      <w:r w:rsidR="00EC055E" w:rsidRPr="007507D2">
        <w:rPr>
          <w:i/>
          <w:iCs/>
        </w:rPr>
        <w:t>Enterobacter cloacae</w:t>
      </w:r>
      <w:r w:rsidR="00EC055E" w:rsidRPr="007507D2">
        <w:t xml:space="preserve"> complex isolates. (A) Host range map of five newly isolated phages tested against 36 </w:t>
      </w:r>
      <w:r w:rsidR="00EC055E" w:rsidRPr="007507D2">
        <w:rPr>
          <w:i/>
          <w:iCs/>
        </w:rPr>
        <w:t>Enterobacter cloacae</w:t>
      </w:r>
      <w:r w:rsidR="00EC055E" w:rsidRPr="007507D2">
        <w:t xml:space="preserve"> complex (ECC) isolates. </w:t>
      </w:r>
      <w:r w:rsidR="00B80E92" w:rsidRPr="007507D2">
        <w:t xml:space="preserve">Each row represents an ECC isolate, classified based on Sequence Type (ST), and is colour-coded accordingly. Singletons are STs that only occurred once. </w:t>
      </w:r>
      <w:r w:rsidR="00EC055E" w:rsidRPr="007507D2">
        <w:t xml:space="preserve">(B) Host range map of eight different phage combinations </w:t>
      </w:r>
      <w:r w:rsidR="00EC055E" w:rsidRPr="007507D2">
        <w:lastRenderedPageBreak/>
        <w:t>tested against a larger panel of 156 ECC isolates. Each row represents a phage cocktail (A-I)</w:t>
      </w:r>
      <w:r w:rsidR="007E5495" w:rsidRPr="007507D2">
        <w:t xml:space="preserve">. </w:t>
      </w:r>
      <w:r w:rsidR="00EC055E" w:rsidRPr="007507D2">
        <w:t xml:space="preserve">The bar chart quantifies the number of hosts lysed by selected phage combinations. </w:t>
      </w:r>
      <w:r w:rsidR="00AE20B7" w:rsidRPr="007507D2">
        <w:t xml:space="preserve">The </w:t>
      </w:r>
      <w:proofErr w:type="spellStart"/>
      <w:r w:rsidR="00AE20B7" w:rsidRPr="007507D2">
        <w:t>ev</w:t>
      </w:r>
      <w:proofErr w:type="spellEnd"/>
      <w:r w:rsidR="00AE20B7" w:rsidRPr="007507D2">
        <w:t xml:space="preserve">_ prefix denotes evolved/host-adapted phage variants. Combinations are ordered by their lytic activities. </w:t>
      </w:r>
      <w:r w:rsidR="00B6342A">
        <w:t>[</w:t>
      </w:r>
      <w:r w:rsidR="00EC055E" w:rsidRPr="007507D2">
        <w:t xml:space="preserve">Phage cocktail compositions: A </w:t>
      </w:r>
      <w:r w:rsidR="00145B6C" w:rsidRPr="007507D2">
        <w:t>=</w:t>
      </w:r>
      <w:r w:rsidR="00EC055E" w:rsidRPr="007507D2">
        <w:t xml:space="preserve"> øEnA02 + øEnC07 + øEnC15, B </w:t>
      </w:r>
      <w:r w:rsidR="00145B6C" w:rsidRPr="007507D2">
        <w:t xml:space="preserve">= </w:t>
      </w:r>
      <w:r w:rsidR="00EC055E" w:rsidRPr="007507D2">
        <w:t xml:space="preserve">ev_øEnA02 + ev_øEnC07 + ev_øEnC15, </w:t>
      </w:r>
      <w:r w:rsidR="006474C3" w:rsidRPr="007507D2">
        <w:t xml:space="preserve">C = øEnA02 + øEnC07 + øEnC15 + </w:t>
      </w:r>
      <w:proofErr w:type="spellStart"/>
      <w:r w:rsidR="006474C3" w:rsidRPr="007507D2">
        <w:t>øTaquito</w:t>
      </w:r>
      <w:proofErr w:type="spellEnd"/>
      <w:r w:rsidR="006474C3" w:rsidRPr="007507D2">
        <w:t xml:space="preserve">, D = øEnA02 + øEnC07 + øEnC15 + </w:t>
      </w:r>
      <w:proofErr w:type="spellStart"/>
      <w:r w:rsidR="006474C3" w:rsidRPr="007507D2">
        <w:t>øNando</w:t>
      </w:r>
      <w:proofErr w:type="spellEnd"/>
      <w:r w:rsidR="006474C3" w:rsidRPr="007507D2">
        <w:t>, E = ev</w:t>
      </w:r>
      <w:r w:rsidR="00741DF0" w:rsidRPr="007507D2">
        <w:t>_</w:t>
      </w:r>
      <w:r w:rsidR="006474C3" w:rsidRPr="007507D2">
        <w:t>øEnA02 + ev</w:t>
      </w:r>
      <w:r w:rsidR="00741DF0" w:rsidRPr="007507D2">
        <w:t>_</w:t>
      </w:r>
      <w:r w:rsidR="006474C3" w:rsidRPr="007507D2">
        <w:t>øEnC07 + ev</w:t>
      </w:r>
      <w:r w:rsidR="00741DF0" w:rsidRPr="007507D2">
        <w:t>_</w:t>
      </w:r>
      <w:r w:rsidR="006474C3" w:rsidRPr="007507D2">
        <w:t xml:space="preserve">øEnC15 + </w:t>
      </w:r>
      <w:proofErr w:type="spellStart"/>
      <w:r w:rsidR="006474C3" w:rsidRPr="007507D2">
        <w:t>øTaquito</w:t>
      </w:r>
      <w:proofErr w:type="spellEnd"/>
      <w:r w:rsidR="00741DF0" w:rsidRPr="007507D2">
        <w:t xml:space="preserve">, </w:t>
      </w:r>
      <w:r w:rsidR="006474C3" w:rsidRPr="007507D2">
        <w:t>F</w:t>
      </w:r>
      <w:r w:rsidR="00741DF0" w:rsidRPr="007507D2">
        <w:t xml:space="preserve"> = </w:t>
      </w:r>
      <w:r w:rsidR="006474C3" w:rsidRPr="007507D2">
        <w:t>ev</w:t>
      </w:r>
      <w:r w:rsidR="00741DF0" w:rsidRPr="007507D2">
        <w:t>_</w:t>
      </w:r>
      <w:r w:rsidR="006474C3" w:rsidRPr="007507D2">
        <w:t>øEnA02 + ev</w:t>
      </w:r>
      <w:r w:rsidR="00741DF0" w:rsidRPr="007507D2">
        <w:t>_</w:t>
      </w:r>
      <w:r w:rsidR="006474C3" w:rsidRPr="007507D2">
        <w:t>øEnC07 + ev</w:t>
      </w:r>
      <w:r w:rsidR="00741DF0" w:rsidRPr="007507D2">
        <w:t>_</w:t>
      </w:r>
      <w:r w:rsidR="006474C3" w:rsidRPr="007507D2">
        <w:t xml:space="preserve">øEnC15 + </w:t>
      </w:r>
      <w:proofErr w:type="spellStart"/>
      <w:r w:rsidR="006474C3" w:rsidRPr="007507D2">
        <w:t>øNando</w:t>
      </w:r>
      <w:proofErr w:type="spellEnd"/>
      <w:r w:rsidR="00741DF0" w:rsidRPr="007507D2">
        <w:t xml:space="preserve">, </w:t>
      </w:r>
      <w:r w:rsidR="006474C3" w:rsidRPr="007507D2">
        <w:t>G</w:t>
      </w:r>
      <w:r w:rsidR="00741DF0" w:rsidRPr="007507D2">
        <w:t xml:space="preserve"> = </w:t>
      </w:r>
      <w:r w:rsidR="006474C3" w:rsidRPr="007507D2">
        <w:t>ev</w:t>
      </w:r>
      <w:r w:rsidR="00741DF0" w:rsidRPr="007507D2">
        <w:t>_</w:t>
      </w:r>
      <w:r w:rsidR="006474C3" w:rsidRPr="007507D2">
        <w:t>øEnA02 + ev</w:t>
      </w:r>
      <w:r w:rsidR="00741DF0" w:rsidRPr="007507D2">
        <w:t>_</w:t>
      </w:r>
      <w:r w:rsidR="006474C3" w:rsidRPr="007507D2">
        <w:t>øEnC07 + ev</w:t>
      </w:r>
      <w:r w:rsidR="00741DF0" w:rsidRPr="007507D2">
        <w:t>_</w:t>
      </w:r>
      <w:r w:rsidR="006474C3" w:rsidRPr="007507D2">
        <w:t xml:space="preserve">øEnC15 + </w:t>
      </w:r>
      <w:proofErr w:type="spellStart"/>
      <w:r w:rsidR="006474C3" w:rsidRPr="007507D2">
        <w:t>øTaquito</w:t>
      </w:r>
      <w:proofErr w:type="spellEnd"/>
      <w:r w:rsidR="006474C3" w:rsidRPr="007507D2">
        <w:t xml:space="preserve"> + </w:t>
      </w:r>
      <w:proofErr w:type="spellStart"/>
      <w:r w:rsidR="006474C3" w:rsidRPr="007507D2">
        <w:t>øNando</w:t>
      </w:r>
      <w:proofErr w:type="spellEnd"/>
      <w:r w:rsidR="00741DF0" w:rsidRPr="007507D2">
        <w:t xml:space="preserve">, </w:t>
      </w:r>
      <w:r w:rsidR="006474C3" w:rsidRPr="007507D2">
        <w:t>I</w:t>
      </w:r>
      <w:r w:rsidR="00741DF0" w:rsidRPr="007507D2">
        <w:t xml:space="preserve"> = </w:t>
      </w:r>
      <w:r w:rsidR="006474C3" w:rsidRPr="007507D2">
        <w:t xml:space="preserve">øEnA02 + øEnC07 + øEnC15 + </w:t>
      </w:r>
      <w:proofErr w:type="spellStart"/>
      <w:r w:rsidR="006474C3" w:rsidRPr="007507D2">
        <w:t>øTaquito</w:t>
      </w:r>
      <w:proofErr w:type="spellEnd"/>
      <w:r w:rsidR="006474C3" w:rsidRPr="007507D2">
        <w:t xml:space="preserve"> + </w:t>
      </w:r>
      <w:proofErr w:type="spellStart"/>
      <w:r w:rsidR="006474C3" w:rsidRPr="007507D2">
        <w:t>øNando</w:t>
      </w:r>
      <w:proofErr w:type="spellEnd"/>
      <w:r w:rsidR="00AE20B7">
        <w:t>].</w:t>
      </w:r>
      <w:r w:rsidR="006C365B" w:rsidRPr="007507D2">
        <w:t xml:space="preserve"> </w:t>
      </w:r>
    </w:p>
    <w:p w14:paraId="4834F22F" w14:textId="77777777" w:rsidR="00A201F8" w:rsidRPr="007507D2" w:rsidRDefault="00A201F8" w:rsidP="006C365B">
      <w:pPr>
        <w:jc w:val="both"/>
      </w:pPr>
    </w:p>
    <w:p w14:paraId="6C38FF9D" w14:textId="77777777" w:rsidR="005E4567" w:rsidRPr="007507D2" w:rsidRDefault="00F779C9" w:rsidP="005E4567">
      <w:pPr>
        <w:jc w:val="both"/>
      </w:pPr>
      <w:r w:rsidRPr="007507D2">
        <w:rPr>
          <w:b/>
          <w:bCs/>
        </w:rPr>
        <w:t>Extended Data Figure 6.</w:t>
      </w:r>
      <w:r w:rsidRPr="007507D2">
        <w:t xml:space="preserve"> </w:t>
      </w:r>
      <w:r w:rsidR="009476F3" w:rsidRPr="009476F3">
        <w:t xml:space="preserve">Growth kinetics of phage-resistant mutants. </w:t>
      </w:r>
      <w:r w:rsidR="0066209D" w:rsidRPr="009476F3">
        <w:t>(</w:t>
      </w:r>
      <w:r w:rsidR="00180691" w:rsidRPr="007507D2">
        <w:t>A</w:t>
      </w:r>
      <w:r w:rsidR="0066209D" w:rsidRPr="009476F3">
        <w:t>) Serial passage evolution of each bacterial isolate (APO57, CPO093, CPO165, CPO448, EA) over five days, showing growth dynamics across six biological replicates (R1-R6</w:t>
      </w:r>
      <w:r w:rsidR="0066209D" w:rsidRPr="007507D2">
        <w:t>)</w:t>
      </w:r>
      <w:r w:rsidR="00180691" w:rsidRPr="007507D2">
        <w:t>.</w:t>
      </w:r>
      <w:r w:rsidR="0066209D" w:rsidRPr="009476F3">
        <w:t xml:space="preserve"> </w:t>
      </w:r>
      <w:r w:rsidR="009476F3" w:rsidRPr="009476F3">
        <w:t>(</w:t>
      </w:r>
      <w:r w:rsidR="00180691" w:rsidRPr="007507D2">
        <w:t>B</w:t>
      </w:r>
      <w:r w:rsidR="009476F3" w:rsidRPr="009476F3">
        <w:t xml:space="preserve">) Growth curves of phage-resistant mutants when challenged with individual phage components </w:t>
      </w:r>
      <w:r w:rsidR="003731A5" w:rsidRPr="007507D2">
        <w:t xml:space="preserve">and </w:t>
      </w:r>
      <w:r w:rsidR="009476F3" w:rsidRPr="009476F3">
        <w:rPr>
          <w:i/>
          <w:iCs/>
        </w:rPr>
        <w:t>Entelli-02</w:t>
      </w:r>
      <w:r w:rsidR="009476F3" w:rsidRPr="009476F3">
        <w:t xml:space="preserve"> </w:t>
      </w:r>
      <w:r w:rsidR="003731A5" w:rsidRPr="007507D2">
        <w:t xml:space="preserve">full </w:t>
      </w:r>
      <w:r w:rsidR="009476F3" w:rsidRPr="009476F3">
        <w:t>cocktail. Each panel shows independent resistant mutants (R1, R2, R3)</w:t>
      </w:r>
      <w:r w:rsidR="00B43B31" w:rsidRPr="007507D2">
        <w:t xml:space="preserve">. </w:t>
      </w:r>
      <w:r w:rsidR="009476F3" w:rsidRPr="009476F3">
        <w:t xml:space="preserve">Positive control </w:t>
      </w:r>
      <w:r w:rsidR="00024F38" w:rsidRPr="007507D2">
        <w:t xml:space="preserve">denotes </w:t>
      </w:r>
      <w:r w:rsidR="006478F9" w:rsidRPr="007507D2">
        <w:t xml:space="preserve">bacteria only growth. </w:t>
      </w:r>
      <w:r w:rsidR="009476F3" w:rsidRPr="009476F3">
        <w:t>(C) Comparative growth kinetics of phage-resistant mutants (R1, R2, R3</w:t>
      </w:r>
      <w:r w:rsidR="00E350C6" w:rsidRPr="007507D2">
        <w:t xml:space="preserve">) </w:t>
      </w:r>
      <w:r w:rsidR="009476F3" w:rsidRPr="009476F3">
        <w:t>relative to their corresponding wild-type (</w:t>
      </w:r>
      <w:r w:rsidR="00536B97" w:rsidRPr="007507D2">
        <w:t>WT</w:t>
      </w:r>
      <w:r w:rsidR="009476F3" w:rsidRPr="009476F3">
        <w:t xml:space="preserve">) parental strains (solid black lines) for five bacterial isolates. </w:t>
      </w:r>
      <w:r w:rsidR="005E4567" w:rsidRPr="006318D3">
        <w:t xml:space="preserve">Growth is measured as optical density at 600nm (OD600) over </w:t>
      </w:r>
      <w:r w:rsidR="005E4567" w:rsidRPr="007507D2">
        <w:t xml:space="preserve">24 hours. </w:t>
      </w:r>
    </w:p>
    <w:p w14:paraId="6CCABA36" w14:textId="61B31F72" w:rsidR="006318D3" w:rsidRPr="007507D2" w:rsidRDefault="006318D3" w:rsidP="006C365B">
      <w:pPr>
        <w:jc w:val="both"/>
      </w:pPr>
    </w:p>
    <w:p w14:paraId="0715F63A" w14:textId="65F890A8" w:rsidR="0099589D" w:rsidRPr="007507D2" w:rsidRDefault="006318D3" w:rsidP="00323ADC">
      <w:pPr>
        <w:jc w:val="both"/>
      </w:pPr>
      <w:r w:rsidRPr="006318D3">
        <w:rPr>
          <w:b/>
          <w:bCs/>
        </w:rPr>
        <w:t xml:space="preserve">Extended Data Figure </w:t>
      </w:r>
      <w:r w:rsidR="00CD0381" w:rsidRPr="007507D2">
        <w:rPr>
          <w:b/>
          <w:bCs/>
        </w:rPr>
        <w:t>7</w:t>
      </w:r>
      <w:r w:rsidRPr="006318D3">
        <w:rPr>
          <w:b/>
          <w:bCs/>
        </w:rPr>
        <w:t xml:space="preserve">. </w:t>
      </w:r>
      <w:r w:rsidRPr="006318D3">
        <w:t xml:space="preserve">Growth curves showing the interaction between </w:t>
      </w:r>
      <w:r w:rsidRPr="006318D3">
        <w:rPr>
          <w:i/>
          <w:iCs/>
        </w:rPr>
        <w:t>Entelli-02</w:t>
      </w:r>
      <w:r w:rsidRPr="006318D3">
        <w:t xml:space="preserve"> phage cocktail and seven different antibiotics across </w:t>
      </w:r>
      <w:r w:rsidR="002D5D80" w:rsidRPr="007507D2">
        <w:t>wild type</w:t>
      </w:r>
      <w:r w:rsidRPr="006318D3">
        <w:t xml:space="preserve"> isolates and phage-resistant mutants. Each panel represents a different isolate-treatment combination, with four treatment categories: antibiotics alone (yellow), bacteria only control (grey), </w:t>
      </w:r>
      <w:r w:rsidR="008E5860" w:rsidRPr="006318D3">
        <w:rPr>
          <w:i/>
          <w:iCs/>
        </w:rPr>
        <w:t>Entelli-02</w:t>
      </w:r>
      <w:r w:rsidR="008E5860" w:rsidRPr="006318D3">
        <w:t xml:space="preserve"> </w:t>
      </w:r>
      <w:r w:rsidRPr="006318D3">
        <w:t xml:space="preserve">-antibiotic combination (teal), and </w:t>
      </w:r>
      <w:r w:rsidRPr="006318D3">
        <w:rPr>
          <w:i/>
          <w:iCs/>
        </w:rPr>
        <w:t>Entelli-02</w:t>
      </w:r>
      <w:r w:rsidRPr="006318D3">
        <w:t xml:space="preserve"> (orange). Bacterial strains tested include wild-type isolates (APO57, CPO093, CPO165, CPO448, EA) and their corresponding phage-resistant mutants </w:t>
      </w:r>
      <w:r w:rsidR="006A0857" w:rsidRPr="007507D2">
        <w:t>(</w:t>
      </w:r>
      <w:r w:rsidR="00027F6D" w:rsidRPr="00027F6D">
        <w:t>two clones, R1 and R</w:t>
      </w:r>
      <w:r w:rsidR="006A0857" w:rsidRPr="00027F6D">
        <w:t>2</w:t>
      </w:r>
      <w:r w:rsidR="00D91D43" w:rsidRPr="00027F6D">
        <w:t>)</w:t>
      </w:r>
      <w:r w:rsidR="006A0857" w:rsidRPr="007507D2">
        <w:t xml:space="preserve"> </w:t>
      </w:r>
      <w:r w:rsidRPr="006318D3">
        <w:t xml:space="preserve">derived from </w:t>
      </w:r>
      <w:r w:rsidR="00D91D43" w:rsidRPr="007507D2">
        <w:t xml:space="preserve">each component </w:t>
      </w:r>
      <w:r w:rsidR="00D91D43" w:rsidRPr="006318D3">
        <w:rPr>
          <w:i/>
          <w:iCs/>
        </w:rPr>
        <w:t>Entelli-</w:t>
      </w:r>
      <w:r w:rsidR="00D91D43" w:rsidRPr="007507D2">
        <w:rPr>
          <w:i/>
          <w:iCs/>
        </w:rPr>
        <w:t>02</w:t>
      </w:r>
      <w:r w:rsidR="00D91D43" w:rsidRPr="007507D2">
        <w:t xml:space="preserve"> phages. </w:t>
      </w:r>
      <w:r w:rsidRPr="006318D3">
        <w:t xml:space="preserve">Growth is measured as optical density at 600nm (OD600) over </w:t>
      </w:r>
      <w:r w:rsidR="0099589D" w:rsidRPr="007507D2">
        <w:t xml:space="preserve">24 hours. </w:t>
      </w:r>
    </w:p>
    <w:p w14:paraId="3825340E" w14:textId="58FBF477" w:rsidR="00935085" w:rsidRPr="007507D2" w:rsidRDefault="00F44251" w:rsidP="00323ADC">
      <w:pPr>
        <w:pStyle w:val="whitespace-normal"/>
        <w:jc w:val="both"/>
      </w:pPr>
      <w:r w:rsidRPr="007507D2">
        <w:rPr>
          <w:rStyle w:val="Strong"/>
        </w:rPr>
        <w:t xml:space="preserve">Extended Data Figure 8. </w:t>
      </w:r>
      <w:r w:rsidRPr="007507D2">
        <w:rPr>
          <w:rStyle w:val="Strong"/>
          <w:b w:val="0"/>
          <w:bCs w:val="0"/>
        </w:rPr>
        <w:t xml:space="preserve">Growth inhibition and </w:t>
      </w:r>
      <w:r w:rsidRPr="007507D2">
        <w:rPr>
          <w:rStyle w:val="Strong"/>
          <w:b w:val="0"/>
          <w:bCs w:val="0"/>
          <w:i/>
          <w:iCs/>
        </w:rPr>
        <w:t>in-vivo</w:t>
      </w:r>
      <w:r w:rsidRPr="007507D2">
        <w:rPr>
          <w:rStyle w:val="Strong"/>
          <w:b w:val="0"/>
          <w:bCs w:val="0"/>
        </w:rPr>
        <w:t xml:space="preserve"> efficacy of phages against two ECC isolates (A-F).</w:t>
      </w:r>
      <w:r w:rsidRPr="007507D2">
        <w:t xml:space="preserve"> (A) Growth kinetics (OD600) of ECC isolate APO57 over 24 hours following treatment with </w:t>
      </w:r>
      <w:r w:rsidR="001E2376" w:rsidRPr="007507D2">
        <w:t>c</w:t>
      </w:r>
      <w:r w:rsidRPr="007507D2">
        <w:t xml:space="preserve">ocktail-V1 and </w:t>
      </w:r>
      <w:r w:rsidR="00E22D85" w:rsidRPr="007507D2">
        <w:t>its</w:t>
      </w:r>
      <w:r w:rsidRPr="007507D2">
        <w:t xml:space="preserve"> phage components.</w:t>
      </w:r>
      <w:r w:rsidR="00A16134" w:rsidRPr="007507D2">
        <w:t xml:space="preserve"> Positive control represents bacterial growth without phage treatment.</w:t>
      </w:r>
      <w:r w:rsidRPr="007507D2">
        <w:t xml:space="preserve"> (B) Growth kinetics (OD600) of APO57 treated with </w:t>
      </w:r>
      <w:r w:rsidRPr="007507D2">
        <w:rPr>
          <w:i/>
          <w:iCs/>
        </w:rPr>
        <w:t>Entelli-02</w:t>
      </w:r>
      <w:r w:rsidRPr="007507D2">
        <w:t xml:space="preserve"> and</w:t>
      </w:r>
      <w:r w:rsidR="00B26489" w:rsidRPr="007507D2">
        <w:t xml:space="preserve"> its phage components.</w:t>
      </w:r>
      <w:r w:rsidRPr="007507D2">
        <w:t xml:space="preserve"> (C) </w:t>
      </w:r>
      <w:r w:rsidRPr="007507D2">
        <w:rPr>
          <w:i/>
          <w:iCs/>
        </w:rPr>
        <w:t>In-vivo</w:t>
      </w:r>
      <w:r w:rsidRPr="007507D2">
        <w:t xml:space="preserve"> phage titr</w:t>
      </w:r>
      <w:r w:rsidR="00E06306" w:rsidRPr="007507D2">
        <w:t>e</w:t>
      </w:r>
      <w:r w:rsidRPr="007507D2">
        <w:t xml:space="preserve">s of different phages recovered from tissues of mice infected with APO57 and treated with </w:t>
      </w:r>
      <w:r w:rsidRPr="007507D2">
        <w:rPr>
          <w:i/>
          <w:iCs/>
        </w:rPr>
        <w:t>Entelli-02</w:t>
      </w:r>
      <w:r w:rsidRPr="007507D2">
        <w:t>.</w:t>
      </w:r>
      <w:r w:rsidR="004F2344" w:rsidRPr="007507D2">
        <w:t xml:space="preserve"> </w:t>
      </w:r>
      <w:r w:rsidR="000626D8" w:rsidRPr="007507D2">
        <w:t>Data points represent individual mice (</w:t>
      </w:r>
      <w:r w:rsidR="000626D8" w:rsidRPr="007507D2">
        <w:rPr>
          <w:i/>
          <w:iCs/>
        </w:rPr>
        <w:t>n</w:t>
      </w:r>
      <w:r w:rsidR="000626D8" w:rsidRPr="007507D2">
        <w:t xml:space="preserve"> = </w:t>
      </w:r>
      <w:r w:rsidR="00753C7C">
        <w:t>6/group</w:t>
      </w:r>
      <w:r w:rsidR="000E03D1">
        <w:t xml:space="preserve"> </w:t>
      </w:r>
      <w:r w:rsidR="000E03D1" w:rsidRPr="007507D2">
        <w:t>×</w:t>
      </w:r>
      <w:r w:rsidR="000E03D1">
        <w:t xml:space="preserve"> 4 organs or tissue)</w:t>
      </w:r>
      <w:r w:rsidR="000626D8" w:rsidRPr="007507D2">
        <w:t xml:space="preserve">. </w:t>
      </w:r>
      <w:r w:rsidR="004F2344" w:rsidRPr="007507D2">
        <w:t xml:space="preserve">Box plots show median (centre line), interquartile range (box edges: 25th-75th percentiles), whiskers extending to the most extreme values within 1.5× interquartile range, and outliers as individual points beyond whiskers. Statistical analysis was performed using the Mann-Whitney U test (two-sided) with exact </w:t>
      </w:r>
      <w:r w:rsidR="004F2344" w:rsidRPr="007507D2">
        <w:rPr>
          <w:i/>
          <w:iCs/>
        </w:rPr>
        <w:t>p</w:t>
      </w:r>
      <w:r w:rsidR="004F2344" w:rsidRPr="007507D2">
        <w:t xml:space="preserve">-values to compare medians of </w:t>
      </w:r>
      <w:r w:rsidR="00F60331">
        <w:t>phage</w:t>
      </w:r>
      <w:r w:rsidR="004F2344" w:rsidRPr="007507D2">
        <w:t xml:space="preserve"> count between groups. </w:t>
      </w:r>
      <w:r w:rsidRPr="007507D2">
        <w:t xml:space="preserve"> (D) Growth kinetics (OD600) of ECC isolate ALF22D176 challenged with </w:t>
      </w:r>
      <w:r w:rsidR="00C44444" w:rsidRPr="007507D2">
        <w:t>cocktail-V1 and its phage components</w:t>
      </w:r>
      <w:r w:rsidRPr="007507D2">
        <w:t xml:space="preserve">. (E) Growth kinetics (OD600) of ECC isolate ALF22D176 challenged with </w:t>
      </w:r>
      <w:r w:rsidR="00C44444" w:rsidRPr="007507D2">
        <w:rPr>
          <w:i/>
          <w:iCs/>
        </w:rPr>
        <w:t>Entelli-02</w:t>
      </w:r>
      <w:r w:rsidR="00C44444" w:rsidRPr="007507D2">
        <w:t xml:space="preserve"> and its phage components</w:t>
      </w:r>
      <w:r w:rsidRPr="007507D2">
        <w:t xml:space="preserve">. (F) </w:t>
      </w:r>
      <w:r w:rsidRPr="007507D2">
        <w:rPr>
          <w:i/>
          <w:iCs/>
        </w:rPr>
        <w:t>In-vivo</w:t>
      </w:r>
      <w:r w:rsidRPr="007507D2">
        <w:t xml:space="preserve"> phage titr</w:t>
      </w:r>
      <w:r w:rsidR="003506E8" w:rsidRPr="007507D2">
        <w:t>e</w:t>
      </w:r>
      <w:r w:rsidRPr="007507D2">
        <w:t xml:space="preserve">s recovered from tissues of mice infected with ALF22D176. </w:t>
      </w:r>
      <w:r w:rsidR="00323ADC" w:rsidRPr="007507D2">
        <w:t>B</w:t>
      </w:r>
      <w:r w:rsidRPr="007507D2">
        <w:t>ox plots show phage titr</w:t>
      </w:r>
      <w:r w:rsidR="00323ADC" w:rsidRPr="007507D2">
        <w:t>e</w:t>
      </w:r>
      <w:r w:rsidRPr="007507D2">
        <w:t>s in four organs/tissues, with medians, interquartile ranges, and outliers indicated</w:t>
      </w:r>
      <w:r w:rsidR="00076B59">
        <w:t xml:space="preserve"> as above</w:t>
      </w:r>
      <w:r w:rsidRPr="007507D2">
        <w:t xml:space="preserve">. </w:t>
      </w:r>
      <w:r w:rsidR="008124AC" w:rsidRPr="007507D2">
        <w:t>Data points represent individual mice (</w:t>
      </w:r>
      <w:r w:rsidR="008124AC" w:rsidRPr="007507D2">
        <w:rPr>
          <w:i/>
          <w:iCs/>
        </w:rPr>
        <w:t>n</w:t>
      </w:r>
      <w:r w:rsidR="008124AC" w:rsidRPr="007507D2">
        <w:t xml:space="preserve"> = </w:t>
      </w:r>
      <w:r w:rsidR="008124AC">
        <w:t xml:space="preserve">6/group </w:t>
      </w:r>
      <w:r w:rsidR="008124AC" w:rsidRPr="007507D2">
        <w:t>×</w:t>
      </w:r>
      <w:r w:rsidR="008124AC">
        <w:t xml:space="preserve"> 4 organs or tissue)</w:t>
      </w:r>
      <w:r w:rsidR="008124AC" w:rsidRPr="007507D2">
        <w:t>.</w:t>
      </w:r>
      <w:r w:rsidR="008124AC">
        <w:t xml:space="preserve"> </w:t>
      </w:r>
      <w:r w:rsidR="00C22572" w:rsidRPr="007507D2">
        <w:t xml:space="preserve">Statistical analysis was performed </w:t>
      </w:r>
      <w:r w:rsidR="00C22572">
        <w:t>as above.</w:t>
      </w:r>
      <w:r w:rsidR="00323ADC" w:rsidRPr="007507D2">
        <w:t xml:space="preserve"> Dotted lines in panels C and F represent detection limits.  </w:t>
      </w:r>
    </w:p>
    <w:p w14:paraId="7C5E3F38" w14:textId="77777777" w:rsidR="00935085" w:rsidRPr="007507D2" w:rsidRDefault="00935085" w:rsidP="006C365B">
      <w:pPr>
        <w:jc w:val="both"/>
      </w:pPr>
    </w:p>
    <w:p w14:paraId="5005C233" w14:textId="1795C54F" w:rsidR="006A54BB" w:rsidRPr="007507D2" w:rsidRDefault="008A09B5" w:rsidP="009B00F5">
      <w:pPr>
        <w:jc w:val="both"/>
        <w:rPr>
          <w:lang w:val="en-GB"/>
        </w:rPr>
      </w:pPr>
      <w:r w:rsidRPr="007507D2">
        <w:rPr>
          <w:b/>
          <w:bCs/>
        </w:rPr>
        <w:t xml:space="preserve">Extended Data </w:t>
      </w:r>
      <w:r w:rsidR="00323ADC" w:rsidRPr="007507D2">
        <w:rPr>
          <w:b/>
          <w:bCs/>
        </w:rPr>
        <w:t>Table 1</w:t>
      </w:r>
      <w:r w:rsidR="009B00F5" w:rsidRPr="007507D2">
        <w:t xml:space="preserve">. </w:t>
      </w:r>
      <w:r w:rsidR="007A2846" w:rsidRPr="007507D2">
        <w:rPr>
          <w:lang w:val="en-GB"/>
        </w:rPr>
        <w:t>Volume and phage titre recovery during phage production</w:t>
      </w:r>
    </w:p>
    <w:p w14:paraId="28856A67" w14:textId="77777777" w:rsidR="007A2846" w:rsidRPr="007507D2" w:rsidRDefault="007A2846" w:rsidP="009B00F5">
      <w:pPr>
        <w:jc w:val="both"/>
        <w:rPr>
          <w:lang w:val="en-GB"/>
        </w:rPr>
      </w:pPr>
    </w:p>
    <w:p w14:paraId="09FF59A4" w14:textId="291A96D0" w:rsidR="007A2846" w:rsidRPr="007507D2" w:rsidRDefault="007A2846" w:rsidP="009B00F5">
      <w:pPr>
        <w:jc w:val="both"/>
        <w:rPr>
          <w:b/>
          <w:bCs/>
          <w:i/>
          <w:iCs/>
        </w:rPr>
      </w:pPr>
      <w:r w:rsidRPr="007507D2">
        <w:rPr>
          <w:b/>
          <w:bCs/>
          <w:lang w:val="en-GB"/>
        </w:rPr>
        <w:t xml:space="preserve">Extended Data Table 2. </w:t>
      </w:r>
      <w:r w:rsidRPr="007507D2">
        <w:rPr>
          <w:lang w:val="en-GB"/>
        </w:rPr>
        <w:t xml:space="preserve">Genome and prophage analysis of </w:t>
      </w:r>
      <w:r w:rsidRPr="007507D2">
        <w:rPr>
          <w:i/>
          <w:iCs/>
          <w:lang w:val="en-GB"/>
        </w:rPr>
        <w:t>Entelli-02</w:t>
      </w:r>
    </w:p>
    <w:p w14:paraId="508CADF9" w14:textId="77777777" w:rsidR="006A54BB" w:rsidRPr="007507D2" w:rsidRDefault="006A54BB"/>
    <w:p w14:paraId="3A5FC681" w14:textId="77777777" w:rsidR="006A54BB" w:rsidRPr="007507D2" w:rsidRDefault="006A54BB"/>
    <w:p w14:paraId="3D3936A9" w14:textId="77777777" w:rsidR="005C0A23" w:rsidRDefault="008D4FA6">
      <w:pPr>
        <w:rPr>
          <w:b/>
          <w:bCs/>
        </w:rPr>
      </w:pPr>
      <w:r w:rsidRPr="005C0A23">
        <w:rPr>
          <w:b/>
          <w:bCs/>
        </w:rPr>
        <w:t>Supplementary Data/Figure</w:t>
      </w:r>
      <w:r w:rsidR="005C0A23">
        <w:rPr>
          <w:b/>
          <w:bCs/>
        </w:rPr>
        <w:t>s</w:t>
      </w:r>
    </w:p>
    <w:p w14:paraId="11712171" w14:textId="758CFFAB" w:rsidR="008D4FA6" w:rsidRPr="005C0A23" w:rsidRDefault="008D4FA6">
      <w:pPr>
        <w:rPr>
          <w:b/>
          <w:bCs/>
        </w:rPr>
      </w:pPr>
      <w:r w:rsidRPr="005C0A23">
        <w:rPr>
          <w:b/>
          <w:bCs/>
        </w:rPr>
        <w:t xml:space="preserve"> </w:t>
      </w:r>
    </w:p>
    <w:p w14:paraId="51C67326" w14:textId="463BABDC" w:rsidR="008D4FA6" w:rsidRPr="007507D2" w:rsidRDefault="0002235D">
      <w:r w:rsidRPr="007507D2">
        <w:rPr>
          <w:b/>
          <w:bCs/>
        </w:rPr>
        <w:t>Supplementary Fig</w:t>
      </w:r>
      <w:r w:rsidR="00AD10AC" w:rsidRPr="007507D2">
        <w:rPr>
          <w:b/>
          <w:bCs/>
        </w:rPr>
        <w:t>ure</w:t>
      </w:r>
      <w:r w:rsidRPr="007507D2">
        <w:rPr>
          <w:b/>
          <w:bCs/>
        </w:rPr>
        <w:t xml:space="preserve"> 1</w:t>
      </w:r>
      <w:r w:rsidR="00532983" w:rsidRPr="007507D2">
        <w:rPr>
          <w:b/>
          <w:bCs/>
        </w:rPr>
        <w:t>.</w:t>
      </w:r>
      <w:r w:rsidR="00532983" w:rsidRPr="007507D2">
        <w:t xml:space="preserve"> Comparative genome analysis and phylogenetic relationships of phages in the phage cocktail. (A) Whole-genome BLAST comparison of the five phages included in the cocktail, visualized using Clinker (https://github.com/gamcil/clinker).Genome sizes (in base pairs) are indicated. (B) Maximum likelihood phylogenetic tree of phages belonging to the </w:t>
      </w:r>
      <w:proofErr w:type="spellStart"/>
      <w:r w:rsidR="00532983" w:rsidRPr="007507D2">
        <w:rPr>
          <w:i/>
          <w:iCs/>
        </w:rPr>
        <w:t>Karamvirus</w:t>
      </w:r>
      <w:proofErr w:type="spellEnd"/>
      <w:r w:rsidR="00532983" w:rsidRPr="007507D2">
        <w:t xml:space="preserve"> and </w:t>
      </w:r>
      <w:proofErr w:type="spellStart"/>
      <w:r w:rsidR="00532983" w:rsidRPr="007507D2">
        <w:rPr>
          <w:i/>
          <w:iCs/>
        </w:rPr>
        <w:t>Pseudotevenvirus</w:t>
      </w:r>
      <w:proofErr w:type="spellEnd"/>
      <w:r w:rsidR="00532983" w:rsidRPr="007507D2">
        <w:t xml:space="preserve"> genera within the </w:t>
      </w:r>
      <w:proofErr w:type="spellStart"/>
      <w:r w:rsidR="00532983" w:rsidRPr="007507D2">
        <w:rPr>
          <w:i/>
          <w:iCs/>
        </w:rPr>
        <w:t>Straboviridae</w:t>
      </w:r>
      <w:proofErr w:type="spellEnd"/>
      <w:r w:rsidR="00532983" w:rsidRPr="007507D2">
        <w:t xml:space="preserve"> family, based on whole-genome alignment. Branch support values are shown as bootstrap percentages. Cocktail phages are highlighted in red.  </w:t>
      </w:r>
    </w:p>
    <w:p w14:paraId="4890B968" w14:textId="77777777" w:rsidR="00947362" w:rsidRPr="007507D2" w:rsidRDefault="00947362"/>
    <w:p w14:paraId="358FEC2A" w14:textId="439F3952" w:rsidR="0002235D" w:rsidRPr="007507D2" w:rsidRDefault="0002235D" w:rsidP="00947362">
      <w:r w:rsidRPr="007507D2">
        <w:rPr>
          <w:b/>
          <w:bCs/>
        </w:rPr>
        <w:t>Supplementary Fig</w:t>
      </w:r>
      <w:r w:rsidR="00AD10AC" w:rsidRPr="007507D2">
        <w:rPr>
          <w:b/>
          <w:bCs/>
        </w:rPr>
        <w:t>ure</w:t>
      </w:r>
      <w:r w:rsidRPr="007507D2">
        <w:rPr>
          <w:b/>
          <w:bCs/>
        </w:rPr>
        <w:t xml:space="preserve"> 2</w:t>
      </w:r>
      <w:r w:rsidR="00947362" w:rsidRPr="007507D2">
        <w:rPr>
          <w:b/>
          <w:bCs/>
        </w:rPr>
        <w:t>.</w:t>
      </w:r>
      <w:r w:rsidR="00947362" w:rsidRPr="007507D2">
        <w:t xml:space="preserve"> Average nucleotide identity of cocktail phages with their close match of the genus </w:t>
      </w:r>
      <w:proofErr w:type="spellStart"/>
      <w:r w:rsidR="00947362" w:rsidRPr="007507D2">
        <w:rPr>
          <w:i/>
          <w:iCs/>
        </w:rPr>
        <w:t>Karamvirus</w:t>
      </w:r>
      <w:proofErr w:type="spellEnd"/>
      <w:r w:rsidR="00947362" w:rsidRPr="007507D2">
        <w:t xml:space="preserve"> and </w:t>
      </w:r>
      <w:proofErr w:type="spellStart"/>
      <w:r w:rsidR="00947362" w:rsidRPr="007507D2">
        <w:rPr>
          <w:i/>
          <w:iCs/>
        </w:rPr>
        <w:t>Pseudotevenvirus</w:t>
      </w:r>
      <w:proofErr w:type="spellEnd"/>
      <w:r w:rsidR="00947362" w:rsidRPr="007507D2">
        <w:t xml:space="preserve"> genera within </w:t>
      </w:r>
      <w:proofErr w:type="spellStart"/>
      <w:r w:rsidR="00947362" w:rsidRPr="007507D2">
        <w:rPr>
          <w:i/>
          <w:iCs/>
        </w:rPr>
        <w:t>Straboviridae</w:t>
      </w:r>
      <w:proofErr w:type="spellEnd"/>
      <w:r w:rsidR="00947362" w:rsidRPr="007507D2">
        <w:t xml:space="preserve">. </w:t>
      </w:r>
      <w:r w:rsidRPr="007507D2">
        <w:t xml:space="preserve"> </w:t>
      </w:r>
    </w:p>
    <w:p w14:paraId="1CE44093" w14:textId="77777777" w:rsidR="00947362" w:rsidRPr="007507D2" w:rsidRDefault="00947362" w:rsidP="00947362"/>
    <w:p w14:paraId="05C84EC8" w14:textId="7413DAFB" w:rsidR="00AD10AC" w:rsidRPr="007507D2" w:rsidRDefault="002F3882">
      <w:r w:rsidRPr="007507D2">
        <w:rPr>
          <w:b/>
          <w:bCs/>
        </w:rPr>
        <w:t>Supplementary Fig</w:t>
      </w:r>
      <w:r w:rsidR="00AD10AC" w:rsidRPr="007507D2">
        <w:rPr>
          <w:b/>
          <w:bCs/>
        </w:rPr>
        <w:t>ure</w:t>
      </w:r>
      <w:r w:rsidRPr="007507D2">
        <w:rPr>
          <w:b/>
          <w:bCs/>
        </w:rPr>
        <w:t xml:space="preserve"> 3</w:t>
      </w:r>
      <w:r w:rsidR="00947362" w:rsidRPr="007507D2">
        <w:rPr>
          <w:b/>
          <w:bCs/>
        </w:rPr>
        <w:t xml:space="preserve">. </w:t>
      </w:r>
      <w:r w:rsidR="006E2D78" w:rsidRPr="007507D2">
        <w:t>(A) Host range map of the phages against wild-type (</w:t>
      </w:r>
      <w:r w:rsidR="006E2D78" w:rsidRPr="007507D2">
        <w:rPr>
          <w:i/>
          <w:iCs/>
        </w:rPr>
        <w:t>n</w:t>
      </w:r>
      <w:r w:rsidR="006E2D78" w:rsidRPr="007507D2">
        <w:t xml:space="preserve"> = 36) </w:t>
      </w:r>
      <w:r w:rsidR="00AD10AC" w:rsidRPr="007507D2">
        <w:t>and phage</w:t>
      </w:r>
      <w:r w:rsidR="006E2D78" w:rsidRPr="007507D2">
        <w:t xml:space="preserve">-resistant mutants (n = 3). The rows show the bacterial </w:t>
      </w:r>
      <w:r w:rsidR="00AD10AC" w:rsidRPr="007507D2">
        <w:t>isolates,</w:t>
      </w:r>
      <w:r w:rsidR="006E2D78" w:rsidRPr="007507D2">
        <w:t xml:space="preserve"> and the columns show the isolated phages. Red means that the phage completely lysed the host and light blue means no lysis of the host. (B) Colonisation of ECC isolate APO57 in different mouse organs 12 hours post intraperitoneal infection. Mice were injected with 8.1 × 10⁵ CFU of APO57 per mouse (dotted line). Bacterial loads were measured in various organs 12 hours post-infection. Mouse 3 cleared the infection, while low-level colonization was observed in mice 1 and 2. (C) Colonisation of ECC isolate APO57 in mouse organs 12 hours post intraperitoneal </w:t>
      </w:r>
      <w:proofErr w:type="spellStart"/>
      <w:proofErr w:type="gramStart"/>
      <w:r w:rsidR="006E2D78" w:rsidRPr="007507D2">
        <w:t>infection.Mice</w:t>
      </w:r>
      <w:proofErr w:type="spellEnd"/>
      <w:proofErr w:type="gramEnd"/>
      <w:r w:rsidR="006E2D78" w:rsidRPr="007507D2">
        <w:t xml:space="preserve"> were injected intraperitoneally with 4.67 × 10⁶ CFU of ECC per mouse (dotted line). At 24 hours post-infection (</w:t>
      </w:r>
      <w:proofErr w:type="spellStart"/>
      <w:r w:rsidR="006E2D78" w:rsidRPr="007507D2">
        <w:t>hpi</w:t>
      </w:r>
      <w:proofErr w:type="spellEnd"/>
      <w:r w:rsidR="006E2D78" w:rsidRPr="007507D2">
        <w:t xml:space="preserve">), all mice showed clinical signs and consistent bacterial colonization across vital organs. </w:t>
      </w:r>
      <w:r w:rsidR="00390E91" w:rsidRPr="007507D2">
        <w:t xml:space="preserve"> Dots represent data form each mouse</w:t>
      </w:r>
      <w:r w:rsidR="00782874">
        <w:t xml:space="preserve"> (</w:t>
      </w:r>
      <w:r w:rsidR="00782874" w:rsidRPr="00782874">
        <w:rPr>
          <w:i/>
          <w:iCs/>
        </w:rPr>
        <w:t>n</w:t>
      </w:r>
      <w:r w:rsidR="00782874">
        <w:t xml:space="preserve"> = 3)</w:t>
      </w:r>
      <w:r w:rsidR="00390E91" w:rsidRPr="007507D2">
        <w:t xml:space="preserve">. </w:t>
      </w:r>
      <w:r w:rsidR="006E2D78" w:rsidRPr="007507D2">
        <w:t>(D) Representative photograph of spot plate assay on ECC isolates and classification of complete and partial lysis due to phage infection.</w:t>
      </w:r>
    </w:p>
    <w:p w14:paraId="035A6A48" w14:textId="77777777" w:rsidR="00C24CD8" w:rsidRPr="007507D2" w:rsidRDefault="00C24CD8"/>
    <w:p w14:paraId="3968D104" w14:textId="720335DF" w:rsidR="008D4FA6" w:rsidRPr="007507D2" w:rsidRDefault="008D4FA6">
      <w:r w:rsidRPr="007507D2">
        <w:rPr>
          <w:b/>
          <w:bCs/>
        </w:rPr>
        <w:t xml:space="preserve">Supplementary </w:t>
      </w:r>
      <w:r w:rsidR="00532983" w:rsidRPr="007507D2">
        <w:rPr>
          <w:b/>
          <w:bCs/>
        </w:rPr>
        <w:t>D</w:t>
      </w:r>
      <w:r w:rsidRPr="007507D2">
        <w:rPr>
          <w:b/>
          <w:bCs/>
        </w:rPr>
        <w:t>ata</w:t>
      </w:r>
      <w:r w:rsidR="008F4943" w:rsidRPr="007507D2">
        <w:rPr>
          <w:b/>
          <w:bCs/>
        </w:rPr>
        <w:t xml:space="preserve"> 1.</w:t>
      </w:r>
      <w:r w:rsidR="008F4943" w:rsidRPr="007507D2">
        <w:t xml:space="preserve"> List of isolates collection</w:t>
      </w:r>
    </w:p>
    <w:p w14:paraId="6597D140" w14:textId="77777777" w:rsidR="00C24CD8" w:rsidRPr="007507D2" w:rsidRDefault="00C24CD8"/>
    <w:p w14:paraId="4C3D882C" w14:textId="10B2734B" w:rsidR="00226484" w:rsidRPr="007507D2" w:rsidRDefault="007A2846">
      <w:r w:rsidRPr="007507D2">
        <w:rPr>
          <w:b/>
          <w:bCs/>
        </w:rPr>
        <w:t xml:space="preserve">Supplementary </w:t>
      </w:r>
      <w:r w:rsidR="00532983" w:rsidRPr="007507D2">
        <w:rPr>
          <w:b/>
          <w:bCs/>
        </w:rPr>
        <w:t>D</w:t>
      </w:r>
      <w:r w:rsidRPr="007507D2">
        <w:rPr>
          <w:b/>
          <w:bCs/>
        </w:rPr>
        <w:t>ata</w:t>
      </w:r>
      <w:r w:rsidRPr="007507D2">
        <w:t xml:space="preserve"> </w:t>
      </w:r>
      <w:r w:rsidRPr="007507D2">
        <w:rPr>
          <w:b/>
          <w:bCs/>
        </w:rPr>
        <w:t>2.</w:t>
      </w:r>
      <w:r w:rsidR="00026B48" w:rsidRPr="007507D2">
        <w:t xml:space="preserve"> </w:t>
      </w:r>
      <w:r w:rsidR="00DC6A6D" w:rsidRPr="007507D2">
        <w:t>Comprehensive list of single nucleotide polymorphisms and nucleotide variants detected in phage-resistant mutants.</w:t>
      </w:r>
    </w:p>
    <w:p w14:paraId="0FB127B4" w14:textId="77777777" w:rsidR="00C24CD8" w:rsidRPr="007507D2" w:rsidRDefault="00C24CD8"/>
    <w:p w14:paraId="50476A34" w14:textId="3CC86AAE" w:rsidR="008D4FA6" w:rsidRPr="007507D2" w:rsidRDefault="00C24CD8">
      <w:r w:rsidRPr="007507D2">
        <w:rPr>
          <w:b/>
          <w:bCs/>
        </w:rPr>
        <w:t>Supplementary Table 1.</w:t>
      </w:r>
      <w:r w:rsidRPr="007507D2">
        <w:t xml:space="preserve"> Plasmids and primers used in the complementation experiments</w:t>
      </w:r>
    </w:p>
    <w:p w14:paraId="5D179A48" w14:textId="77777777" w:rsidR="008D4FA6" w:rsidRPr="007507D2" w:rsidRDefault="008D4FA6"/>
    <w:p w14:paraId="377991A8" w14:textId="77777777" w:rsidR="008D4FA6" w:rsidRPr="007507D2" w:rsidRDefault="008D4FA6"/>
    <w:sectPr w:rsidR="008D4FA6" w:rsidRPr="00750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EF"/>
    <w:rsid w:val="00007099"/>
    <w:rsid w:val="000119B7"/>
    <w:rsid w:val="0002235D"/>
    <w:rsid w:val="00024F38"/>
    <w:rsid w:val="00026B48"/>
    <w:rsid w:val="00027F6D"/>
    <w:rsid w:val="00044F07"/>
    <w:rsid w:val="0005056D"/>
    <w:rsid w:val="000626D8"/>
    <w:rsid w:val="0006272D"/>
    <w:rsid w:val="00076B59"/>
    <w:rsid w:val="000935D3"/>
    <w:rsid w:val="000B499E"/>
    <w:rsid w:val="000B4B24"/>
    <w:rsid w:val="000B4CF9"/>
    <w:rsid w:val="000B4F4D"/>
    <w:rsid w:val="000B7B40"/>
    <w:rsid w:val="000E03D1"/>
    <w:rsid w:val="000F19B3"/>
    <w:rsid w:val="000F1C31"/>
    <w:rsid w:val="00102A75"/>
    <w:rsid w:val="0011764D"/>
    <w:rsid w:val="001301EF"/>
    <w:rsid w:val="001309DF"/>
    <w:rsid w:val="001319D4"/>
    <w:rsid w:val="001411CA"/>
    <w:rsid w:val="00145B6C"/>
    <w:rsid w:val="00161422"/>
    <w:rsid w:val="0017247F"/>
    <w:rsid w:val="00180691"/>
    <w:rsid w:val="001913AF"/>
    <w:rsid w:val="001B625C"/>
    <w:rsid w:val="001D20E4"/>
    <w:rsid w:val="001D6B7D"/>
    <w:rsid w:val="001E2376"/>
    <w:rsid w:val="001F1843"/>
    <w:rsid w:val="00201D04"/>
    <w:rsid w:val="00226484"/>
    <w:rsid w:val="002305AB"/>
    <w:rsid w:val="00234C36"/>
    <w:rsid w:val="00250B1C"/>
    <w:rsid w:val="0026578E"/>
    <w:rsid w:val="00273E99"/>
    <w:rsid w:val="00295C17"/>
    <w:rsid w:val="002A1D16"/>
    <w:rsid w:val="002A4C26"/>
    <w:rsid w:val="002B3D4C"/>
    <w:rsid w:val="002D2FEB"/>
    <w:rsid w:val="002D37F9"/>
    <w:rsid w:val="002D5646"/>
    <w:rsid w:val="002D5D80"/>
    <w:rsid w:val="002F3882"/>
    <w:rsid w:val="003024B2"/>
    <w:rsid w:val="00302CBE"/>
    <w:rsid w:val="003035F7"/>
    <w:rsid w:val="0030377E"/>
    <w:rsid w:val="003129A3"/>
    <w:rsid w:val="00313579"/>
    <w:rsid w:val="00317EF5"/>
    <w:rsid w:val="00320821"/>
    <w:rsid w:val="00322847"/>
    <w:rsid w:val="00323ADC"/>
    <w:rsid w:val="00330A79"/>
    <w:rsid w:val="00350532"/>
    <w:rsid w:val="003506E8"/>
    <w:rsid w:val="003731A5"/>
    <w:rsid w:val="0038023E"/>
    <w:rsid w:val="00390E91"/>
    <w:rsid w:val="003C0282"/>
    <w:rsid w:val="003D26E0"/>
    <w:rsid w:val="003D28C8"/>
    <w:rsid w:val="003E22A7"/>
    <w:rsid w:val="003E7916"/>
    <w:rsid w:val="003F1291"/>
    <w:rsid w:val="00403D7C"/>
    <w:rsid w:val="00404DAF"/>
    <w:rsid w:val="004423F6"/>
    <w:rsid w:val="004548FB"/>
    <w:rsid w:val="0046352E"/>
    <w:rsid w:val="004924F7"/>
    <w:rsid w:val="004927AA"/>
    <w:rsid w:val="004A7166"/>
    <w:rsid w:val="004C4259"/>
    <w:rsid w:val="004E6EE2"/>
    <w:rsid w:val="004E71CA"/>
    <w:rsid w:val="004F2344"/>
    <w:rsid w:val="00515C29"/>
    <w:rsid w:val="00522AF3"/>
    <w:rsid w:val="00532983"/>
    <w:rsid w:val="00536B97"/>
    <w:rsid w:val="00542B6D"/>
    <w:rsid w:val="00547114"/>
    <w:rsid w:val="005536B8"/>
    <w:rsid w:val="00587F03"/>
    <w:rsid w:val="005B251D"/>
    <w:rsid w:val="005B3E0B"/>
    <w:rsid w:val="005C0A23"/>
    <w:rsid w:val="005E4567"/>
    <w:rsid w:val="005E488B"/>
    <w:rsid w:val="006053B9"/>
    <w:rsid w:val="006145A9"/>
    <w:rsid w:val="006318D3"/>
    <w:rsid w:val="00635FEF"/>
    <w:rsid w:val="006474C3"/>
    <w:rsid w:val="006478F9"/>
    <w:rsid w:val="006531B7"/>
    <w:rsid w:val="00655E61"/>
    <w:rsid w:val="0066209D"/>
    <w:rsid w:val="00667B2A"/>
    <w:rsid w:val="006A00E5"/>
    <w:rsid w:val="006A0857"/>
    <w:rsid w:val="006A4027"/>
    <w:rsid w:val="006A54BB"/>
    <w:rsid w:val="006C365B"/>
    <w:rsid w:val="006C4F00"/>
    <w:rsid w:val="006D7D34"/>
    <w:rsid w:val="006E2D78"/>
    <w:rsid w:val="006F6130"/>
    <w:rsid w:val="00707754"/>
    <w:rsid w:val="00732382"/>
    <w:rsid w:val="0073315A"/>
    <w:rsid w:val="00733B12"/>
    <w:rsid w:val="00741540"/>
    <w:rsid w:val="00741DF0"/>
    <w:rsid w:val="007455AB"/>
    <w:rsid w:val="00747A39"/>
    <w:rsid w:val="007507D2"/>
    <w:rsid w:val="00753C7C"/>
    <w:rsid w:val="0075700F"/>
    <w:rsid w:val="007605CD"/>
    <w:rsid w:val="0077208D"/>
    <w:rsid w:val="0078044F"/>
    <w:rsid w:val="00782874"/>
    <w:rsid w:val="00785BA3"/>
    <w:rsid w:val="00785DB3"/>
    <w:rsid w:val="007925C5"/>
    <w:rsid w:val="00792643"/>
    <w:rsid w:val="007A2846"/>
    <w:rsid w:val="007B3057"/>
    <w:rsid w:val="007C7A78"/>
    <w:rsid w:val="007C7B97"/>
    <w:rsid w:val="007D5DAC"/>
    <w:rsid w:val="007D7907"/>
    <w:rsid w:val="007E467E"/>
    <w:rsid w:val="007E5495"/>
    <w:rsid w:val="007E7975"/>
    <w:rsid w:val="007F1EB6"/>
    <w:rsid w:val="00802565"/>
    <w:rsid w:val="008062D7"/>
    <w:rsid w:val="008124AC"/>
    <w:rsid w:val="0081556D"/>
    <w:rsid w:val="00826242"/>
    <w:rsid w:val="008303B7"/>
    <w:rsid w:val="008539ED"/>
    <w:rsid w:val="00857E28"/>
    <w:rsid w:val="00870F85"/>
    <w:rsid w:val="0088096B"/>
    <w:rsid w:val="00892569"/>
    <w:rsid w:val="008A09B5"/>
    <w:rsid w:val="008C2ACF"/>
    <w:rsid w:val="008D3C90"/>
    <w:rsid w:val="008D4FA6"/>
    <w:rsid w:val="008E0008"/>
    <w:rsid w:val="008E5860"/>
    <w:rsid w:val="008E6703"/>
    <w:rsid w:val="008F4943"/>
    <w:rsid w:val="008F4CBF"/>
    <w:rsid w:val="00900629"/>
    <w:rsid w:val="00932976"/>
    <w:rsid w:val="00935085"/>
    <w:rsid w:val="009357BC"/>
    <w:rsid w:val="0094211A"/>
    <w:rsid w:val="00946C57"/>
    <w:rsid w:val="00947362"/>
    <w:rsid w:val="009476F3"/>
    <w:rsid w:val="0098310C"/>
    <w:rsid w:val="0099589D"/>
    <w:rsid w:val="009A369C"/>
    <w:rsid w:val="009B00F5"/>
    <w:rsid w:val="009D5249"/>
    <w:rsid w:val="009D703F"/>
    <w:rsid w:val="009E13B4"/>
    <w:rsid w:val="00A1308E"/>
    <w:rsid w:val="00A16134"/>
    <w:rsid w:val="00A201F8"/>
    <w:rsid w:val="00A35873"/>
    <w:rsid w:val="00A42C08"/>
    <w:rsid w:val="00A4403F"/>
    <w:rsid w:val="00A72BF8"/>
    <w:rsid w:val="00A7714C"/>
    <w:rsid w:val="00A85375"/>
    <w:rsid w:val="00A916FF"/>
    <w:rsid w:val="00AA3711"/>
    <w:rsid w:val="00AA6462"/>
    <w:rsid w:val="00AB41C4"/>
    <w:rsid w:val="00AC1EDA"/>
    <w:rsid w:val="00AD10AC"/>
    <w:rsid w:val="00AD6B94"/>
    <w:rsid w:val="00AE0F0E"/>
    <w:rsid w:val="00AE20B7"/>
    <w:rsid w:val="00AF4BFA"/>
    <w:rsid w:val="00AF59B3"/>
    <w:rsid w:val="00AF7300"/>
    <w:rsid w:val="00B10A51"/>
    <w:rsid w:val="00B11364"/>
    <w:rsid w:val="00B141FC"/>
    <w:rsid w:val="00B16CEB"/>
    <w:rsid w:val="00B26489"/>
    <w:rsid w:val="00B279B5"/>
    <w:rsid w:val="00B42BBD"/>
    <w:rsid w:val="00B43B31"/>
    <w:rsid w:val="00B44D1A"/>
    <w:rsid w:val="00B6342A"/>
    <w:rsid w:val="00B73197"/>
    <w:rsid w:val="00B80E92"/>
    <w:rsid w:val="00B84EAA"/>
    <w:rsid w:val="00B86931"/>
    <w:rsid w:val="00BA6F38"/>
    <w:rsid w:val="00BA764E"/>
    <w:rsid w:val="00BA7DC2"/>
    <w:rsid w:val="00BB7C19"/>
    <w:rsid w:val="00BD4D1A"/>
    <w:rsid w:val="00BF1A88"/>
    <w:rsid w:val="00BF4ED4"/>
    <w:rsid w:val="00C126C7"/>
    <w:rsid w:val="00C22572"/>
    <w:rsid w:val="00C23482"/>
    <w:rsid w:val="00C24CD8"/>
    <w:rsid w:val="00C368B4"/>
    <w:rsid w:val="00C41B58"/>
    <w:rsid w:val="00C44444"/>
    <w:rsid w:val="00C459AC"/>
    <w:rsid w:val="00C50508"/>
    <w:rsid w:val="00C559B0"/>
    <w:rsid w:val="00C57042"/>
    <w:rsid w:val="00C82A2C"/>
    <w:rsid w:val="00CA3C22"/>
    <w:rsid w:val="00CB5B7D"/>
    <w:rsid w:val="00CC4526"/>
    <w:rsid w:val="00CD0381"/>
    <w:rsid w:val="00CD1218"/>
    <w:rsid w:val="00CD15C8"/>
    <w:rsid w:val="00CE70A9"/>
    <w:rsid w:val="00D075F6"/>
    <w:rsid w:val="00D31600"/>
    <w:rsid w:val="00D7066B"/>
    <w:rsid w:val="00D91D43"/>
    <w:rsid w:val="00DA48AA"/>
    <w:rsid w:val="00DA5BFD"/>
    <w:rsid w:val="00DB3307"/>
    <w:rsid w:val="00DC2E01"/>
    <w:rsid w:val="00DC6A6D"/>
    <w:rsid w:val="00DD247B"/>
    <w:rsid w:val="00DD5AAB"/>
    <w:rsid w:val="00DE19FB"/>
    <w:rsid w:val="00E06306"/>
    <w:rsid w:val="00E06676"/>
    <w:rsid w:val="00E06F88"/>
    <w:rsid w:val="00E07083"/>
    <w:rsid w:val="00E1295C"/>
    <w:rsid w:val="00E22D85"/>
    <w:rsid w:val="00E22F3D"/>
    <w:rsid w:val="00E24333"/>
    <w:rsid w:val="00E340CD"/>
    <w:rsid w:val="00E350C6"/>
    <w:rsid w:val="00E379D7"/>
    <w:rsid w:val="00E418C3"/>
    <w:rsid w:val="00E46DFA"/>
    <w:rsid w:val="00E608B9"/>
    <w:rsid w:val="00E647F9"/>
    <w:rsid w:val="00E736B6"/>
    <w:rsid w:val="00E8196C"/>
    <w:rsid w:val="00E84FC6"/>
    <w:rsid w:val="00EB1D2B"/>
    <w:rsid w:val="00EC055E"/>
    <w:rsid w:val="00EC1227"/>
    <w:rsid w:val="00EC310C"/>
    <w:rsid w:val="00ED0491"/>
    <w:rsid w:val="00ED0E94"/>
    <w:rsid w:val="00ED1F17"/>
    <w:rsid w:val="00ED7003"/>
    <w:rsid w:val="00EE17E8"/>
    <w:rsid w:val="00EF7009"/>
    <w:rsid w:val="00F049A3"/>
    <w:rsid w:val="00F0534A"/>
    <w:rsid w:val="00F44251"/>
    <w:rsid w:val="00F44B3E"/>
    <w:rsid w:val="00F60331"/>
    <w:rsid w:val="00F70AD1"/>
    <w:rsid w:val="00F761AA"/>
    <w:rsid w:val="00F779C9"/>
    <w:rsid w:val="00F84570"/>
    <w:rsid w:val="00F8555B"/>
    <w:rsid w:val="00F9190E"/>
    <w:rsid w:val="00F94EEE"/>
    <w:rsid w:val="00F95812"/>
    <w:rsid w:val="00FA01B5"/>
    <w:rsid w:val="00FA2CF5"/>
    <w:rsid w:val="00FA3FA8"/>
    <w:rsid w:val="00FA5F2B"/>
    <w:rsid w:val="00FA7D0D"/>
    <w:rsid w:val="00FC700E"/>
    <w:rsid w:val="00FD4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B260155"/>
  <w15:chartTrackingRefBased/>
  <w15:docId w15:val="{E295C9BB-2B0E-F24E-83F6-CC2463C4B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E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DB3"/>
    <w:pPr>
      <w:ind w:left="720"/>
      <w:contextualSpacing/>
    </w:pPr>
    <w:rPr>
      <w:rFonts w:asciiTheme="minorHAnsi" w:eastAsiaTheme="minorHAnsi" w:hAnsiTheme="minorHAnsi" w:cstheme="minorBidi"/>
      <w:color w:val="C00000"/>
      <w:lang w:eastAsia="en-US"/>
    </w:rPr>
  </w:style>
  <w:style w:type="character" w:styleId="Strong">
    <w:name w:val="Strong"/>
    <w:basedOn w:val="DefaultParagraphFont"/>
    <w:uiPriority w:val="22"/>
    <w:qFormat/>
    <w:rsid w:val="00AF4BFA"/>
    <w:rPr>
      <w:b/>
      <w:bCs/>
    </w:rPr>
  </w:style>
  <w:style w:type="character" w:styleId="Emphasis">
    <w:name w:val="Emphasis"/>
    <w:basedOn w:val="DefaultParagraphFont"/>
    <w:uiPriority w:val="20"/>
    <w:qFormat/>
    <w:rsid w:val="00AF4BFA"/>
    <w:rPr>
      <w:i/>
      <w:iCs/>
    </w:rPr>
  </w:style>
  <w:style w:type="paragraph" w:customStyle="1" w:styleId="whitespace-normal">
    <w:name w:val="whitespace-normal"/>
    <w:basedOn w:val="Normal"/>
    <w:rsid w:val="00F4425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831369">
      <w:bodyDiv w:val="1"/>
      <w:marLeft w:val="0"/>
      <w:marRight w:val="0"/>
      <w:marTop w:val="0"/>
      <w:marBottom w:val="0"/>
      <w:divBdr>
        <w:top w:val="none" w:sz="0" w:space="0" w:color="auto"/>
        <w:left w:val="none" w:sz="0" w:space="0" w:color="auto"/>
        <w:bottom w:val="none" w:sz="0" w:space="0" w:color="auto"/>
        <w:right w:val="none" w:sz="0" w:space="0" w:color="auto"/>
      </w:divBdr>
    </w:div>
    <w:div w:id="328751270">
      <w:bodyDiv w:val="1"/>
      <w:marLeft w:val="0"/>
      <w:marRight w:val="0"/>
      <w:marTop w:val="0"/>
      <w:marBottom w:val="0"/>
      <w:divBdr>
        <w:top w:val="none" w:sz="0" w:space="0" w:color="auto"/>
        <w:left w:val="none" w:sz="0" w:space="0" w:color="auto"/>
        <w:bottom w:val="none" w:sz="0" w:space="0" w:color="auto"/>
        <w:right w:val="none" w:sz="0" w:space="0" w:color="auto"/>
      </w:divBdr>
    </w:div>
    <w:div w:id="399257483">
      <w:bodyDiv w:val="1"/>
      <w:marLeft w:val="0"/>
      <w:marRight w:val="0"/>
      <w:marTop w:val="0"/>
      <w:marBottom w:val="0"/>
      <w:divBdr>
        <w:top w:val="none" w:sz="0" w:space="0" w:color="auto"/>
        <w:left w:val="none" w:sz="0" w:space="0" w:color="auto"/>
        <w:bottom w:val="none" w:sz="0" w:space="0" w:color="auto"/>
        <w:right w:val="none" w:sz="0" w:space="0" w:color="auto"/>
      </w:divBdr>
    </w:div>
    <w:div w:id="421072100">
      <w:bodyDiv w:val="1"/>
      <w:marLeft w:val="0"/>
      <w:marRight w:val="0"/>
      <w:marTop w:val="0"/>
      <w:marBottom w:val="0"/>
      <w:divBdr>
        <w:top w:val="none" w:sz="0" w:space="0" w:color="auto"/>
        <w:left w:val="none" w:sz="0" w:space="0" w:color="auto"/>
        <w:bottom w:val="none" w:sz="0" w:space="0" w:color="auto"/>
        <w:right w:val="none" w:sz="0" w:space="0" w:color="auto"/>
      </w:divBdr>
    </w:div>
    <w:div w:id="848718011">
      <w:bodyDiv w:val="1"/>
      <w:marLeft w:val="0"/>
      <w:marRight w:val="0"/>
      <w:marTop w:val="0"/>
      <w:marBottom w:val="0"/>
      <w:divBdr>
        <w:top w:val="none" w:sz="0" w:space="0" w:color="auto"/>
        <w:left w:val="none" w:sz="0" w:space="0" w:color="auto"/>
        <w:bottom w:val="none" w:sz="0" w:space="0" w:color="auto"/>
        <w:right w:val="none" w:sz="0" w:space="0" w:color="auto"/>
      </w:divBdr>
    </w:div>
    <w:div w:id="850142364">
      <w:bodyDiv w:val="1"/>
      <w:marLeft w:val="0"/>
      <w:marRight w:val="0"/>
      <w:marTop w:val="0"/>
      <w:marBottom w:val="0"/>
      <w:divBdr>
        <w:top w:val="none" w:sz="0" w:space="0" w:color="auto"/>
        <w:left w:val="none" w:sz="0" w:space="0" w:color="auto"/>
        <w:bottom w:val="none" w:sz="0" w:space="0" w:color="auto"/>
        <w:right w:val="none" w:sz="0" w:space="0" w:color="auto"/>
      </w:divBdr>
    </w:div>
    <w:div w:id="1301693191">
      <w:bodyDiv w:val="1"/>
      <w:marLeft w:val="0"/>
      <w:marRight w:val="0"/>
      <w:marTop w:val="0"/>
      <w:marBottom w:val="0"/>
      <w:divBdr>
        <w:top w:val="none" w:sz="0" w:space="0" w:color="auto"/>
        <w:left w:val="none" w:sz="0" w:space="0" w:color="auto"/>
        <w:bottom w:val="none" w:sz="0" w:space="0" w:color="auto"/>
        <w:right w:val="none" w:sz="0" w:space="0" w:color="auto"/>
      </w:divBdr>
    </w:div>
    <w:div w:id="1469854538">
      <w:bodyDiv w:val="1"/>
      <w:marLeft w:val="0"/>
      <w:marRight w:val="0"/>
      <w:marTop w:val="0"/>
      <w:marBottom w:val="0"/>
      <w:divBdr>
        <w:top w:val="none" w:sz="0" w:space="0" w:color="auto"/>
        <w:left w:val="none" w:sz="0" w:space="0" w:color="auto"/>
        <w:bottom w:val="none" w:sz="0" w:space="0" w:color="auto"/>
        <w:right w:val="none" w:sz="0" w:space="0" w:color="auto"/>
      </w:divBdr>
    </w:div>
    <w:div w:id="1562903199">
      <w:bodyDiv w:val="1"/>
      <w:marLeft w:val="0"/>
      <w:marRight w:val="0"/>
      <w:marTop w:val="0"/>
      <w:marBottom w:val="0"/>
      <w:divBdr>
        <w:top w:val="none" w:sz="0" w:space="0" w:color="auto"/>
        <w:left w:val="none" w:sz="0" w:space="0" w:color="auto"/>
        <w:bottom w:val="none" w:sz="0" w:space="0" w:color="auto"/>
        <w:right w:val="none" w:sz="0" w:space="0" w:color="auto"/>
      </w:divBdr>
    </w:div>
    <w:div w:id="1649356240">
      <w:bodyDiv w:val="1"/>
      <w:marLeft w:val="0"/>
      <w:marRight w:val="0"/>
      <w:marTop w:val="0"/>
      <w:marBottom w:val="0"/>
      <w:divBdr>
        <w:top w:val="none" w:sz="0" w:space="0" w:color="auto"/>
        <w:left w:val="none" w:sz="0" w:space="0" w:color="auto"/>
        <w:bottom w:val="none" w:sz="0" w:space="0" w:color="auto"/>
        <w:right w:val="none" w:sz="0" w:space="0" w:color="auto"/>
      </w:divBdr>
    </w:div>
    <w:div w:id="1789816362">
      <w:bodyDiv w:val="1"/>
      <w:marLeft w:val="0"/>
      <w:marRight w:val="0"/>
      <w:marTop w:val="0"/>
      <w:marBottom w:val="0"/>
      <w:divBdr>
        <w:top w:val="none" w:sz="0" w:space="0" w:color="auto"/>
        <w:left w:val="none" w:sz="0" w:space="0" w:color="auto"/>
        <w:bottom w:val="none" w:sz="0" w:space="0" w:color="auto"/>
        <w:right w:val="none" w:sz="0" w:space="0" w:color="auto"/>
      </w:divBdr>
    </w:div>
    <w:div w:id="1874996271">
      <w:bodyDiv w:val="1"/>
      <w:marLeft w:val="0"/>
      <w:marRight w:val="0"/>
      <w:marTop w:val="0"/>
      <w:marBottom w:val="0"/>
      <w:divBdr>
        <w:top w:val="none" w:sz="0" w:space="0" w:color="auto"/>
        <w:left w:val="none" w:sz="0" w:space="0" w:color="auto"/>
        <w:bottom w:val="none" w:sz="0" w:space="0" w:color="auto"/>
        <w:right w:val="none" w:sz="0" w:space="0" w:color="auto"/>
      </w:divBdr>
    </w:div>
    <w:div w:id="2076119796">
      <w:bodyDiv w:val="1"/>
      <w:marLeft w:val="0"/>
      <w:marRight w:val="0"/>
      <w:marTop w:val="0"/>
      <w:marBottom w:val="0"/>
      <w:divBdr>
        <w:top w:val="none" w:sz="0" w:space="0" w:color="auto"/>
        <w:left w:val="none" w:sz="0" w:space="0" w:color="auto"/>
        <w:bottom w:val="none" w:sz="0" w:space="0" w:color="auto"/>
        <w:right w:val="none" w:sz="0" w:space="0" w:color="auto"/>
      </w:divBdr>
    </w:div>
    <w:div w:id="2142534994">
      <w:bodyDiv w:val="1"/>
      <w:marLeft w:val="0"/>
      <w:marRight w:val="0"/>
      <w:marTop w:val="0"/>
      <w:marBottom w:val="0"/>
      <w:divBdr>
        <w:top w:val="none" w:sz="0" w:space="0" w:color="auto"/>
        <w:left w:val="none" w:sz="0" w:space="0" w:color="auto"/>
        <w:bottom w:val="none" w:sz="0" w:space="0" w:color="auto"/>
        <w:right w:val="none" w:sz="0" w:space="0" w:color="auto"/>
      </w:divBdr>
    </w:div>
    <w:div w:id="214573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Subedi</dc:creator>
  <cp:keywords/>
  <dc:description/>
  <cp:lastModifiedBy>Dinesh Subedi</cp:lastModifiedBy>
  <cp:revision>174</cp:revision>
  <dcterms:created xsi:type="dcterms:W3CDTF">2025-08-04T01:07:00Z</dcterms:created>
  <dcterms:modified xsi:type="dcterms:W3CDTF">2025-08-07T01:32:00Z</dcterms:modified>
</cp:coreProperties>
</file>