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14112" w14:textId="79D744B5" w:rsidR="00B76DF3" w:rsidRDefault="00B76DF3" w:rsidP="00C04CA6">
      <w:pPr>
        <w:spacing w:line="360" w:lineRule="auto"/>
        <w:rPr>
          <w:rFonts w:ascii="Times New Roman" w:hAnsi="Times New Roman" w:cs="Times New Roman"/>
          <w:b/>
          <w:bCs/>
        </w:rPr>
      </w:pPr>
      <w:r w:rsidRPr="0015119B">
        <w:rPr>
          <w:rFonts w:ascii="Times New Roman" w:hAnsi="Times New Roman" w:cs="Times New Roman"/>
          <w:b/>
          <w:bCs/>
        </w:rPr>
        <w:t>Gentrification</w:t>
      </w:r>
    </w:p>
    <w:p w14:paraId="7B39A735" w14:textId="562BC1DC" w:rsidR="00C04CA6" w:rsidRDefault="00C04CA6" w:rsidP="00C04CA6">
      <w:pPr>
        <w:spacing w:line="360" w:lineRule="auto"/>
        <w:rPr>
          <w:rFonts w:ascii="Times New Roman" w:hAnsi="Times New Roman" w:cs="Times New Roman"/>
        </w:rPr>
      </w:pPr>
      <w:r w:rsidRPr="0050703F">
        <w:rPr>
          <w:rFonts w:ascii="Times New Roman" w:hAnsi="Times New Roman" w:cs="Times New Roman"/>
        </w:rPr>
        <w:t xml:space="preserve">Elizabeth C. Delmelle </w:t>
      </w:r>
      <w:r w:rsidR="00930FCB">
        <w:rPr>
          <w:rFonts w:ascii="Times New Roman" w:hAnsi="Times New Roman" w:cs="Times New Roman"/>
        </w:rPr>
        <w:t xml:space="preserve">0000-0003-3735-8359 </w:t>
      </w:r>
      <w:r w:rsidRPr="0050703F">
        <w:rPr>
          <w:rFonts w:ascii="Times New Roman" w:hAnsi="Times New Roman" w:cs="Times New Roman"/>
        </w:rPr>
        <w:t>and Isabelle Nilsson 0000-0003-0403-1309</w:t>
      </w:r>
    </w:p>
    <w:p w14:paraId="74CB63DC" w14:textId="027D7E6D" w:rsidR="00786B8F" w:rsidRDefault="00786B8F" w:rsidP="00C04CA6">
      <w:pPr>
        <w:spacing w:line="360" w:lineRule="auto"/>
        <w:rPr>
          <w:rFonts w:ascii="Times New Roman" w:hAnsi="Times New Roman" w:cs="Times New Roman"/>
        </w:rPr>
      </w:pPr>
      <w:r w:rsidRPr="0050703F">
        <w:rPr>
          <w:rFonts w:ascii="Times New Roman" w:hAnsi="Times New Roman" w:cs="Times New Roman"/>
          <w:b/>
          <w:bCs/>
        </w:rPr>
        <w:t>Abstract</w:t>
      </w:r>
      <w:r>
        <w:rPr>
          <w:rFonts w:ascii="Times New Roman" w:hAnsi="Times New Roman" w:cs="Times New Roman"/>
        </w:rPr>
        <w:t xml:space="preserve">:  </w:t>
      </w:r>
      <w:r w:rsidR="00C6311A">
        <w:rPr>
          <w:rFonts w:ascii="Times New Roman" w:hAnsi="Times New Roman" w:cs="Times New Roman"/>
        </w:rPr>
        <w:t xml:space="preserve">New rail transit is </w:t>
      </w:r>
      <w:r w:rsidR="0050703F">
        <w:rPr>
          <w:rFonts w:ascii="Times New Roman" w:hAnsi="Times New Roman" w:cs="Times New Roman"/>
        </w:rPr>
        <w:t xml:space="preserve">thought, at least theoretically, to catalyze neighborhood-scale gentrification. However, </w:t>
      </w:r>
      <w:r w:rsidR="00C6311A">
        <w:rPr>
          <w:rFonts w:ascii="Times New Roman" w:hAnsi="Times New Roman" w:cs="Times New Roman"/>
        </w:rPr>
        <w:t xml:space="preserve">isolating the causal impact of transit on </w:t>
      </w:r>
      <w:r w:rsidR="00921611">
        <w:rPr>
          <w:rFonts w:ascii="Times New Roman" w:hAnsi="Times New Roman" w:cs="Times New Roman"/>
        </w:rPr>
        <w:t xml:space="preserve">property values </w:t>
      </w:r>
      <w:r w:rsidR="0050703F">
        <w:rPr>
          <w:rFonts w:ascii="Times New Roman" w:hAnsi="Times New Roman" w:cs="Times New Roman"/>
        </w:rPr>
        <w:t xml:space="preserve">and associated neighborhood-wide changes </w:t>
      </w:r>
      <w:r w:rsidR="00921611">
        <w:rPr>
          <w:rFonts w:ascii="Times New Roman" w:hAnsi="Times New Roman" w:cs="Times New Roman"/>
        </w:rPr>
        <w:t>remains empirically challenging. Difference-in-differences (</w:t>
      </w:r>
      <w:proofErr w:type="spellStart"/>
      <w:r w:rsidR="00921611">
        <w:rPr>
          <w:rFonts w:ascii="Times New Roman" w:hAnsi="Times New Roman" w:cs="Times New Roman"/>
        </w:rPr>
        <w:t>DiD</w:t>
      </w:r>
      <w:proofErr w:type="spellEnd"/>
      <w:r w:rsidR="00921611">
        <w:rPr>
          <w:rFonts w:ascii="Times New Roman" w:hAnsi="Times New Roman" w:cs="Times New Roman"/>
        </w:rPr>
        <w:t xml:space="preserve">) has become a popular approach for assessing such impacts. This chapter illustrates how the choice of control group in </w:t>
      </w:r>
      <w:proofErr w:type="spellStart"/>
      <w:r w:rsidR="00921611">
        <w:rPr>
          <w:rFonts w:ascii="Times New Roman" w:hAnsi="Times New Roman" w:cs="Times New Roman"/>
        </w:rPr>
        <w:t>DiD</w:t>
      </w:r>
      <w:proofErr w:type="spellEnd"/>
      <w:r w:rsidR="00921611">
        <w:rPr>
          <w:rFonts w:ascii="Times New Roman" w:hAnsi="Times New Roman" w:cs="Times New Roman"/>
        </w:rPr>
        <w:t xml:space="preserve"> estimations shapes conclusions about transit-induced price capitalization.  </w:t>
      </w:r>
      <w:r w:rsidR="0050703F">
        <w:rPr>
          <w:rFonts w:ascii="Times New Roman" w:hAnsi="Times New Roman" w:cs="Times New Roman"/>
        </w:rPr>
        <w:t>Using an illustrative</w:t>
      </w:r>
      <w:r w:rsidR="00FA78B9">
        <w:rPr>
          <w:rFonts w:ascii="Times New Roman" w:hAnsi="Times New Roman" w:cs="Times New Roman"/>
        </w:rPr>
        <w:t xml:space="preserve"> case study on Charlotte, North Carolina’s Blue Line Extension</w:t>
      </w:r>
      <w:r w:rsidR="0050703F">
        <w:rPr>
          <w:rFonts w:ascii="Times New Roman" w:hAnsi="Times New Roman" w:cs="Times New Roman"/>
        </w:rPr>
        <w:t>,</w:t>
      </w:r>
      <w:r w:rsidR="00FA78B9">
        <w:rPr>
          <w:rFonts w:ascii="Times New Roman" w:hAnsi="Times New Roman" w:cs="Times New Roman"/>
        </w:rPr>
        <w:t xml:space="preserve"> we estimate treatment effects using </w:t>
      </w:r>
      <w:proofErr w:type="spellStart"/>
      <w:r w:rsidR="00FA78B9">
        <w:rPr>
          <w:rFonts w:ascii="Times New Roman" w:hAnsi="Times New Roman" w:cs="Times New Roman"/>
        </w:rPr>
        <w:t>DiD</w:t>
      </w:r>
      <w:proofErr w:type="spellEnd"/>
      <w:r w:rsidR="00FA78B9">
        <w:rPr>
          <w:rFonts w:ascii="Times New Roman" w:hAnsi="Times New Roman" w:cs="Times New Roman"/>
        </w:rPr>
        <w:t xml:space="preserve"> models with nine different control groups ranging from naïve geographic comparisons to more closely matched treatment and control groups. Naïve geographic comparisons suggest large capitalization effects near stations, while rigorously matched specification</w:t>
      </w:r>
      <w:r w:rsidR="0050703F">
        <w:rPr>
          <w:rFonts w:ascii="Times New Roman" w:hAnsi="Times New Roman" w:cs="Times New Roman"/>
        </w:rPr>
        <w:t>s</w:t>
      </w:r>
      <w:r w:rsidR="00FA78B9">
        <w:rPr>
          <w:rFonts w:ascii="Times New Roman" w:hAnsi="Times New Roman" w:cs="Times New Roman"/>
        </w:rPr>
        <w:t xml:space="preserve"> yield modest or null impacts. We argue that these magnitudes are unlikely, on their own, to trigger substantial changes in neighborhood characteristics and that treatment effects are likely </w:t>
      </w:r>
      <w:r w:rsidR="0050703F">
        <w:rPr>
          <w:rFonts w:ascii="Times New Roman" w:hAnsi="Times New Roman" w:cs="Times New Roman"/>
        </w:rPr>
        <w:t xml:space="preserve">to be </w:t>
      </w:r>
      <w:r w:rsidR="00FA78B9">
        <w:rPr>
          <w:rFonts w:ascii="Times New Roman" w:hAnsi="Times New Roman" w:cs="Times New Roman"/>
        </w:rPr>
        <w:t>heterogen</w:t>
      </w:r>
      <w:r w:rsidR="0050703F">
        <w:rPr>
          <w:rFonts w:ascii="Times New Roman" w:hAnsi="Times New Roman" w:cs="Times New Roman"/>
        </w:rPr>
        <w:t>e</w:t>
      </w:r>
      <w:r w:rsidR="00FA78B9">
        <w:rPr>
          <w:rFonts w:ascii="Times New Roman" w:hAnsi="Times New Roman" w:cs="Times New Roman"/>
        </w:rPr>
        <w:t xml:space="preserve">ous along the rail transit line. The chapter </w:t>
      </w:r>
      <w:r w:rsidR="0050703F">
        <w:rPr>
          <w:rFonts w:ascii="Times New Roman" w:hAnsi="Times New Roman" w:cs="Times New Roman"/>
        </w:rPr>
        <w:t>highlight</w:t>
      </w:r>
      <w:r w:rsidR="00FA78B9">
        <w:rPr>
          <w:rFonts w:ascii="Times New Roman" w:hAnsi="Times New Roman" w:cs="Times New Roman"/>
        </w:rPr>
        <w:t xml:space="preserve">s how methodological choices </w:t>
      </w:r>
      <w:r w:rsidR="0050703F">
        <w:rPr>
          <w:rFonts w:ascii="Times New Roman" w:hAnsi="Times New Roman" w:cs="Times New Roman"/>
        </w:rPr>
        <w:t>significantly influence</w:t>
      </w:r>
      <w:r w:rsidR="00FA78B9">
        <w:rPr>
          <w:rFonts w:ascii="Times New Roman" w:hAnsi="Times New Roman" w:cs="Times New Roman"/>
        </w:rPr>
        <w:t xml:space="preserve"> both empirical findings and policy implications </w:t>
      </w:r>
      <w:r w:rsidR="0050703F">
        <w:rPr>
          <w:rFonts w:ascii="Times New Roman" w:hAnsi="Times New Roman" w:cs="Times New Roman"/>
        </w:rPr>
        <w:t>regarding</w:t>
      </w:r>
      <w:r w:rsidR="00FA78B9">
        <w:rPr>
          <w:rFonts w:ascii="Times New Roman" w:hAnsi="Times New Roman" w:cs="Times New Roman"/>
        </w:rPr>
        <w:t xml:space="preserve"> transit-induced gentrification. </w:t>
      </w:r>
    </w:p>
    <w:p w14:paraId="53811928" w14:textId="766264EC" w:rsidR="002F3F20" w:rsidRPr="0050703F" w:rsidRDefault="002F3F20" w:rsidP="0050703F">
      <w:pPr>
        <w:spacing w:line="360" w:lineRule="auto"/>
        <w:rPr>
          <w:rFonts w:ascii="Times New Roman" w:hAnsi="Times New Roman" w:cs="Times New Roman"/>
        </w:rPr>
      </w:pPr>
      <w:r w:rsidRPr="0050703F">
        <w:rPr>
          <w:rFonts w:ascii="Times New Roman" w:hAnsi="Times New Roman" w:cs="Times New Roman"/>
          <w:b/>
          <w:bCs/>
        </w:rPr>
        <w:t>Keywords:</w:t>
      </w:r>
      <w:r>
        <w:rPr>
          <w:rFonts w:ascii="Times New Roman" w:hAnsi="Times New Roman" w:cs="Times New Roman"/>
        </w:rPr>
        <w:t xml:space="preserve"> transi</w:t>
      </w:r>
      <w:r w:rsidR="00865D11">
        <w:rPr>
          <w:rFonts w:ascii="Times New Roman" w:hAnsi="Times New Roman" w:cs="Times New Roman"/>
        </w:rPr>
        <w:t>t</w:t>
      </w:r>
      <w:r w:rsidR="00B228DB">
        <w:rPr>
          <w:rFonts w:ascii="Times New Roman" w:hAnsi="Times New Roman" w:cs="Times New Roman"/>
        </w:rPr>
        <w:t xml:space="preserve">; </w:t>
      </w:r>
      <w:r w:rsidR="00865D11">
        <w:rPr>
          <w:rFonts w:ascii="Times New Roman" w:hAnsi="Times New Roman" w:cs="Times New Roman"/>
        </w:rPr>
        <w:t>gentrification</w:t>
      </w:r>
      <w:r>
        <w:rPr>
          <w:rFonts w:ascii="Times New Roman" w:hAnsi="Times New Roman" w:cs="Times New Roman"/>
        </w:rPr>
        <w:t>; pseudo experimental design; control group</w:t>
      </w:r>
      <w:r w:rsidR="00C3777D">
        <w:rPr>
          <w:rFonts w:ascii="Times New Roman" w:hAnsi="Times New Roman" w:cs="Times New Roman"/>
        </w:rPr>
        <w:t>; difference-in-differences</w:t>
      </w:r>
    </w:p>
    <w:p w14:paraId="2DBE7139" w14:textId="006E17DB" w:rsidR="00B76DF3" w:rsidRPr="00736734" w:rsidRDefault="00224C95" w:rsidP="00736734">
      <w:pPr>
        <w:spacing w:line="360" w:lineRule="auto"/>
        <w:rPr>
          <w:rFonts w:ascii="Times New Roman" w:hAnsi="Times New Roman" w:cs="Times New Roman"/>
          <w:b/>
          <w:bCs/>
        </w:rPr>
      </w:pPr>
      <w:r>
        <w:rPr>
          <w:rFonts w:ascii="Times New Roman" w:hAnsi="Times New Roman" w:cs="Times New Roman"/>
          <w:b/>
          <w:bCs/>
        </w:rPr>
        <w:t xml:space="preserve">1. </w:t>
      </w:r>
      <w:r w:rsidR="00B76DF3" w:rsidRPr="00736734">
        <w:rPr>
          <w:rFonts w:ascii="Times New Roman" w:hAnsi="Times New Roman" w:cs="Times New Roman"/>
          <w:b/>
          <w:bCs/>
        </w:rPr>
        <w:t>Introduction</w:t>
      </w:r>
    </w:p>
    <w:p w14:paraId="6E296244" w14:textId="50BB24AF" w:rsidR="00B76DF3" w:rsidRPr="0015119B" w:rsidRDefault="00AD3F8F" w:rsidP="0015119B">
      <w:pPr>
        <w:spacing w:line="360" w:lineRule="auto"/>
        <w:ind w:firstLine="360"/>
        <w:rPr>
          <w:rFonts w:ascii="Times New Roman" w:hAnsi="Times New Roman" w:cs="Times New Roman"/>
        </w:rPr>
      </w:pPr>
      <w:r w:rsidRPr="0015119B">
        <w:rPr>
          <w:rFonts w:ascii="Times New Roman" w:hAnsi="Times New Roman" w:cs="Times New Roman"/>
        </w:rPr>
        <w:t xml:space="preserve">New, fixed rail transit investments are often accompanied by a set of conflicting promises. On the one hand, they offer the potential for </w:t>
      </w:r>
      <w:r w:rsidR="00EF0812" w:rsidRPr="0015119B">
        <w:rPr>
          <w:rFonts w:ascii="Times New Roman" w:hAnsi="Times New Roman" w:cs="Times New Roman"/>
        </w:rPr>
        <w:t>enhanced</w:t>
      </w:r>
      <w:r w:rsidRPr="0015119B">
        <w:rPr>
          <w:rFonts w:ascii="Times New Roman" w:hAnsi="Times New Roman" w:cs="Times New Roman"/>
        </w:rPr>
        <w:t xml:space="preserve"> mobility for residents who stand to benefit from increased access to urban opportunities through improved transportation infrastructure. On the other hand, they frequently operate as an urban redevelopment strategy, particularly in the case of Transit-Oriented Development (TOD) – the coordinated design and development of land surrounding fixed-rail stations that promotes dense, mixed-use, walkable communities (Calthorpe, 1993). These dual mandates create an inherent tension: while TOD promotes sustainable transportation and development patterns, the possibility that this development occurs in such a way that triggers neighborhood-scale gentrification has stoked fears, and in some cases opposition to transit plans across the United States (Rayle, 2015).</w:t>
      </w:r>
      <w:r w:rsidR="005C46CD">
        <w:rPr>
          <w:rFonts w:ascii="Times New Roman" w:hAnsi="Times New Roman" w:cs="Times New Roman"/>
        </w:rPr>
        <w:t xml:space="preserve"> </w:t>
      </w:r>
    </w:p>
    <w:p w14:paraId="71FDB32F" w14:textId="44ACB6EF" w:rsidR="00B76DF3" w:rsidRPr="0015119B" w:rsidRDefault="001730AE" w:rsidP="0015119B">
      <w:pPr>
        <w:spacing w:line="360" w:lineRule="auto"/>
        <w:rPr>
          <w:rFonts w:ascii="Times New Roman" w:hAnsi="Times New Roman" w:cs="Times New Roman"/>
        </w:rPr>
      </w:pPr>
      <w:r w:rsidRPr="0015119B">
        <w:rPr>
          <w:rFonts w:ascii="Times New Roman" w:hAnsi="Times New Roman" w:cs="Times New Roman"/>
        </w:rPr>
        <w:lastRenderedPageBreak/>
        <w:tab/>
        <w:t xml:space="preserve">This </w:t>
      </w:r>
      <w:r w:rsidR="00EF0812" w:rsidRPr="0015119B">
        <w:rPr>
          <w:rFonts w:ascii="Times New Roman" w:hAnsi="Times New Roman" w:cs="Times New Roman"/>
        </w:rPr>
        <w:t>conflict</w:t>
      </w:r>
      <w:r w:rsidRPr="0015119B">
        <w:rPr>
          <w:rFonts w:ascii="Times New Roman" w:hAnsi="Times New Roman" w:cs="Times New Roman"/>
        </w:rPr>
        <w:t xml:space="preserve"> sits at the heart of the TOD-gentrification debate. Transit may open doors to opportunities, especially for those without a</w:t>
      </w:r>
      <w:r w:rsidR="009F2C6B">
        <w:rPr>
          <w:rFonts w:ascii="Times New Roman" w:hAnsi="Times New Roman" w:cs="Times New Roman"/>
        </w:rPr>
        <w:t>ccess to automobile</w:t>
      </w:r>
      <w:r w:rsidRPr="0015119B">
        <w:rPr>
          <w:rFonts w:ascii="Times New Roman" w:hAnsi="Times New Roman" w:cs="Times New Roman"/>
        </w:rPr>
        <w:t>s, by connecting residents more directly to labor markets and essential services (Andersson et al., 201</w:t>
      </w:r>
      <w:r w:rsidR="00DD1895">
        <w:rPr>
          <w:rFonts w:ascii="Times New Roman" w:hAnsi="Times New Roman" w:cs="Times New Roman"/>
        </w:rPr>
        <w:t>8</w:t>
      </w:r>
      <w:r w:rsidRPr="0015119B">
        <w:rPr>
          <w:rFonts w:ascii="Times New Roman" w:hAnsi="Times New Roman" w:cs="Times New Roman"/>
        </w:rPr>
        <w:t>; Jin &amp; Paulsen, 2018). However, those accessibility benefits may be capitalized into land values, placing upward pressure on affordability</w:t>
      </w:r>
      <w:r w:rsidR="009F2C6B">
        <w:rPr>
          <w:rFonts w:ascii="Times New Roman" w:hAnsi="Times New Roman" w:cs="Times New Roman"/>
        </w:rPr>
        <w:t xml:space="preserve"> and</w:t>
      </w:r>
      <w:r w:rsidRPr="0015119B">
        <w:rPr>
          <w:rFonts w:ascii="Times New Roman" w:hAnsi="Times New Roman" w:cs="Times New Roman"/>
        </w:rPr>
        <w:t xml:space="preserve"> intensifying demand for housing near stations, </w:t>
      </w:r>
      <w:r w:rsidR="009F2C6B">
        <w:rPr>
          <w:rFonts w:ascii="Times New Roman" w:hAnsi="Times New Roman" w:cs="Times New Roman"/>
        </w:rPr>
        <w:t>which can price</w:t>
      </w:r>
      <w:r w:rsidRPr="0015119B">
        <w:rPr>
          <w:rFonts w:ascii="Times New Roman" w:hAnsi="Times New Roman" w:cs="Times New Roman"/>
        </w:rPr>
        <w:t xml:space="preserve"> out </w:t>
      </w:r>
      <w:r w:rsidR="005C46CD">
        <w:rPr>
          <w:rFonts w:ascii="Times New Roman" w:hAnsi="Times New Roman" w:cs="Times New Roman"/>
        </w:rPr>
        <w:t>lower</w:t>
      </w:r>
      <w:r w:rsidR="00736734">
        <w:rPr>
          <w:rFonts w:ascii="Times New Roman" w:hAnsi="Times New Roman" w:cs="Times New Roman"/>
        </w:rPr>
        <w:t>-</w:t>
      </w:r>
      <w:r w:rsidR="005C46CD">
        <w:rPr>
          <w:rFonts w:ascii="Times New Roman" w:hAnsi="Times New Roman" w:cs="Times New Roman"/>
        </w:rPr>
        <w:t>income and transit</w:t>
      </w:r>
      <w:r w:rsidR="00736734">
        <w:rPr>
          <w:rFonts w:ascii="Times New Roman" w:hAnsi="Times New Roman" w:cs="Times New Roman"/>
        </w:rPr>
        <w:t>-</w:t>
      </w:r>
      <w:r w:rsidR="005C46CD">
        <w:rPr>
          <w:rFonts w:ascii="Times New Roman" w:hAnsi="Times New Roman" w:cs="Times New Roman"/>
        </w:rPr>
        <w:t xml:space="preserve">dependent </w:t>
      </w:r>
      <w:r w:rsidRPr="0015119B">
        <w:rPr>
          <w:rFonts w:ascii="Times New Roman" w:hAnsi="Times New Roman" w:cs="Times New Roman"/>
        </w:rPr>
        <w:t>residents who may benefit</w:t>
      </w:r>
      <w:r w:rsidR="00736734">
        <w:rPr>
          <w:rFonts w:ascii="Times New Roman" w:hAnsi="Times New Roman" w:cs="Times New Roman"/>
        </w:rPr>
        <w:t xml:space="preserve"> the most</w:t>
      </w:r>
      <w:r w:rsidR="00AE4823" w:rsidRPr="0015119B">
        <w:rPr>
          <w:rFonts w:ascii="Times New Roman" w:hAnsi="Times New Roman" w:cs="Times New Roman"/>
        </w:rPr>
        <w:t xml:space="preserve"> from the transportation improvements. It is this ‘catch-22’ – that transit designed to promote equitable access may</w:t>
      </w:r>
      <w:r w:rsidR="009F2C6B">
        <w:rPr>
          <w:rFonts w:ascii="Times New Roman" w:hAnsi="Times New Roman" w:cs="Times New Roman"/>
        </w:rPr>
        <w:t>,</w:t>
      </w:r>
      <w:r w:rsidR="00AE4823" w:rsidRPr="0015119B">
        <w:rPr>
          <w:rFonts w:ascii="Times New Roman" w:hAnsi="Times New Roman" w:cs="Times New Roman"/>
        </w:rPr>
        <w:t xml:space="preserve"> in</w:t>
      </w:r>
      <w:r w:rsidR="009F2C6B">
        <w:rPr>
          <w:rFonts w:ascii="Times New Roman" w:hAnsi="Times New Roman" w:cs="Times New Roman"/>
        </w:rPr>
        <w:t xml:space="preserve"> fact,</w:t>
      </w:r>
      <w:r w:rsidR="00AE4823" w:rsidRPr="0015119B">
        <w:rPr>
          <w:rFonts w:ascii="Times New Roman" w:hAnsi="Times New Roman" w:cs="Times New Roman"/>
        </w:rPr>
        <w:t xml:space="preserve"> exacerbate inequalities – that continues to spark both scholarly and public debates (Danley &amp; Weaver, 2018).</w:t>
      </w:r>
    </w:p>
    <w:p w14:paraId="313A25D6" w14:textId="18F07E01" w:rsidR="00EF0812" w:rsidRPr="0015119B" w:rsidRDefault="009F5FAF" w:rsidP="0015119B">
      <w:pPr>
        <w:spacing w:line="360" w:lineRule="auto"/>
        <w:rPr>
          <w:rFonts w:ascii="Times New Roman" w:hAnsi="Times New Roman" w:cs="Times New Roman"/>
        </w:rPr>
      </w:pPr>
      <w:r w:rsidRPr="0015119B">
        <w:rPr>
          <w:rFonts w:ascii="Times New Roman" w:hAnsi="Times New Roman" w:cs="Times New Roman"/>
        </w:rPr>
        <w:tab/>
      </w:r>
      <w:r w:rsidR="009F2C6B">
        <w:rPr>
          <w:rFonts w:ascii="Times New Roman" w:hAnsi="Times New Roman" w:cs="Times New Roman"/>
        </w:rPr>
        <w:t xml:space="preserve">Theoretically, the ways in which transit directly impacts land values, leading to </w:t>
      </w:r>
      <w:r w:rsidR="00E37212">
        <w:rPr>
          <w:rFonts w:ascii="Times New Roman" w:hAnsi="Times New Roman" w:cs="Times New Roman"/>
        </w:rPr>
        <w:t xml:space="preserve">potential socioeconomic and demographic </w:t>
      </w:r>
      <w:r w:rsidR="009F2C6B">
        <w:rPr>
          <w:rFonts w:ascii="Times New Roman" w:hAnsi="Times New Roman" w:cs="Times New Roman"/>
        </w:rPr>
        <w:t xml:space="preserve">changes at the neighborhood level, can be categorized into two main areas. The first focuses on the accessibility benefits provided by new transportation infrastructure. By improving transit connections, </w:t>
      </w:r>
      <w:r w:rsidR="005C46CD">
        <w:rPr>
          <w:rFonts w:ascii="Times New Roman" w:hAnsi="Times New Roman" w:cs="Times New Roman"/>
        </w:rPr>
        <w:t xml:space="preserve">demand for </w:t>
      </w:r>
      <w:r w:rsidR="009F2C6B">
        <w:rPr>
          <w:rFonts w:ascii="Times New Roman" w:hAnsi="Times New Roman" w:cs="Times New Roman"/>
        </w:rPr>
        <w:t>nearby housing increases as residents opt for shorter commuting times and lower costs</w:t>
      </w:r>
      <w:r w:rsidR="00736734">
        <w:rPr>
          <w:rFonts w:ascii="Times New Roman" w:hAnsi="Times New Roman" w:cs="Times New Roman"/>
        </w:rPr>
        <w:t>,</w:t>
      </w:r>
      <w:r w:rsidR="005C46CD">
        <w:rPr>
          <w:rFonts w:ascii="Times New Roman" w:hAnsi="Times New Roman" w:cs="Times New Roman"/>
        </w:rPr>
        <w:t xml:space="preserve"> thereby putting upward pressure on land values</w:t>
      </w:r>
      <w:r w:rsidR="009F2C6B">
        <w:rPr>
          <w:rFonts w:ascii="Times New Roman" w:hAnsi="Times New Roman" w:cs="Times New Roman"/>
        </w:rPr>
        <w:t>. This idea is central to traditional theories of urban land gradients, where land premiums are highest in proximity to central cities. Households are assumed to make a tradeoff between commuting costs and housing lot sizes (Alonso, 1964; Muth, 1969).</w:t>
      </w:r>
    </w:p>
    <w:p w14:paraId="49548B00" w14:textId="599677D0" w:rsidR="009F5FAF" w:rsidRPr="0015119B" w:rsidRDefault="009F5FAF" w:rsidP="0015119B">
      <w:pPr>
        <w:spacing w:line="360" w:lineRule="auto"/>
        <w:ind w:firstLine="720"/>
        <w:rPr>
          <w:rFonts w:ascii="Times New Roman" w:hAnsi="Times New Roman" w:cs="Times New Roman"/>
        </w:rPr>
      </w:pPr>
      <w:r w:rsidRPr="0015119B">
        <w:rPr>
          <w:rFonts w:ascii="Times New Roman" w:hAnsi="Times New Roman" w:cs="Times New Roman"/>
        </w:rPr>
        <w:t xml:space="preserve">An alternative explanation </w:t>
      </w:r>
      <w:r w:rsidR="009F2C6B">
        <w:rPr>
          <w:rFonts w:ascii="Times New Roman" w:hAnsi="Times New Roman" w:cs="Times New Roman"/>
        </w:rPr>
        <w:t xml:space="preserve">for transit’s direct impact on land values </w:t>
      </w:r>
      <w:r w:rsidRPr="0015119B">
        <w:rPr>
          <w:rFonts w:ascii="Times New Roman" w:hAnsi="Times New Roman" w:cs="Times New Roman"/>
        </w:rPr>
        <w:t xml:space="preserve">centers on the amenity effects that accompany the coordinated development strategy of TOD: walkable streets, mixed-use buildings, urban design improvements, and new luxury, often multifamily housing. </w:t>
      </w:r>
      <w:r w:rsidR="00602E64" w:rsidRPr="0015119B">
        <w:rPr>
          <w:rFonts w:ascii="Times New Roman" w:hAnsi="Times New Roman" w:cs="Times New Roman"/>
        </w:rPr>
        <w:t xml:space="preserve">These improvements may drive up land values independent of the transit system. This </w:t>
      </w:r>
      <w:r w:rsidR="00EF0812" w:rsidRPr="0015119B">
        <w:rPr>
          <w:rFonts w:ascii="Times New Roman" w:hAnsi="Times New Roman" w:cs="Times New Roman"/>
        </w:rPr>
        <w:t>perspective</w:t>
      </w:r>
      <w:r w:rsidR="00602E64" w:rsidRPr="0015119B">
        <w:rPr>
          <w:rFonts w:ascii="Times New Roman" w:hAnsi="Times New Roman" w:cs="Times New Roman"/>
        </w:rPr>
        <w:t xml:space="preserve"> </w:t>
      </w:r>
      <w:r w:rsidR="009F2C6B">
        <w:rPr>
          <w:rFonts w:ascii="Times New Roman" w:hAnsi="Times New Roman" w:cs="Times New Roman"/>
        </w:rPr>
        <w:t xml:space="preserve">raises </w:t>
      </w:r>
      <w:r w:rsidR="00602E64" w:rsidRPr="0015119B">
        <w:rPr>
          <w:rFonts w:ascii="Times New Roman" w:hAnsi="Times New Roman" w:cs="Times New Roman"/>
        </w:rPr>
        <w:t xml:space="preserve">questions </w:t>
      </w:r>
      <w:r w:rsidR="009F2C6B">
        <w:rPr>
          <w:rFonts w:ascii="Times New Roman" w:hAnsi="Times New Roman" w:cs="Times New Roman"/>
        </w:rPr>
        <w:t xml:space="preserve">about </w:t>
      </w:r>
      <w:r w:rsidR="00602E64" w:rsidRPr="0015119B">
        <w:rPr>
          <w:rFonts w:ascii="Times New Roman" w:hAnsi="Times New Roman" w:cs="Times New Roman"/>
        </w:rPr>
        <w:t xml:space="preserve">whether the “T” in TOD is </w:t>
      </w:r>
      <w:r w:rsidR="00EF0812" w:rsidRPr="0015119B">
        <w:rPr>
          <w:rFonts w:ascii="Times New Roman" w:hAnsi="Times New Roman" w:cs="Times New Roman"/>
        </w:rPr>
        <w:t xml:space="preserve">even </w:t>
      </w:r>
      <w:r w:rsidR="00602E64" w:rsidRPr="0015119B">
        <w:rPr>
          <w:rFonts w:ascii="Times New Roman" w:hAnsi="Times New Roman" w:cs="Times New Roman"/>
        </w:rPr>
        <w:t>necessary for redevelopment, neighborhood changes, or more sustainable travel to occur (Chatman, 2013).</w:t>
      </w:r>
      <w:r w:rsidR="00285C90" w:rsidRPr="0015119B">
        <w:rPr>
          <w:rFonts w:ascii="Times New Roman" w:hAnsi="Times New Roman" w:cs="Times New Roman"/>
        </w:rPr>
        <w:t xml:space="preserve"> Bartholomew and Ewing (2011) argue that amenity-based design elements can reshape land markets independent of the accessibility benefits conferred by transit. In practice, many TOD projects are accompanied by significant zoning changes and redevelopment incentives that generate new housing construction, often in the form of multi-family or mixed-use developments on formerly underutilized or industrial land. This supply is frequently marketed towards younger, higher-income households </w:t>
      </w:r>
      <w:r w:rsidR="009F2C6B">
        <w:rPr>
          <w:rFonts w:ascii="Times New Roman" w:hAnsi="Times New Roman" w:cs="Times New Roman"/>
        </w:rPr>
        <w:t xml:space="preserve">who are </w:t>
      </w:r>
      <w:r w:rsidR="00285C90" w:rsidRPr="0015119B">
        <w:rPr>
          <w:rFonts w:ascii="Times New Roman" w:hAnsi="Times New Roman" w:cs="Times New Roman"/>
        </w:rPr>
        <w:t xml:space="preserve">attracted </w:t>
      </w:r>
      <w:r w:rsidR="008118D8" w:rsidRPr="0015119B">
        <w:rPr>
          <w:rFonts w:ascii="Times New Roman" w:hAnsi="Times New Roman" w:cs="Times New Roman"/>
        </w:rPr>
        <w:t xml:space="preserve">to </w:t>
      </w:r>
      <w:r w:rsidR="00285C90" w:rsidRPr="0015119B">
        <w:rPr>
          <w:rFonts w:ascii="Times New Roman" w:hAnsi="Times New Roman" w:cs="Times New Roman"/>
        </w:rPr>
        <w:t>urban vibrancy and often remain</w:t>
      </w:r>
      <w:r w:rsidR="009F2C6B">
        <w:rPr>
          <w:rFonts w:ascii="Times New Roman" w:hAnsi="Times New Roman" w:cs="Times New Roman"/>
        </w:rPr>
        <w:t>s</w:t>
      </w:r>
      <w:r w:rsidR="00285C90" w:rsidRPr="0015119B">
        <w:rPr>
          <w:rFonts w:ascii="Times New Roman" w:hAnsi="Times New Roman" w:cs="Times New Roman"/>
        </w:rPr>
        <w:t xml:space="preserve"> </w:t>
      </w:r>
      <w:r w:rsidR="009F2C6B">
        <w:rPr>
          <w:rFonts w:ascii="Times New Roman" w:hAnsi="Times New Roman" w:cs="Times New Roman"/>
        </w:rPr>
        <w:t>confined to the</w:t>
      </w:r>
      <w:r w:rsidR="007C28C3" w:rsidRPr="0015119B">
        <w:rPr>
          <w:rFonts w:ascii="Times New Roman" w:hAnsi="Times New Roman" w:cs="Times New Roman"/>
        </w:rPr>
        <w:t xml:space="preserve"> immediate vicinity of a station.</w:t>
      </w:r>
    </w:p>
    <w:p w14:paraId="373A498E" w14:textId="7D6A6980" w:rsidR="00AE4823" w:rsidRPr="0015119B" w:rsidRDefault="00AE4823" w:rsidP="0015119B">
      <w:pPr>
        <w:spacing w:line="360" w:lineRule="auto"/>
        <w:rPr>
          <w:rFonts w:ascii="Times New Roman" w:hAnsi="Times New Roman" w:cs="Times New Roman"/>
        </w:rPr>
      </w:pPr>
      <w:r w:rsidRPr="0015119B">
        <w:rPr>
          <w:rFonts w:ascii="Times New Roman" w:hAnsi="Times New Roman" w:cs="Times New Roman"/>
        </w:rPr>
        <w:lastRenderedPageBreak/>
        <w:tab/>
        <w:t>The empirical evidence and literature on the topic have yielded more muted findings than the broader discourse on the subject may suggest</w:t>
      </w:r>
      <w:r w:rsidR="002F2412">
        <w:rPr>
          <w:rFonts w:ascii="Times New Roman" w:hAnsi="Times New Roman" w:cs="Times New Roman"/>
        </w:rPr>
        <w:t xml:space="preserve"> (Delmelle, 2021)</w:t>
      </w:r>
      <w:r w:rsidRPr="0015119B">
        <w:rPr>
          <w:rFonts w:ascii="Times New Roman" w:hAnsi="Times New Roman" w:cs="Times New Roman"/>
        </w:rPr>
        <w:t>. Early studies o</w:t>
      </w:r>
      <w:r w:rsidR="000A538A">
        <w:rPr>
          <w:rFonts w:ascii="Times New Roman" w:hAnsi="Times New Roman" w:cs="Times New Roman"/>
        </w:rPr>
        <w:t>f</w:t>
      </w:r>
      <w:r w:rsidRPr="0015119B">
        <w:rPr>
          <w:rFonts w:ascii="Times New Roman" w:hAnsi="Times New Roman" w:cs="Times New Roman"/>
        </w:rPr>
        <w:t xml:space="preserve"> the impact o</w:t>
      </w:r>
      <w:r w:rsidR="000A538A">
        <w:rPr>
          <w:rFonts w:ascii="Times New Roman" w:hAnsi="Times New Roman" w:cs="Times New Roman"/>
        </w:rPr>
        <w:t>n</w:t>
      </w:r>
      <w:r w:rsidRPr="0015119B">
        <w:rPr>
          <w:rFonts w:ascii="Times New Roman" w:hAnsi="Times New Roman" w:cs="Times New Roman"/>
        </w:rPr>
        <w:t xml:space="preserve"> housing values and rents near new transit stations consistently reported positive price capitalization effects. However, more recent work has </w:t>
      </w:r>
      <w:r w:rsidR="00285C90" w:rsidRPr="0015119B">
        <w:rPr>
          <w:rFonts w:ascii="Times New Roman" w:hAnsi="Times New Roman" w:cs="Times New Roman"/>
        </w:rPr>
        <w:t>highlighted</w:t>
      </w:r>
      <w:r w:rsidRPr="0015119B">
        <w:rPr>
          <w:rFonts w:ascii="Times New Roman" w:hAnsi="Times New Roman" w:cs="Times New Roman"/>
        </w:rPr>
        <w:t xml:space="preserve"> important contextual caveats that condition these impacts</w:t>
      </w:r>
      <w:r w:rsidR="009C01C3" w:rsidRPr="0015119B">
        <w:rPr>
          <w:rFonts w:ascii="Times New Roman" w:hAnsi="Times New Roman" w:cs="Times New Roman"/>
        </w:rPr>
        <w:t>,</w:t>
      </w:r>
      <w:r w:rsidRPr="0015119B">
        <w:rPr>
          <w:rFonts w:ascii="Times New Roman" w:hAnsi="Times New Roman" w:cs="Times New Roman"/>
        </w:rPr>
        <w:t xml:space="preserve"> including distance from </w:t>
      </w:r>
      <w:r w:rsidR="0064609D" w:rsidRPr="0015119B">
        <w:rPr>
          <w:rFonts w:ascii="Times New Roman" w:hAnsi="Times New Roman" w:cs="Times New Roman"/>
        </w:rPr>
        <w:t xml:space="preserve">the station, station type, or neighborhood context (Bowes &amp; </w:t>
      </w:r>
      <w:proofErr w:type="spellStart"/>
      <w:r w:rsidR="0064609D" w:rsidRPr="0015119B">
        <w:rPr>
          <w:rFonts w:ascii="Times New Roman" w:hAnsi="Times New Roman" w:cs="Times New Roman"/>
        </w:rPr>
        <w:t>Ihlanfeldt</w:t>
      </w:r>
      <w:proofErr w:type="spellEnd"/>
      <w:r w:rsidR="0064609D" w:rsidRPr="0015119B">
        <w:rPr>
          <w:rFonts w:ascii="Times New Roman" w:hAnsi="Times New Roman" w:cs="Times New Roman"/>
        </w:rPr>
        <w:t>, 2001; Duncan, 2011a, 2011b; Hamidi et al., 2016)</w:t>
      </w:r>
      <w:r w:rsidR="009C01C3" w:rsidRPr="0015119B">
        <w:rPr>
          <w:rFonts w:ascii="Times New Roman" w:hAnsi="Times New Roman" w:cs="Times New Roman"/>
        </w:rPr>
        <w:t>. Others have found null or even negative effects, often attributed to factors like weak metropolitan growth or auto-dominated landscapes</w:t>
      </w:r>
      <w:r w:rsidR="00F01227">
        <w:rPr>
          <w:rFonts w:ascii="Times New Roman" w:hAnsi="Times New Roman" w:cs="Times New Roman"/>
        </w:rPr>
        <w:t xml:space="preserve"> that may fail to value transit</w:t>
      </w:r>
      <w:r w:rsidR="009C01C3" w:rsidRPr="0015119B">
        <w:rPr>
          <w:rFonts w:ascii="Times New Roman" w:hAnsi="Times New Roman" w:cs="Times New Roman"/>
        </w:rPr>
        <w:t xml:space="preserve"> (Redfearn, 2009; Wagner et al., 2017).</w:t>
      </w:r>
    </w:p>
    <w:p w14:paraId="2A98555F" w14:textId="39241D99" w:rsidR="005C427E" w:rsidRPr="0015119B" w:rsidRDefault="009F5FAF" w:rsidP="0015119B">
      <w:pPr>
        <w:spacing w:line="360" w:lineRule="auto"/>
        <w:rPr>
          <w:rFonts w:ascii="Times New Roman" w:hAnsi="Times New Roman" w:cs="Times New Roman"/>
        </w:rPr>
      </w:pPr>
      <w:r w:rsidRPr="0015119B">
        <w:rPr>
          <w:rFonts w:ascii="Times New Roman" w:hAnsi="Times New Roman" w:cs="Times New Roman"/>
        </w:rPr>
        <w:tab/>
        <w:t>Contrasting findings have led to an ongoing quand</w:t>
      </w:r>
      <w:r w:rsidR="00285C90" w:rsidRPr="0015119B">
        <w:rPr>
          <w:rFonts w:ascii="Times New Roman" w:hAnsi="Times New Roman" w:cs="Times New Roman"/>
        </w:rPr>
        <w:t>a</w:t>
      </w:r>
      <w:r w:rsidRPr="0015119B">
        <w:rPr>
          <w:rFonts w:ascii="Times New Roman" w:hAnsi="Times New Roman" w:cs="Times New Roman"/>
        </w:rPr>
        <w:t>ry: is it the transit itself that produces neighborhood change</w:t>
      </w:r>
      <w:r w:rsidR="00285C90" w:rsidRPr="0015119B">
        <w:rPr>
          <w:rFonts w:ascii="Times New Roman" w:hAnsi="Times New Roman" w:cs="Times New Roman"/>
        </w:rPr>
        <w:t>,</w:t>
      </w:r>
      <w:r w:rsidRPr="0015119B">
        <w:rPr>
          <w:rFonts w:ascii="Times New Roman" w:hAnsi="Times New Roman" w:cs="Times New Roman"/>
        </w:rPr>
        <w:t xml:space="preserve"> or are transit lines simply routed through areas already primed for redevelopment? </w:t>
      </w:r>
      <w:r w:rsidR="00EF0812" w:rsidRPr="0015119B">
        <w:rPr>
          <w:rFonts w:ascii="Times New Roman" w:hAnsi="Times New Roman" w:cs="Times New Roman"/>
        </w:rPr>
        <w:t xml:space="preserve">Transit lines are not randomly placed; they are strategically located in areas expected to yield a strong return on this costly investment, particularly </w:t>
      </w:r>
      <w:r w:rsidR="009F2C6B">
        <w:rPr>
          <w:rFonts w:ascii="Times New Roman" w:hAnsi="Times New Roman" w:cs="Times New Roman"/>
        </w:rPr>
        <w:t>in terms of</w:t>
      </w:r>
      <w:r w:rsidR="00EF0812" w:rsidRPr="0015119B">
        <w:rPr>
          <w:rFonts w:ascii="Times New Roman" w:hAnsi="Times New Roman" w:cs="Times New Roman"/>
        </w:rPr>
        <w:t xml:space="preserve"> associated development and increases in land value. Therefore, it is methodologically challenging to isolate the impacts of the train line from the characteristics of the location that made it a suitable site for the transit line in the first place. </w:t>
      </w:r>
      <w:r w:rsidR="005F7694" w:rsidRPr="0015119B">
        <w:rPr>
          <w:rFonts w:ascii="Times New Roman" w:hAnsi="Times New Roman" w:cs="Times New Roman"/>
        </w:rPr>
        <w:t xml:space="preserve">This endogeneity complicates efforts to establish causality, raising the central question that </w:t>
      </w:r>
      <w:r w:rsidR="00EF0812" w:rsidRPr="0015119B">
        <w:rPr>
          <w:rFonts w:ascii="Times New Roman" w:hAnsi="Times New Roman" w:cs="Times New Roman"/>
        </w:rPr>
        <w:t>motivates</w:t>
      </w:r>
      <w:r w:rsidR="005F7694" w:rsidRPr="0015119B">
        <w:rPr>
          <w:rFonts w:ascii="Times New Roman" w:hAnsi="Times New Roman" w:cs="Times New Roman"/>
        </w:rPr>
        <w:t xml:space="preserve"> this chapter: was it the train, or was it the bundle of factors that ma</w:t>
      </w:r>
      <w:r w:rsidR="005C427E" w:rsidRPr="0015119B">
        <w:rPr>
          <w:rFonts w:ascii="Times New Roman" w:hAnsi="Times New Roman" w:cs="Times New Roman"/>
        </w:rPr>
        <w:t>d</w:t>
      </w:r>
      <w:r w:rsidR="005F7694" w:rsidRPr="0015119B">
        <w:rPr>
          <w:rFonts w:ascii="Times New Roman" w:hAnsi="Times New Roman" w:cs="Times New Roman"/>
        </w:rPr>
        <w:t>e the location a good candidate for transit in the first place</w:t>
      </w:r>
      <w:r w:rsidR="005C427E" w:rsidRPr="0015119B">
        <w:rPr>
          <w:rFonts w:ascii="Times New Roman" w:hAnsi="Times New Roman" w:cs="Times New Roman"/>
        </w:rPr>
        <w:t>?</w:t>
      </w:r>
    </w:p>
    <w:p w14:paraId="4FFF1817" w14:textId="29143414" w:rsidR="005F7694" w:rsidRPr="0015119B" w:rsidRDefault="005F7694" w:rsidP="0015119B">
      <w:pPr>
        <w:spacing w:line="360" w:lineRule="auto"/>
        <w:rPr>
          <w:rFonts w:ascii="Times New Roman" w:hAnsi="Times New Roman" w:cs="Times New Roman"/>
        </w:rPr>
      </w:pPr>
      <w:r w:rsidRPr="0015119B">
        <w:rPr>
          <w:rFonts w:ascii="Times New Roman" w:hAnsi="Times New Roman" w:cs="Times New Roman"/>
        </w:rPr>
        <w:tab/>
      </w:r>
      <w:r w:rsidR="005C427E" w:rsidRPr="0015119B">
        <w:rPr>
          <w:rFonts w:ascii="Times New Roman" w:hAnsi="Times New Roman" w:cs="Times New Roman"/>
        </w:rPr>
        <w:t>T</w:t>
      </w:r>
      <w:r w:rsidRPr="0015119B">
        <w:rPr>
          <w:rFonts w:ascii="Times New Roman" w:hAnsi="Times New Roman" w:cs="Times New Roman"/>
        </w:rPr>
        <w:t xml:space="preserve">hese challenges </w:t>
      </w:r>
      <w:r w:rsidR="009F2C6B">
        <w:rPr>
          <w:rFonts w:ascii="Times New Roman" w:hAnsi="Times New Roman" w:cs="Times New Roman"/>
        </w:rPr>
        <w:t>highlight</w:t>
      </w:r>
      <w:r w:rsidRPr="0015119B">
        <w:rPr>
          <w:rFonts w:ascii="Times New Roman" w:hAnsi="Times New Roman" w:cs="Times New Roman"/>
        </w:rPr>
        <w:t xml:space="preserve"> a set of methodological </w:t>
      </w:r>
      <w:r w:rsidR="005C427E" w:rsidRPr="0015119B">
        <w:rPr>
          <w:rFonts w:ascii="Times New Roman" w:hAnsi="Times New Roman" w:cs="Times New Roman"/>
        </w:rPr>
        <w:t xml:space="preserve">considerations that are </w:t>
      </w:r>
      <w:r w:rsidR="009F2C6B">
        <w:rPr>
          <w:rFonts w:ascii="Times New Roman" w:hAnsi="Times New Roman" w:cs="Times New Roman"/>
        </w:rPr>
        <w:t>crucial for</w:t>
      </w:r>
      <w:r w:rsidR="005C427E" w:rsidRPr="0015119B">
        <w:rPr>
          <w:rFonts w:ascii="Times New Roman" w:hAnsi="Times New Roman" w:cs="Times New Roman"/>
        </w:rPr>
        <w:t xml:space="preserve"> performing causal analyses to </w:t>
      </w:r>
      <w:r w:rsidR="009F2C6B">
        <w:rPr>
          <w:rFonts w:ascii="Times New Roman" w:hAnsi="Times New Roman" w:cs="Times New Roman"/>
        </w:rPr>
        <w:t>assess</w:t>
      </w:r>
      <w:r w:rsidR="005C427E" w:rsidRPr="0015119B">
        <w:rPr>
          <w:rFonts w:ascii="Times New Roman" w:hAnsi="Times New Roman" w:cs="Times New Roman"/>
        </w:rPr>
        <w:t xml:space="preserve"> the impact of new transit stations. Researchers must address several research design </w:t>
      </w:r>
      <w:r w:rsidR="00EF0812" w:rsidRPr="0015119B">
        <w:rPr>
          <w:rFonts w:ascii="Times New Roman" w:hAnsi="Times New Roman" w:cs="Times New Roman"/>
        </w:rPr>
        <w:t>factors</w:t>
      </w:r>
      <w:r w:rsidR="005C427E" w:rsidRPr="0015119B">
        <w:rPr>
          <w:rFonts w:ascii="Times New Roman" w:hAnsi="Times New Roman" w:cs="Times New Roman"/>
        </w:rPr>
        <w:t xml:space="preserve"> that </w:t>
      </w:r>
      <w:r w:rsidR="0021407E" w:rsidRPr="0015119B">
        <w:rPr>
          <w:rFonts w:ascii="Times New Roman" w:hAnsi="Times New Roman" w:cs="Times New Roman"/>
        </w:rPr>
        <w:t>will a</w:t>
      </w:r>
      <w:r w:rsidR="005C427E" w:rsidRPr="0015119B">
        <w:rPr>
          <w:rFonts w:ascii="Times New Roman" w:hAnsi="Times New Roman" w:cs="Times New Roman"/>
        </w:rPr>
        <w:t>ll impact the resulting analyses:</w:t>
      </w:r>
    </w:p>
    <w:p w14:paraId="64CF86A1" w14:textId="6A5CD235" w:rsidR="005C427E" w:rsidRPr="0015119B" w:rsidRDefault="005C427E" w:rsidP="0015119B">
      <w:pPr>
        <w:pStyle w:val="ListParagraph"/>
        <w:numPr>
          <w:ilvl w:val="0"/>
          <w:numId w:val="2"/>
        </w:numPr>
        <w:spacing w:line="360" w:lineRule="auto"/>
        <w:rPr>
          <w:rFonts w:ascii="Times New Roman" w:hAnsi="Times New Roman" w:cs="Times New Roman"/>
          <w:b/>
          <w:bCs/>
        </w:rPr>
      </w:pPr>
      <w:r w:rsidRPr="0015119B">
        <w:rPr>
          <w:rFonts w:ascii="Times New Roman" w:hAnsi="Times New Roman" w:cs="Times New Roman"/>
          <w:b/>
          <w:bCs/>
        </w:rPr>
        <w:t>Defining Gentrification</w:t>
      </w:r>
      <w:r w:rsidR="0021407E" w:rsidRPr="0015119B">
        <w:rPr>
          <w:rFonts w:ascii="Times New Roman" w:hAnsi="Times New Roman" w:cs="Times New Roman"/>
        </w:rPr>
        <w:t xml:space="preserve"> – There is no consensus on how to define and operationalize gentrification itself. Researchers often rely on socioeconomic </w:t>
      </w:r>
      <w:r w:rsidR="00B21547" w:rsidRPr="0015119B">
        <w:rPr>
          <w:rFonts w:ascii="Times New Roman" w:hAnsi="Times New Roman" w:cs="Times New Roman"/>
        </w:rPr>
        <w:t xml:space="preserve">and housing </w:t>
      </w:r>
      <w:r w:rsidR="0021407E" w:rsidRPr="0015119B">
        <w:rPr>
          <w:rFonts w:ascii="Times New Roman" w:hAnsi="Times New Roman" w:cs="Times New Roman"/>
        </w:rPr>
        <w:t>variables available from longitudinal Census surveys</w:t>
      </w:r>
      <w:r w:rsidR="00D8480C" w:rsidRPr="0015119B">
        <w:rPr>
          <w:rFonts w:ascii="Times New Roman" w:hAnsi="Times New Roman" w:cs="Times New Roman"/>
        </w:rPr>
        <w:t>,</w:t>
      </w:r>
      <w:r w:rsidR="0021407E" w:rsidRPr="0015119B">
        <w:rPr>
          <w:rFonts w:ascii="Times New Roman" w:hAnsi="Times New Roman" w:cs="Times New Roman"/>
        </w:rPr>
        <w:t xml:space="preserve"> </w:t>
      </w:r>
      <w:r w:rsidR="009F2C6B">
        <w:rPr>
          <w:rFonts w:ascii="Times New Roman" w:hAnsi="Times New Roman" w:cs="Times New Roman"/>
        </w:rPr>
        <w:t>such as</w:t>
      </w:r>
      <w:r w:rsidR="0021407E" w:rsidRPr="0015119B">
        <w:rPr>
          <w:rFonts w:ascii="Times New Roman" w:hAnsi="Times New Roman" w:cs="Times New Roman"/>
        </w:rPr>
        <w:t xml:space="preserve"> changes in educational attainment, household income, </w:t>
      </w:r>
      <w:r w:rsidR="00D8480C" w:rsidRPr="0015119B">
        <w:rPr>
          <w:rFonts w:ascii="Times New Roman" w:hAnsi="Times New Roman" w:cs="Times New Roman"/>
        </w:rPr>
        <w:t xml:space="preserve">and </w:t>
      </w:r>
      <w:r w:rsidR="009F2C6B">
        <w:rPr>
          <w:rFonts w:ascii="Times New Roman" w:hAnsi="Times New Roman" w:cs="Times New Roman"/>
        </w:rPr>
        <w:t xml:space="preserve">the </w:t>
      </w:r>
      <w:r w:rsidR="0021407E" w:rsidRPr="0015119B">
        <w:rPr>
          <w:rFonts w:ascii="Times New Roman" w:hAnsi="Times New Roman" w:cs="Times New Roman"/>
        </w:rPr>
        <w:t>share of workers in professional or managerial occupations (</w:t>
      </w:r>
      <w:r w:rsidR="00B21547" w:rsidRPr="0015119B">
        <w:rPr>
          <w:rFonts w:ascii="Times New Roman" w:hAnsi="Times New Roman" w:cs="Times New Roman"/>
        </w:rPr>
        <w:t>Qi, 2024</w:t>
      </w:r>
      <w:r w:rsidR="0021407E" w:rsidRPr="0015119B">
        <w:rPr>
          <w:rFonts w:ascii="Times New Roman" w:hAnsi="Times New Roman" w:cs="Times New Roman"/>
        </w:rPr>
        <w:t xml:space="preserve">). </w:t>
      </w:r>
      <w:r w:rsidR="00D8480C" w:rsidRPr="0015119B">
        <w:rPr>
          <w:rFonts w:ascii="Times New Roman" w:hAnsi="Times New Roman" w:cs="Times New Roman"/>
        </w:rPr>
        <w:t xml:space="preserve"> Some researchers combine these variables to create a </w:t>
      </w:r>
      <w:r w:rsidR="009F2C6B">
        <w:rPr>
          <w:rFonts w:ascii="Times New Roman" w:hAnsi="Times New Roman" w:cs="Times New Roman"/>
        </w:rPr>
        <w:t xml:space="preserve">discrete, </w:t>
      </w:r>
      <w:r w:rsidR="00D8480C" w:rsidRPr="0015119B">
        <w:rPr>
          <w:rFonts w:ascii="Times New Roman" w:hAnsi="Times New Roman" w:cs="Times New Roman"/>
        </w:rPr>
        <w:t>categorial indicator of gentrification</w:t>
      </w:r>
      <w:r w:rsidR="00EF0812" w:rsidRPr="0015119B">
        <w:rPr>
          <w:rFonts w:ascii="Times New Roman" w:hAnsi="Times New Roman" w:cs="Times New Roman"/>
        </w:rPr>
        <w:t xml:space="preserve"> </w:t>
      </w:r>
      <w:r w:rsidR="00D8480C" w:rsidRPr="0015119B">
        <w:rPr>
          <w:rFonts w:ascii="Times New Roman" w:hAnsi="Times New Roman" w:cs="Times New Roman"/>
        </w:rPr>
        <w:t>(Chava and Renne, 202</w:t>
      </w:r>
      <w:r w:rsidR="00DD1895">
        <w:rPr>
          <w:rFonts w:ascii="Times New Roman" w:hAnsi="Times New Roman" w:cs="Times New Roman"/>
        </w:rPr>
        <w:t>2</w:t>
      </w:r>
      <w:r w:rsidR="00D8480C" w:rsidRPr="0015119B">
        <w:rPr>
          <w:rFonts w:ascii="Times New Roman" w:hAnsi="Times New Roman" w:cs="Times New Roman"/>
        </w:rPr>
        <w:t>)</w:t>
      </w:r>
      <w:r w:rsidR="00613B3A" w:rsidRPr="0015119B">
        <w:rPr>
          <w:rFonts w:ascii="Times New Roman" w:hAnsi="Times New Roman" w:cs="Times New Roman"/>
        </w:rPr>
        <w:t>.</w:t>
      </w:r>
    </w:p>
    <w:p w14:paraId="799B432E" w14:textId="77777777" w:rsidR="0015119B" w:rsidRPr="0015119B" w:rsidRDefault="0015119B" w:rsidP="0015119B">
      <w:pPr>
        <w:pStyle w:val="ListParagraph"/>
        <w:spacing w:line="360" w:lineRule="auto"/>
        <w:ind w:left="1080"/>
        <w:rPr>
          <w:rFonts w:ascii="Times New Roman" w:hAnsi="Times New Roman" w:cs="Times New Roman"/>
          <w:b/>
          <w:bCs/>
        </w:rPr>
      </w:pPr>
    </w:p>
    <w:p w14:paraId="4E59131D" w14:textId="27B45D11" w:rsidR="00613B3A" w:rsidRPr="0015119B" w:rsidRDefault="00613B3A" w:rsidP="0015119B">
      <w:pPr>
        <w:pStyle w:val="ListParagraph"/>
        <w:numPr>
          <w:ilvl w:val="0"/>
          <w:numId w:val="2"/>
        </w:numPr>
        <w:spacing w:line="360" w:lineRule="auto"/>
        <w:rPr>
          <w:rFonts w:ascii="Times New Roman" w:hAnsi="Times New Roman" w:cs="Times New Roman"/>
          <w:b/>
          <w:bCs/>
        </w:rPr>
      </w:pPr>
      <w:r w:rsidRPr="0015119B">
        <w:rPr>
          <w:rFonts w:ascii="Times New Roman" w:hAnsi="Times New Roman" w:cs="Times New Roman"/>
          <w:b/>
          <w:bCs/>
        </w:rPr>
        <w:t xml:space="preserve">Defining </w:t>
      </w:r>
      <w:r w:rsidR="000A4175" w:rsidRPr="0015119B">
        <w:rPr>
          <w:rFonts w:ascii="Times New Roman" w:hAnsi="Times New Roman" w:cs="Times New Roman"/>
          <w:b/>
          <w:bCs/>
        </w:rPr>
        <w:t xml:space="preserve">Treatment Neighborhoods </w:t>
      </w:r>
      <w:r w:rsidR="000A4175" w:rsidRPr="0015119B">
        <w:rPr>
          <w:rFonts w:ascii="Times New Roman" w:hAnsi="Times New Roman" w:cs="Times New Roman"/>
        </w:rPr>
        <w:t xml:space="preserve">– Decisions </w:t>
      </w:r>
      <w:r w:rsidR="009F2C6B">
        <w:rPr>
          <w:rFonts w:ascii="Times New Roman" w:hAnsi="Times New Roman" w:cs="Times New Roman"/>
        </w:rPr>
        <w:t>must</w:t>
      </w:r>
      <w:r w:rsidR="000A4175" w:rsidRPr="0015119B">
        <w:rPr>
          <w:rFonts w:ascii="Times New Roman" w:hAnsi="Times New Roman" w:cs="Times New Roman"/>
        </w:rPr>
        <w:t xml:space="preserve"> be made regarding the extent </w:t>
      </w:r>
      <w:r w:rsidR="009F2C6B">
        <w:rPr>
          <w:rFonts w:ascii="Times New Roman" w:hAnsi="Times New Roman" w:cs="Times New Roman"/>
        </w:rPr>
        <w:t xml:space="preserve">of the area </w:t>
      </w:r>
      <w:r w:rsidR="000A4175" w:rsidRPr="0015119B">
        <w:rPr>
          <w:rFonts w:ascii="Times New Roman" w:hAnsi="Times New Roman" w:cs="Times New Roman"/>
        </w:rPr>
        <w:t xml:space="preserve">around the station that constitutes the treated neighborhood or set of properties. There is no consensus on this, but studies typically draw either a circular </w:t>
      </w:r>
      <w:r w:rsidR="000A4175" w:rsidRPr="0015119B">
        <w:rPr>
          <w:rFonts w:ascii="Times New Roman" w:hAnsi="Times New Roman" w:cs="Times New Roman"/>
        </w:rPr>
        <w:lastRenderedPageBreak/>
        <w:t xml:space="preserve">buffer or a walking catchment area around a station, usually </w:t>
      </w:r>
      <w:r w:rsidR="00ED112C" w:rsidRPr="0015119B">
        <w:rPr>
          <w:rFonts w:ascii="Times New Roman" w:hAnsi="Times New Roman" w:cs="Times New Roman"/>
        </w:rPr>
        <w:t>at a distance of ½ mile (Qi, 2024; Nilsson et al., 2025), guided by the empirical evidence’s finding that property capitalization effects often peak at around 0.30 miles from a station and rarely extend beyond a mile from the station (Rennert, 2022). Within those catchment areas, a neighborhood unit</w:t>
      </w:r>
      <w:r w:rsidR="009F2C6B">
        <w:rPr>
          <w:rFonts w:ascii="Times New Roman" w:hAnsi="Times New Roman" w:cs="Times New Roman"/>
        </w:rPr>
        <w:t>,</w:t>
      </w:r>
      <w:r w:rsidR="00ED112C" w:rsidRPr="0015119B">
        <w:rPr>
          <w:rFonts w:ascii="Times New Roman" w:hAnsi="Times New Roman" w:cs="Times New Roman"/>
        </w:rPr>
        <w:t xml:space="preserve"> </w:t>
      </w:r>
      <w:r w:rsidR="009F2C6B">
        <w:rPr>
          <w:rFonts w:ascii="Times New Roman" w:hAnsi="Times New Roman" w:cs="Times New Roman"/>
        </w:rPr>
        <w:t>such as</w:t>
      </w:r>
      <w:r w:rsidR="00ED112C" w:rsidRPr="0015119B">
        <w:rPr>
          <w:rFonts w:ascii="Times New Roman" w:hAnsi="Times New Roman" w:cs="Times New Roman"/>
        </w:rPr>
        <w:t xml:space="preserve"> a census tract or block group</w:t>
      </w:r>
      <w:r w:rsidR="009F2C6B">
        <w:rPr>
          <w:rFonts w:ascii="Times New Roman" w:hAnsi="Times New Roman" w:cs="Times New Roman"/>
        </w:rPr>
        <w:t>,</w:t>
      </w:r>
      <w:r w:rsidR="00ED112C" w:rsidRPr="0015119B">
        <w:rPr>
          <w:rFonts w:ascii="Times New Roman" w:hAnsi="Times New Roman" w:cs="Times New Roman"/>
        </w:rPr>
        <w:t xml:space="preserve"> may be selected if part of it or its centroid falls within the catchment area. Census tracts are larger than block groups and may be too large to realistically represent an entire</w:t>
      </w:r>
      <w:r w:rsidR="00FF5D6F" w:rsidRPr="0015119B">
        <w:rPr>
          <w:rFonts w:ascii="Times New Roman" w:hAnsi="Times New Roman" w:cs="Times New Roman"/>
        </w:rPr>
        <w:t xml:space="preserve"> treated area. On the other hand, Census block group data from the American Community Survey (ACS) have large margins of error and are collected from a sample over a 3</w:t>
      </w:r>
      <w:r w:rsidR="009F2C6B">
        <w:rPr>
          <w:rFonts w:ascii="Times New Roman" w:hAnsi="Times New Roman" w:cs="Times New Roman"/>
        </w:rPr>
        <w:t>-</w:t>
      </w:r>
      <w:r w:rsidR="00FF5D6F" w:rsidRPr="0015119B">
        <w:rPr>
          <w:rFonts w:ascii="Times New Roman" w:hAnsi="Times New Roman" w:cs="Times New Roman"/>
        </w:rPr>
        <w:t xml:space="preserve"> or 5-year time frame, making </w:t>
      </w:r>
      <w:r w:rsidR="009F2C6B">
        <w:rPr>
          <w:rFonts w:ascii="Times New Roman" w:hAnsi="Times New Roman" w:cs="Times New Roman"/>
        </w:rPr>
        <w:t>it challenging to link</w:t>
      </w:r>
      <w:r w:rsidR="00FF5D6F" w:rsidRPr="0015119B">
        <w:rPr>
          <w:rFonts w:ascii="Times New Roman" w:hAnsi="Times New Roman" w:cs="Times New Roman"/>
        </w:rPr>
        <w:t xml:space="preserve"> a date of opening with an ACS dataset.</w:t>
      </w:r>
    </w:p>
    <w:p w14:paraId="17D17E0C" w14:textId="77777777" w:rsidR="00EF0812" w:rsidRPr="0015119B" w:rsidRDefault="00EF0812" w:rsidP="0015119B">
      <w:pPr>
        <w:pStyle w:val="ListParagraph"/>
        <w:spacing w:line="360" w:lineRule="auto"/>
        <w:ind w:left="1080"/>
        <w:rPr>
          <w:rFonts w:ascii="Times New Roman" w:hAnsi="Times New Roman" w:cs="Times New Roman"/>
          <w:b/>
          <w:bCs/>
        </w:rPr>
      </w:pPr>
    </w:p>
    <w:p w14:paraId="2B234BDF" w14:textId="095947A4" w:rsidR="002B0B63" w:rsidRPr="000F2F2F" w:rsidRDefault="000707A9" w:rsidP="000F2F2F">
      <w:pPr>
        <w:pStyle w:val="ListParagraph"/>
        <w:numPr>
          <w:ilvl w:val="0"/>
          <w:numId w:val="2"/>
        </w:numPr>
        <w:spacing w:line="360" w:lineRule="auto"/>
        <w:rPr>
          <w:rFonts w:ascii="Times New Roman" w:hAnsi="Times New Roman" w:cs="Times New Roman"/>
          <w:b/>
          <w:bCs/>
        </w:rPr>
      </w:pPr>
      <w:r w:rsidRPr="0015119B">
        <w:rPr>
          <w:rFonts w:ascii="Times New Roman" w:hAnsi="Times New Roman" w:cs="Times New Roman"/>
          <w:b/>
          <w:bCs/>
        </w:rPr>
        <w:t xml:space="preserve">Defining Control Groups </w:t>
      </w:r>
      <w:r w:rsidRPr="0015119B">
        <w:rPr>
          <w:rFonts w:ascii="Times New Roman" w:hAnsi="Times New Roman" w:cs="Times New Roman"/>
        </w:rPr>
        <w:t>– To control for the endogeneity issue described above, it is cr</w:t>
      </w:r>
      <w:r w:rsidR="009F2C6B">
        <w:rPr>
          <w:rFonts w:ascii="Times New Roman" w:hAnsi="Times New Roman" w:cs="Times New Roman"/>
        </w:rPr>
        <w:t>uci</w:t>
      </w:r>
      <w:r w:rsidRPr="0015119B">
        <w:rPr>
          <w:rFonts w:ascii="Times New Roman" w:hAnsi="Times New Roman" w:cs="Times New Roman"/>
        </w:rPr>
        <w:t xml:space="preserve">al to identify a set of neighborhoods that </w:t>
      </w:r>
      <w:r w:rsidR="009F2C6B">
        <w:rPr>
          <w:rFonts w:ascii="Times New Roman" w:hAnsi="Times New Roman" w:cs="Times New Roman"/>
        </w:rPr>
        <w:t>a</w:t>
      </w:r>
      <w:r w:rsidRPr="0015119B">
        <w:rPr>
          <w:rFonts w:ascii="Times New Roman" w:hAnsi="Times New Roman" w:cs="Times New Roman"/>
        </w:rPr>
        <w:t xml:space="preserve">re </w:t>
      </w:r>
      <w:proofErr w:type="gramStart"/>
      <w:r w:rsidR="009F2C6B">
        <w:rPr>
          <w:rFonts w:ascii="Times New Roman" w:hAnsi="Times New Roman" w:cs="Times New Roman"/>
        </w:rPr>
        <w:t>similar to</w:t>
      </w:r>
      <w:proofErr w:type="gramEnd"/>
      <w:r w:rsidRPr="0015119B">
        <w:rPr>
          <w:rFonts w:ascii="Times New Roman" w:hAnsi="Times New Roman" w:cs="Times New Roman"/>
        </w:rPr>
        <w:t xml:space="preserve"> the treated neighborhoods but did not receive the ‘intervention’ (</w:t>
      </w:r>
      <w:r w:rsidR="000F2F2F">
        <w:rPr>
          <w:rFonts w:ascii="Times New Roman" w:hAnsi="Times New Roman" w:cs="Times New Roman"/>
        </w:rPr>
        <w:t xml:space="preserve">the </w:t>
      </w:r>
      <w:r w:rsidRPr="0015119B">
        <w:rPr>
          <w:rFonts w:ascii="Times New Roman" w:hAnsi="Times New Roman" w:cs="Times New Roman"/>
        </w:rPr>
        <w:t xml:space="preserve">placement of a nearby transit station). </w:t>
      </w:r>
      <w:r w:rsidR="009F2C6B">
        <w:rPr>
          <w:rFonts w:ascii="Times New Roman" w:hAnsi="Times New Roman" w:cs="Times New Roman"/>
        </w:rPr>
        <w:t>V</w:t>
      </w:r>
      <w:r w:rsidRPr="0015119B">
        <w:rPr>
          <w:rFonts w:ascii="Times New Roman" w:hAnsi="Times New Roman" w:cs="Times New Roman"/>
        </w:rPr>
        <w:t xml:space="preserve">arious techniques </w:t>
      </w:r>
      <w:r w:rsidR="009F2C6B">
        <w:rPr>
          <w:rFonts w:ascii="Times New Roman" w:hAnsi="Times New Roman" w:cs="Times New Roman"/>
        </w:rPr>
        <w:t>are employ</w:t>
      </w:r>
      <w:r w:rsidRPr="0015119B">
        <w:rPr>
          <w:rFonts w:ascii="Times New Roman" w:hAnsi="Times New Roman" w:cs="Times New Roman"/>
        </w:rPr>
        <w:t xml:space="preserve">ed in the literature to identify neighborhoods that are as </w:t>
      </w:r>
      <w:r w:rsidR="00A21C36" w:rsidRPr="0015119B">
        <w:rPr>
          <w:rFonts w:ascii="Times New Roman" w:hAnsi="Times New Roman" w:cs="Times New Roman"/>
        </w:rPr>
        <w:t>similar</w:t>
      </w:r>
      <w:r w:rsidRPr="0015119B">
        <w:rPr>
          <w:rFonts w:ascii="Times New Roman" w:hAnsi="Times New Roman" w:cs="Times New Roman"/>
        </w:rPr>
        <w:t xml:space="preserve"> </w:t>
      </w:r>
      <w:r w:rsidR="00C11C5F">
        <w:rPr>
          <w:rFonts w:ascii="Times New Roman" w:hAnsi="Times New Roman" w:cs="Times New Roman"/>
        </w:rPr>
        <w:t xml:space="preserve">as possible </w:t>
      </w:r>
      <w:r w:rsidR="00817FD0" w:rsidRPr="0015119B">
        <w:rPr>
          <w:rFonts w:ascii="Times New Roman" w:hAnsi="Times New Roman" w:cs="Times New Roman"/>
        </w:rPr>
        <w:t xml:space="preserve">to </w:t>
      </w:r>
      <w:r w:rsidRPr="0015119B">
        <w:rPr>
          <w:rFonts w:ascii="Times New Roman" w:hAnsi="Times New Roman" w:cs="Times New Roman"/>
        </w:rPr>
        <w:t>the treated neighborhoods.</w:t>
      </w:r>
      <w:r w:rsidR="00C11C5F">
        <w:rPr>
          <w:rFonts w:ascii="Times New Roman" w:hAnsi="Times New Roman" w:cs="Times New Roman"/>
        </w:rPr>
        <w:t xml:space="preserve"> Examples</w:t>
      </w:r>
      <w:r w:rsidRPr="0015119B">
        <w:rPr>
          <w:rFonts w:ascii="Times New Roman" w:hAnsi="Times New Roman" w:cs="Times New Roman"/>
        </w:rPr>
        <w:t xml:space="preserve"> include </w:t>
      </w:r>
      <w:r w:rsidR="00A21C36" w:rsidRPr="0015119B">
        <w:rPr>
          <w:rFonts w:ascii="Times New Roman" w:hAnsi="Times New Roman" w:cs="Times New Roman"/>
        </w:rPr>
        <w:t>P</w:t>
      </w:r>
      <w:r w:rsidRPr="0015119B">
        <w:rPr>
          <w:rFonts w:ascii="Times New Roman" w:hAnsi="Times New Roman" w:cs="Times New Roman"/>
        </w:rPr>
        <w:t xml:space="preserve">ropensity </w:t>
      </w:r>
      <w:r w:rsidR="00A21C36" w:rsidRPr="0015119B">
        <w:rPr>
          <w:rFonts w:ascii="Times New Roman" w:hAnsi="Times New Roman" w:cs="Times New Roman"/>
        </w:rPr>
        <w:t>S</w:t>
      </w:r>
      <w:r w:rsidRPr="0015119B">
        <w:rPr>
          <w:rFonts w:ascii="Times New Roman" w:hAnsi="Times New Roman" w:cs="Times New Roman"/>
        </w:rPr>
        <w:t xml:space="preserve">core </w:t>
      </w:r>
      <w:r w:rsidR="00A21C36" w:rsidRPr="0015119B">
        <w:rPr>
          <w:rFonts w:ascii="Times New Roman" w:hAnsi="Times New Roman" w:cs="Times New Roman"/>
        </w:rPr>
        <w:t>M</w:t>
      </w:r>
      <w:r w:rsidRPr="0015119B">
        <w:rPr>
          <w:rFonts w:ascii="Times New Roman" w:hAnsi="Times New Roman" w:cs="Times New Roman"/>
        </w:rPr>
        <w:t>atching</w:t>
      </w:r>
      <w:r w:rsidR="00A21C36" w:rsidRPr="0015119B">
        <w:rPr>
          <w:rFonts w:ascii="Times New Roman" w:hAnsi="Times New Roman" w:cs="Times New Roman"/>
        </w:rPr>
        <w:t xml:space="preserve"> (PSM),</w:t>
      </w:r>
      <w:r w:rsidRPr="0015119B">
        <w:rPr>
          <w:rFonts w:ascii="Times New Roman" w:hAnsi="Times New Roman" w:cs="Times New Roman"/>
        </w:rPr>
        <w:t xml:space="preserve"> which essentially models the likelihood (or propensity) of a neighborhood receiving </w:t>
      </w:r>
      <w:r w:rsidR="00A21C36" w:rsidRPr="0015119B">
        <w:rPr>
          <w:rFonts w:ascii="Times New Roman" w:hAnsi="Times New Roman" w:cs="Times New Roman"/>
        </w:rPr>
        <w:t xml:space="preserve">a transit station based on a set of variables that are different from the outcome variable of interest. A related technique, Coarsened Exact Matching (CEM), has also been </w:t>
      </w:r>
      <w:r w:rsidR="002B0B63" w:rsidRPr="0015119B">
        <w:rPr>
          <w:rFonts w:ascii="Times New Roman" w:hAnsi="Times New Roman" w:cs="Times New Roman"/>
        </w:rPr>
        <w:t>proposed</w:t>
      </w:r>
      <w:r w:rsidR="00A21C36" w:rsidRPr="0015119B">
        <w:rPr>
          <w:rFonts w:ascii="Times New Roman" w:hAnsi="Times New Roman" w:cs="Times New Roman"/>
        </w:rPr>
        <w:t xml:space="preserve"> (Nilsson et al., 2025).</w:t>
      </w:r>
      <w:r w:rsidR="00C11C5F">
        <w:rPr>
          <w:rFonts w:ascii="Times New Roman" w:hAnsi="Times New Roman" w:cs="Times New Roman"/>
        </w:rPr>
        <w:t xml:space="preserve"> </w:t>
      </w:r>
      <w:r w:rsidR="000F2F2F">
        <w:rPr>
          <w:rFonts w:ascii="Times New Roman" w:hAnsi="Times New Roman" w:cs="Times New Roman"/>
        </w:rPr>
        <w:t>In this approach, matching variables are temporarily binned into discrete groups (or, coarsened)</w:t>
      </w:r>
      <w:r w:rsidR="00515DF5">
        <w:rPr>
          <w:rFonts w:ascii="Times New Roman" w:hAnsi="Times New Roman" w:cs="Times New Roman"/>
        </w:rPr>
        <w:t>,</w:t>
      </w:r>
      <w:r w:rsidR="000F2F2F">
        <w:rPr>
          <w:rFonts w:ascii="Times New Roman" w:hAnsi="Times New Roman" w:cs="Times New Roman"/>
        </w:rPr>
        <w:t xml:space="preserve"> which enables exact matching across multiple dimensions simultaneously. </w:t>
      </w:r>
      <w:r w:rsidR="00C11C5F">
        <w:rPr>
          <w:rFonts w:ascii="Times New Roman" w:hAnsi="Times New Roman" w:cs="Times New Roman"/>
        </w:rPr>
        <w:t>Alternate non-modeling-based methods include selecting neighborhoods near proposed, but not built</w:t>
      </w:r>
      <w:r w:rsidR="00EF5B0C">
        <w:rPr>
          <w:rFonts w:ascii="Times New Roman" w:hAnsi="Times New Roman" w:cs="Times New Roman"/>
        </w:rPr>
        <w:t>,</w:t>
      </w:r>
      <w:r w:rsidR="00C11C5F">
        <w:rPr>
          <w:rFonts w:ascii="Times New Roman" w:hAnsi="Times New Roman" w:cs="Times New Roman"/>
        </w:rPr>
        <w:t xml:space="preserve"> transit lines (Billings, 2011) or selecting neighborhoods at a specified distance away from the treatment neighborhoods. Mo</w:t>
      </w:r>
      <w:r w:rsidR="00046323">
        <w:rPr>
          <w:rFonts w:ascii="Times New Roman" w:hAnsi="Times New Roman" w:cs="Times New Roman"/>
        </w:rPr>
        <w:t>re</w:t>
      </w:r>
      <w:r w:rsidR="00C11C5F">
        <w:rPr>
          <w:rFonts w:ascii="Times New Roman" w:hAnsi="Times New Roman" w:cs="Times New Roman"/>
        </w:rPr>
        <w:t xml:space="preserve"> recently, the use of synthetic control neighborhoods has been proposed when imperfect </w:t>
      </w:r>
      <w:r w:rsidR="00AA4DB2">
        <w:rPr>
          <w:rFonts w:ascii="Times New Roman" w:hAnsi="Times New Roman" w:cs="Times New Roman"/>
        </w:rPr>
        <w:t>and/</w:t>
      </w:r>
      <w:r w:rsidR="00046323">
        <w:rPr>
          <w:rFonts w:ascii="Times New Roman" w:hAnsi="Times New Roman" w:cs="Times New Roman"/>
        </w:rPr>
        <w:t xml:space="preserve">or few </w:t>
      </w:r>
      <w:r w:rsidR="00C11C5F">
        <w:rPr>
          <w:rFonts w:ascii="Times New Roman" w:hAnsi="Times New Roman" w:cs="Times New Roman"/>
        </w:rPr>
        <w:t>matches exist (Renzy &amp; Artzer, 2025)</w:t>
      </w:r>
      <w:r w:rsidR="00C1156D">
        <w:rPr>
          <w:rFonts w:ascii="Times New Roman" w:hAnsi="Times New Roman" w:cs="Times New Roman"/>
        </w:rPr>
        <w:t>.</w:t>
      </w:r>
      <w:r w:rsidR="00C11C5F">
        <w:rPr>
          <w:rFonts w:ascii="Times New Roman" w:hAnsi="Times New Roman" w:cs="Times New Roman"/>
        </w:rPr>
        <w:t xml:space="preserve"> </w:t>
      </w:r>
    </w:p>
    <w:p w14:paraId="2EE255DA" w14:textId="27269FB2" w:rsidR="00A21C36" w:rsidRPr="0015119B" w:rsidRDefault="00A21C36" w:rsidP="0015119B">
      <w:pPr>
        <w:pStyle w:val="ListParagraph"/>
        <w:numPr>
          <w:ilvl w:val="0"/>
          <w:numId w:val="2"/>
        </w:numPr>
        <w:spacing w:line="360" w:lineRule="auto"/>
        <w:rPr>
          <w:rFonts w:ascii="Times New Roman" w:hAnsi="Times New Roman" w:cs="Times New Roman"/>
          <w:b/>
          <w:bCs/>
        </w:rPr>
      </w:pPr>
      <w:r w:rsidRPr="0015119B">
        <w:rPr>
          <w:rFonts w:ascii="Times New Roman" w:hAnsi="Times New Roman" w:cs="Times New Roman"/>
          <w:b/>
          <w:bCs/>
        </w:rPr>
        <w:t>Testing Causal Assumptions</w:t>
      </w:r>
      <w:r w:rsidRPr="0015119B">
        <w:rPr>
          <w:rFonts w:ascii="Times New Roman" w:hAnsi="Times New Roman" w:cs="Times New Roman"/>
        </w:rPr>
        <w:t xml:space="preserve"> – Once a set of treatment and control neighborhoods </w:t>
      </w:r>
      <w:r w:rsidR="00450987" w:rsidRPr="0015119B">
        <w:rPr>
          <w:rFonts w:ascii="Times New Roman" w:hAnsi="Times New Roman" w:cs="Times New Roman"/>
        </w:rPr>
        <w:t>is</w:t>
      </w:r>
      <w:r w:rsidRPr="0015119B">
        <w:rPr>
          <w:rFonts w:ascii="Times New Roman" w:hAnsi="Times New Roman" w:cs="Times New Roman"/>
        </w:rPr>
        <w:t xml:space="preserve"> selected, </w:t>
      </w:r>
      <w:r w:rsidR="0045720D" w:rsidRPr="0015119B">
        <w:rPr>
          <w:rFonts w:ascii="Times New Roman" w:hAnsi="Times New Roman" w:cs="Times New Roman"/>
        </w:rPr>
        <w:t>a</w:t>
      </w:r>
      <w:r w:rsidRPr="0015119B">
        <w:rPr>
          <w:rFonts w:ascii="Times New Roman" w:hAnsi="Times New Roman" w:cs="Times New Roman"/>
        </w:rPr>
        <w:t xml:space="preserve"> quasi-experimental model</w:t>
      </w:r>
      <w:r w:rsidR="0045720D" w:rsidRPr="0015119B">
        <w:rPr>
          <w:rFonts w:ascii="Times New Roman" w:hAnsi="Times New Roman" w:cs="Times New Roman"/>
        </w:rPr>
        <w:t>, such as</w:t>
      </w:r>
      <w:r w:rsidRPr="0015119B">
        <w:rPr>
          <w:rFonts w:ascii="Times New Roman" w:hAnsi="Times New Roman" w:cs="Times New Roman"/>
        </w:rPr>
        <w:t xml:space="preserve"> </w:t>
      </w:r>
      <w:r w:rsidR="00515DF5">
        <w:rPr>
          <w:rFonts w:ascii="Times New Roman" w:hAnsi="Times New Roman" w:cs="Times New Roman"/>
        </w:rPr>
        <w:t xml:space="preserve">the </w:t>
      </w:r>
      <w:r w:rsidRPr="0015119B">
        <w:rPr>
          <w:rFonts w:ascii="Times New Roman" w:hAnsi="Times New Roman" w:cs="Times New Roman"/>
        </w:rPr>
        <w:t>Difference-in-Difference</w:t>
      </w:r>
      <w:r w:rsidR="00515DF5">
        <w:rPr>
          <w:rFonts w:ascii="Times New Roman" w:hAnsi="Times New Roman" w:cs="Times New Roman"/>
        </w:rPr>
        <w:t xml:space="preserve"> model</w:t>
      </w:r>
      <w:r w:rsidR="0045720D" w:rsidRPr="0015119B">
        <w:rPr>
          <w:rFonts w:ascii="Times New Roman" w:hAnsi="Times New Roman" w:cs="Times New Roman"/>
        </w:rPr>
        <w:t>, can be used to test whether the intervention (transit investment) ha</w:t>
      </w:r>
      <w:r w:rsidR="00515DF5">
        <w:rPr>
          <w:rFonts w:ascii="Times New Roman" w:hAnsi="Times New Roman" w:cs="Times New Roman"/>
        </w:rPr>
        <w:t>s</w:t>
      </w:r>
      <w:r w:rsidR="0045720D" w:rsidRPr="0015119B">
        <w:rPr>
          <w:rFonts w:ascii="Times New Roman" w:hAnsi="Times New Roman" w:cs="Times New Roman"/>
        </w:rPr>
        <w:t xml:space="preserve"> a causal </w:t>
      </w:r>
      <w:r w:rsidR="003B29DF">
        <w:rPr>
          <w:rFonts w:ascii="Times New Roman" w:hAnsi="Times New Roman" w:cs="Times New Roman"/>
        </w:rPr>
        <w:t>impact</w:t>
      </w:r>
      <w:r w:rsidR="003B29DF" w:rsidRPr="0015119B">
        <w:rPr>
          <w:rFonts w:ascii="Times New Roman" w:hAnsi="Times New Roman" w:cs="Times New Roman"/>
        </w:rPr>
        <w:t xml:space="preserve"> </w:t>
      </w:r>
      <w:r w:rsidR="0045720D" w:rsidRPr="0015119B">
        <w:rPr>
          <w:rFonts w:ascii="Times New Roman" w:hAnsi="Times New Roman" w:cs="Times New Roman"/>
        </w:rPr>
        <w:t>on the outcome variable of interest</w:t>
      </w:r>
      <w:r w:rsidRPr="0015119B">
        <w:rPr>
          <w:rFonts w:ascii="Times New Roman" w:hAnsi="Times New Roman" w:cs="Times New Roman"/>
        </w:rPr>
        <w:t xml:space="preserve">. This modeling technique requires certain </w:t>
      </w:r>
      <w:r w:rsidRPr="0015119B">
        <w:rPr>
          <w:rFonts w:ascii="Times New Roman" w:hAnsi="Times New Roman" w:cs="Times New Roman"/>
        </w:rPr>
        <w:lastRenderedPageBreak/>
        <w:t>preconditions to be met. In particular, the parallel trends assumption requires that treatment and control neighborhoods follow similar trajectories in the outcome variable prior to the intervention period. Without passing this assumption, a causal link cannot be drawn between the intervention</w:t>
      </w:r>
      <w:r w:rsidR="003B29DF">
        <w:rPr>
          <w:rFonts w:ascii="Times New Roman" w:hAnsi="Times New Roman" w:cs="Times New Roman"/>
        </w:rPr>
        <w:t xml:space="preserve"> and the difference in </w:t>
      </w:r>
      <w:r w:rsidR="00386595">
        <w:rPr>
          <w:rFonts w:ascii="Times New Roman" w:hAnsi="Times New Roman" w:cs="Times New Roman"/>
        </w:rPr>
        <w:t xml:space="preserve">change in </w:t>
      </w:r>
      <w:r w:rsidR="003B29DF">
        <w:rPr>
          <w:rFonts w:ascii="Times New Roman" w:hAnsi="Times New Roman" w:cs="Times New Roman"/>
        </w:rPr>
        <w:t>the outcome variable between treatment and control neighborhoods. I.e., it cannot be ruled out that</w:t>
      </w:r>
      <w:r w:rsidR="00FB65E2" w:rsidRPr="0015119B">
        <w:rPr>
          <w:rFonts w:ascii="Times New Roman" w:hAnsi="Times New Roman" w:cs="Times New Roman"/>
        </w:rPr>
        <w:t xml:space="preserve"> other</w:t>
      </w:r>
      <w:r w:rsidRPr="0015119B">
        <w:rPr>
          <w:rFonts w:ascii="Times New Roman" w:hAnsi="Times New Roman" w:cs="Times New Roman"/>
        </w:rPr>
        <w:t xml:space="preserve"> external factors were already causing the treatment and control neighborhoods </w:t>
      </w:r>
      <w:r w:rsidR="00FB65E2" w:rsidRPr="0015119B">
        <w:rPr>
          <w:rFonts w:ascii="Times New Roman" w:hAnsi="Times New Roman" w:cs="Times New Roman"/>
        </w:rPr>
        <w:t>to change differently.</w:t>
      </w:r>
    </w:p>
    <w:p w14:paraId="203F4414" w14:textId="032C2033" w:rsidR="00FB65E2" w:rsidRPr="0015119B" w:rsidRDefault="00FB65E2" w:rsidP="0015119B">
      <w:pPr>
        <w:spacing w:line="360" w:lineRule="auto"/>
        <w:ind w:firstLine="720"/>
        <w:rPr>
          <w:rFonts w:ascii="Times New Roman" w:hAnsi="Times New Roman" w:cs="Times New Roman"/>
        </w:rPr>
      </w:pPr>
      <w:r w:rsidRPr="0015119B">
        <w:rPr>
          <w:rFonts w:ascii="Times New Roman" w:hAnsi="Times New Roman" w:cs="Times New Roman"/>
        </w:rPr>
        <w:t xml:space="preserve">This chapter </w:t>
      </w:r>
      <w:r w:rsidR="00463F27" w:rsidRPr="0015119B">
        <w:rPr>
          <w:rFonts w:ascii="Times New Roman" w:hAnsi="Times New Roman" w:cs="Times New Roman"/>
        </w:rPr>
        <w:t>presents an empirical illustration from Charlotte, North Caroli</w:t>
      </w:r>
      <w:r w:rsidR="00706A4C" w:rsidRPr="0015119B">
        <w:rPr>
          <w:rFonts w:ascii="Times New Roman" w:hAnsi="Times New Roman" w:cs="Times New Roman"/>
        </w:rPr>
        <w:t>n</w:t>
      </w:r>
      <w:r w:rsidR="00463F27" w:rsidRPr="0015119B">
        <w:rPr>
          <w:rFonts w:ascii="Times New Roman" w:hAnsi="Times New Roman" w:cs="Times New Roman"/>
        </w:rPr>
        <w:t>a</w:t>
      </w:r>
      <w:r w:rsidR="0033748E" w:rsidRPr="0015119B">
        <w:rPr>
          <w:rFonts w:ascii="Times New Roman" w:hAnsi="Times New Roman" w:cs="Times New Roman"/>
        </w:rPr>
        <w:t>,</w:t>
      </w:r>
      <w:r w:rsidR="00463F27" w:rsidRPr="0015119B">
        <w:rPr>
          <w:rFonts w:ascii="Times New Roman" w:hAnsi="Times New Roman" w:cs="Times New Roman"/>
        </w:rPr>
        <w:t xml:space="preserve"> to showcase how different control </w:t>
      </w:r>
      <w:r w:rsidR="00386595">
        <w:rPr>
          <w:rFonts w:ascii="Times New Roman" w:hAnsi="Times New Roman" w:cs="Times New Roman"/>
        </w:rPr>
        <w:t xml:space="preserve">group </w:t>
      </w:r>
      <w:r w:rsidR="00463F27" w:rsidRPr="0015119B">
        <w:rPr>
          <w:rFonts w:ascii="Times New Roman" w:hAnsi="Times New Roman" w:cs="Times New Roman"/>
        </w:rPr>
        <w:t>selection strategies yield different conclusions about price capitalization near the city’s Blue Line</w:t>
      </w:r>
      <w:r w:rsidR="00706A4C" w:rsidRPr="0015119B">
        <w:rPr>
          <w:rFonts w:ascii="Times New Roman" w:hAnsi="Times New Roman" w:cs="Times New Roman"/>
        </w:rPr>
        <w:t>. The purpose is to demonstrate how research design decisions impact outcomes.</w:t>
      </w:r>
      <w:r w:rsidR="0033748E" w:rsidRPr="0015119B">
        <w:rPr>
          <w:rFonts w:ascii="Times New Roman" w:hAnsi="Times New Roman" w:cs="Times New Roman"/>
        </w:rPr>
        <w:t xml:space="preserve"> We opt to simplify our example by studying </w:t>
      </w:r>
      <w:r w:rsidR="00646C77">
        <w:rPr>
          <w:rFonts w:ascii="Times New Roman" w:hAnsi="Times New Roman" w:cs="Times New Roman"/>
        </w:rPr>
        <w:t>the impacts on property value</w:t>
      </w:r>
      <w:r w:rsidR="0033748E" w:rsidRPr="0015119B">
        <w:rPr>
          <w:rFonts w:ascii="Times New Roman" w:hAnsi="Times New Roman" w:cs="Times New Roman"/>
        </w:rPr>
        <w:t xml:space="preserve">s rather than the broader set of aggregate </w:t>
      </w:r>
      <w:proofErr w:type="gramStart"/>
      <w:r w:rsidR="0033748E" w:rsidRPr="0015119B">
        <w:rPr>
          <w:rFonts w:ascii="Times New Roman" w:hAnsi="Times New Roman" w:cs="Times New Roman"/>
        </w:rPr>
        <w:t>social</w:t>
      </w:r>
      <w:proofErr w:type="gramEnd"/>
      <w:r w:rsidR="0033748E" w:rsidRPr="0015119B">
        <w:rPr>
          <w:rFonts w:ascii="Times New Roman" w:hAnsi="Times New Roman" w:cs="Times New Roman"/>
        </w:rPr>
        <w:t xml:space="preserve">, demographic, and cultural neighborhood-scale changes that typically characterize gentrification. We do this to narrow the scope of our </w:t>
      </w:r>
      <w:r w:rsidR="00825404" w:rsidRPr="0015119B">
        <w:rPr>
          <w:rFonts w:ascii="Times New Roman" w:hAnsi="Times New Roman" w:cs="Times New Roman"/>
        </w:rPr>
        <w:t xml:space="preserve">example to </w:t>
      </w:r>
      <w:r w:rsidR="00646C77">
        <w:rPr>
          <w:rFonts w:ascii="Times New Roman" w:hAnsi="Times New Roman" w:cs="Times New Roman"/>
        </w:rPr>
        <w:t xml:space="preserve">specifically </w:t>
      </w:r>
      <w:r w:rsidR="00825404" w:rsidRPr="0015119B">
        <w:rPr>
          <w:rFonts w:ascii="Times New Roman" w:hAnsi="Times New Roman" w:cs="Times New Roman"/>
        </w:rPr>
        <w:t xml:space="preserve">highlight the impact of selecting control groups on an observed outcome, holding the outcome variable constant. One could argue that property value uplift is an essential part of the gentrification process – without </w:t>
      </w:r>
      <w:r w:rsidR="00670889" w:rsidRPr="0015119B">
        <w:rPr>
          <w:rFonts w:ascii="Times New Roman" w:hAnsi="Times New Roman" w:cs="Times New Roman"/>
        </w:rPr>
        <w:t>upward pressure</w:t>
      </w:r>
      <w:r w:rsidR="00825404" w:rsidRPr="0015119B">
        <w:rPr>
          <w:rFonts w:ascii="Times New Roman" w:hAnsi="Times New Roman" w:cs="Times New Roman"/>
        </w:rPr>
        <w:t xml:space="preserve"> </w:t>
      </w:r>
      <w:r w:rsidR="00670889" w:rsidRPr="0015119B">
        <w:rPr>
          <w:rFonts w:ascii="Times New Roman" w:hAnsi="Times New Roman" w:cs="Times New Roman"/>
        </w:rPr>
        <w:t>on</w:t>
      </w:r>
      <w:r w:rsidR="00825404" w:rsidRPr="0015119B">
        <w:rPr>
          <w:rFonts w:ascii="Times New Roman" w:hAnsi="Times New Roman" w:cs="Times New Roman"/>
        </w:rPr>
        <w:t xml:space="preserve"> property values, it is difficult to </w:t>
      </w:r>
      <w:r w:rsidR="00646C77">
        <w:rPr>
          <w:rFonts w:ascii="Times New Roman" w:hAnsi="Times New Roman" w:cs="Times New Roman"/>
        </w:rPr>
        <w:t>envision</w:t>
      </w:r>
      <w:r w:rsidR="00825404" w:rsidRPr="0015119B">
        <w:rPr>
          <w:rFonts w:ascii="Times New Roman" w:hAnsi="Times New Roman" w:cs="Times New Roman"/>
        </w:rPr>
        <w:t xml:space="preserve"> widespread changes in the </w:t>
      </w:r>
      <w:r w:rsidR="00515DF5">
        <w:rPr>
          <w:rFonts w:ascii="Times New Roman" w:hAnsi="Times New Roman" w:cs="Times New Roman"/>
        </w:rPr>
        <w:t xml:space="preserve">neighborhood's </w:t>
      </w:r>
      <w:r w:rsidR="00825404" w:rsidRPr="0015119B">
        <w:rPr>
          <w:rFonts w:ascii="Times New Roman" w:hAnsi="Times New Roman" w:cs="Times New Roman"/>
        </w:rPr>
        <w:t>sociodemographic composition.</w:t>
      </w:r>
    </w:p>
    <w:p w14:paraId="38EE4DB9" w14:textId="7F5F6C09" w:rsidR="00670889" w:rsidRPr="00FB71AB" w:rsidRDefault="00224C95" w:rsidP="00224C95">
      <w:pPr>
        <w:spacing w:line="360" w:lineRule="auto"/>
        <w:rPr>
          <w:rFonts w:ascii="Times New Roman" w:hAnsi="Times New Roman" w:cs="Times New Roman"/>
          <w:b/>
          <w:bCs/>
        </w:rPr>
      </w:pPr>
      <w:r w:rsidRPr="00224C95">
        <w:rPr>
          <w:rFonts w:ascii="Times New Roman" w:hAnsi="Times New Roman" w:cs="Times New Roman"/>
          <w:b/>
          <w:bCs/>
        </w:rPr>
        <w:t>2.</w:t>
      </w:r>
      <w:r>
        <w:rPr>
          <w:rFonts w:ascii="Times New Roman" w:hAnsi="Times New Roman" w:cs="Times New Roman"/>
          <w:b/>
          <w:bCs/>
        </w:rPr>
        <w:t xml:space="preserve"> </w:t>
      </w:r>
      <w:r w:rsidR="00670889" w:rsidRPr="00FB71AB">
        <w:rPr>
          <w:rFonts w:ascii="Times New Roman" w:hAnsi="Times New Roman" w:cs="Times New Roman"/>
          <w:b/>
          <w:bCs/>
        </w:rPr>
        <w:t>Empirical Illustration: Price Capitalization in Charlotte, NC</w:t>
      </w:r>
    </w:p>
    <w:p w14:paraId="2A081800" w14:textId="7CE8F696" w:rsidR="00670889" w:rsidRPr="0015119B" w:rsidRDefault="00224C95" w:rsidP="0015119B">
      <w:pPr>
        <w:spacing w:line="360" w:lineRule="auto"/>
        <w:rPr>
          <w:rFonts w:ascii="Times New Roman" w:hAnsi="Times New Roman" w:cs="Times New Roman"/>
        </w:rPr>
      </w:pPr>
      <w:r>
        <w:rPr>
          <w:rFonts w:ascii="Times New Roman" w:hAnsi="Times New Roman" w:cs="Times New Roman"/>
          <w:b/>
          <w:bCs/>
        </w:rPr>
        <w:t xml:space="preserve">2.1 </w:t>
      </w:r>
      <w:r w:rsidR="00435B02">
        <w:rPr>
          <w:rFonts w:ascii="Times New Roman" w:hAnsi="Times New Roman" w:cs="Times New Roman"/>
          <w:b/>
          <w:bCs/>
        </w:rPr>
        <w:t>Study Area and Timeline</w:t>
      </w:r>
    </w:p>
    <w:p w14:paraId="2C56C7E7" w14:textId="73478E75" w:rsidR="00670889" w:rsidRDefault="00670889" w:rsidP="0015119B">
      <w:pPr>
        <w:spacing w:line="360" w:lineRule="auto"/>
        <w:ind w:firstLine="720"/>
        <w:rPr>
          <w:rFonts w:ascii="Times New Roman" w:hAnsi="Times New Roman" w:cs="Times New Roman"/>
        </w:rPr>
      </w:pPr>
      <w:r w:rsidRPr="0015119B">
        <w:rPr>
          <w:rFonts w:ascii="Times New Roman" w:hAnsi="Times New Roman" w:cs="Times New Roman"/>
        </w:rPr>
        <w:t xml:space="preserve">To illustrate how methodological design shapes findings, we </w:t>
      </w:r>
      <w:r w:rsidR="0032274D">
        <w:rPr>
          <w:rFonts w:ascii="Times New Roman" w:hAnsi="Times New Roman" w:cs="Times New Roman"/>
        </w:rPr>
        <w:t>take</w:t>
      </w:r>
      <w:r w:rsidRPr="0015119B">
        <w:rPr>
          <w:rFonts w:ascii="Times New Roman" w:hAnsi="Times New Roman" w:cs="Times New Roman"/>
        </w:rPr>
        <w:t xml:space="preserve"> the well-studied case of Charlotte, North Carolina’s Lynx Blue </w:t>
      </w:r>
      <w:r w:rsidR="0032274D">
        <w:rPr>
          <w:rFonts w:ascii="Times New Roman" w:hAnsi="Times New Roman" w:cs="Times New Roman"/>
        </w:rPr>
        <w:t>light rail</w:t>
      </w:r>
      <w:r w:rsidRPr="0015119B">
        <w:rPr>
          <w:rFonts w:ascii="Times New Roman" w:hAnsi="Times New Roman" w:cs="Times New Roman"/>
        </w:rPr>
        <w:t xml:space="preserve"> transit line. This light rail transit line first opened in 2007 and was extended in 2018 (the Blue Line Extension). It was promoted as a mobility solution and as a redevelopment catalyst, championed by Bank of America’s CEO as part of his grander vision for the city to become a global financial hub. His moniker, as he championed and helped finance Charlotte’s downtown (locally called ‘uptown’) revitalization, was ‘Great Banks Need Great Cities’.  Investment in light rail transit was seen as a means for channeling denser development towards the city’s </w:t>
      </w:r>
      <w:r w:rsidR="00775217" w:rsidRPr="0015119B">
        <w:rPr>
          <w:rFonts w:ascii="Times New Roman" w:hAnsi="Times New Roman" w:cs="Times New Roman"/>
        </w:rPr>
        <w:t xml:space="preserve">largely hollowed-out </w:t>
      </w:r>
      <w:r w:rsidRPr="0015119B">
        <w:rPr>
          <w:rFonts w:ascii="Times New Roman" w:hAnsi="Times New Roman" w:cs="Times New Roman"/>
        </w:rPr>
        <w:t>core</w:t>
      </w:r>
      <w:r w:rsidR="00775217" w:rsidRPr="0015119B">
        <w:rPr>
          <w:rFonts w:ascii="Times New Roman" w:hAnsi="Times New Roman" w:cs="Times New Roman"/>
        </w:rPr>
        <w:t xml:space="preserve"> and was one piece of a larger strategy to incentivize the construction of arts and professional sports facilities</w:t>
      </w:r>
      <w:r w:rsidR="0032274D">
        <w:rPr>
          <w:rFonts w:ascii="Times New Roman" w:hAnsi="Times New Roman" w:cs="Times New Roman"/>
        </w:rPr>
        <w:t xml:space="preserve"> (Smith &amp; Graves, 2003, 2005). We include this contextual background because</w:t>
      </w:r>
      <w:r w:rsidR="00646C77">
        <w:rPr>
          <w:rFonts w:ascii="Times New Roman" w:hAnsi="Times New Roman" w:cs="Times New Roman"/>
        </w:rPr>
        <w:t>,</w:t>
      </w:r>
      <w:r w:rsidR="0032274D">
        <w:rPr>
          <w:rFonts w:ascii="Times New Roman" w:hAnsi="Times New Roman" w:cs="Times New Roman"/>
        </w:rPr>
        <w:t xml:space="preserve"> while careful quantitative modeling choices are </w:t>
      </w:r>
      <w:r w:rsidR="00190F80">
        <w:rPr>
          <w:rFonts w:ascii="Times New Roman" w:hAnsi="Times New Roman" w:cs="Times New Roman"/>
        </w:rPr>
        <w:t xml:space="preserve">imperative for establishing causality, so too is an understanding of the forces </w:t>
      </w:r>
      <w:r w:rsidR="00646C77">
        <w:rPr>
          <w:rFonts w:ascii="Times New Roman" w:hAnsi="Times New Roman" w:cs="Times New Roman"/>
        </w:rPr>
        <w:t xml:space="preserve">that </w:t>
      </w:r>
      <w:r w:rsidR="00646C77">
        <w:rPr>
          <w:rFonts w:ascii="Times New Roman" w:hAnsi="Times New Roman" w:cs="Times New Roman"/>
        </w:rPr>
        <w:lastRenderedPageBreak/>
        <w:t>catalyze</w:t>
      </w:r>
      <w:r w:rsidR="00190F80">
        <w:rPr>
          <w:rFonts w:ascii="Times New Roman" w:hAnsi="Times New Roman" w:cs="Times New Roman"/>
        </w:rPr>
        <w:t xml:space="preserve"> the underlying dynamics. In the case of Charlotte, a fast-growing city </w:t>
      </w:r>
      <w:r w:rsidR="00646C77">
        <w:rPr>
          <w:rFonts w:ascii="Times New Roman" w:hAnsi="Times New Roman" w:cs="Times New Roman"/>
        </w:rPr>
        <w:t>with</w:t>
      </w:r>
      <w:r w:rsidR="00190F80">
        <w:rPr>
          <w:rFonts w:ascii="Times New Roman" w:hAnsi="Times New Roman" w:cs="Times New Roman"/>
        </w:rPr>
        <w:t xml:space="preserve"> an increasing </w:t>
      </w:r>
      <w:r w:rsidR="00646C77">
        <w:rPr>
          <w:rFonts w:ascii="Times New Roman" w:hAnsi="Times New Roman" w:cs="Times New Roman"/>
        </w:rPr>
        <w:t>influence</w:t>
      </w:r>
      <w:r w:rsidR="00190F80">
        <w:rPr>
          <w:rFonts w:ascii="Times New Roman" w:hAnsi="Times New Roman" w:cs="Times New Roman"/>
        </w:rPr>
        <w:t xml:space="preserve"> of </w:t>
      </w:r>
      <w:r w:rsidR="00646C77">
        <w:rPr>
          <w:rFonts w:ascii="Times New Roman" w:hAnsi="Times New Roman" w:cs="Times New Roman"/>
        </w:rPr>
        <w:t>the CEO of a corporation</w:t>
      </w:r>
      <w:r w:rsidR="00190F80">
        <w:rPr>
          <w:rFonts w:ascii="Times New Roman" w:hAnsi="Times New Roman" w:cs="Times New Roman"/>
        </w:rPr>
        <w:t xml:space="preserve"> headquarter</w:t>
      </w:r>
      <w:r w:rsidR="00646C77">
        <w:rPr>
          <w:rFonts w:ascii="Times New Roman" w:hAnsi="Times New Roman" w:cs="Times New Roman"/>
        </w:rPr>
        <w:t>ed in the city, the intention behind the strategy was to transfor</w:t>
      </w:r>
      <w:r w:rsidR="00190F80">
        <w:rPr>
          <w:rFonts w:ascii="Times New Roman" w:hAnsi="Times New Roman" w:cs="Times New Roman"/>
        </w:rPr>
        <w:t xml:space="preserve">m largely industrial and vacant </w:t>
      </w:r>
      <w:r w:rsidR="00646C77">
        <w:rPr>
          <w:rFonts w:ascii="Times New Roman" w:hAnsi="Times New Roman" w:cs="Times New Roman"/>
        </w:rPr>
        <w:t>areas in</w:t>
      </w:r>
      <w:r w:rsidR="00190F80">
        <w:rPr>
          <w:rFonts w:ascii="Times New Roman" w:hAnsi="Times New Roman" w:cs="Times New Roman"/>
        </w:rPr>
        <w:t xml:space="preserve">to </w:t>
      </w:r>
      <w:r w:rsidR="00646C77">
        <w:rPr>
          <w:rFonts w:ascii="Times New Roman" w:hAnsi="Times New Roman" w:cs="Times New Roman"/>
        </w:rPr>
        <w:t>dense and newly attractive</w:t>
      </w:r>
      <w:r w:rsidR="00190F80">
        <w:rPr>
          <w:rFonts w:ascii="Times New Roman" w:hAnsi="Times New Roman" w:cs="Times New Roman"/>
        </w:rPr>
        <w:t xml:space="preserve"> urban </w:t>
      </w:r>
      <w:r w:rsidR="00646C77">
        <w:rPr>
          <w:rFonts w:ascii="Times New Roman" w:hAnsi="Times New Roman" w:cs="Times New Roman"/>
        </w:rPr>
        <w:t>neighborhoods</w:t>
      </w:r>
      <w:r w:rsidR="00190F80">
        <w:rPr>
          <w:rFonts w:ascii="Times New Roman" w:hAnsi="Times New Roman" w:cs="Times New Roman"/>
        </w:rPr>
        <w:t>. This was more of a redevelopment tool than a mobility solution in an otherwise extremely car-dependent city.</w:t>
      </w:r>
    </w:p>
    <w:p w14:paraId="6844402B" w14:textId="7D0BA57D" w:rsidR="000C713B" w:rsidRDefault="000C713B" w:rsidP="001E6020">
      <w:pPr>
        <w:spacing w:line="360" w:lineRule="auto"/>
        <w:ind w:firstLine="720"/>
        <w:rPr>
          <w:rFonts w:ascii="Times New Roman" w:hAnsi="Times New Roman" w:cs="Times New Roman"/>
        </w:rPr>
      </w:pPr>
      <w:r>
        <w:rPr>
          <w:rFonts w:ascii="Times New Roman" w:hAnsi="Times New Roman" w:cs="Times New Roman"/>
        </w:rPr>
        <w:t xml:space="preserve">The original Lynx Blue Line opened in November 2007, running 9.6 miles from downtown Charlotte south to Interstate 485. </w:t>
      </w:r>
      <w:r w:rsidR="006D4395">
        <w:rPr>
          <w:rFonts w:ascii="Times New Roman" w:hAnsi="Times New Roman" w:cs="Times New Roman"/>
        </w:rPr>
        <w:t>The line was largely regarded as a success</w:t>
      </w:r>
      <w:r w:rsidR="00646C77">
        <w:rPr>
          <w:rFonts w:ascii="Times New Roman" w:hAnsi="Times New Roman" w:cs="Times New Roman"/>
        </w:rPr>
        <w:t>,</w:t>
      </w:r>
      <w:r w:rsidR="006D4395">
        <w:rPr>
          <w:rFonts w:ascii="Times New Roman" w:hAnsi="Times New Roman" w:cs="Times New Roman"/>
        </w:rPr>
        <w:t xml:space="preserve"> with first-year ridership exceeding projections</w:t>
      </w:r>
      <w:r w:rsidR="00646C77">
        <w:rPr>
          <w:rFonts w:ascii="Times New Roman" w:hAnsi="Times New Roman" w:cs="Times New Roman"/>
        </w:rPr>
        <w:t>,</w:t>
      </w:r>
      <w:r w:rsidR="006D4395">
        <w:rPr>
          <w:rFonts w:ascii="Times New Roman" w:hAnsi="Times New Roman" w:cs="Times New Roman"/>
        </w:rPr>
        <w:t xml:space="preserve"> and would later be credited with spurring $3.5 billion in associated development (</w:t>
      </w:r>
      <w:r w:rsidR="00DC4212">
        <w:rPr>
          <w:rFonts w:ascii="Times New Roman" w:hAnsi="Times New Roman" w:cs="Times New Roman"/>
        </w:rPr>
        <w:t>Dunn</w:t>
      </w:r>
      <w:r w:rsidR="006D4395">
        <w:rPr>
          <w:rFonts w:ascii="Times New Roman" w:hAnsi="Times New Roman" w:cs="Times New Roman"/>
        </w:rPr>
        <w:t>, 2019)</w:t>
      </w:r>
      <w:r w:rsidR="001E6020">
        <w:rPr>
          <w:rFonts w:ascii="Times New Roman" w:hAnsi="Times New Roman" w:cs="Times New Roman"/>
        </w:rPr>
        <w:t xml:space="preserve">. In March 2018, the Blue Line Extension opened, adding 9.3 miles and 11 new stations extending northeast from downtown, with a terminus at the University of North Carolina Charlotte’s campus. </w:t>
      </w:r>
    </w:p>
    <w:p w14:paraId="7CB786F1" w14:textId="67607457" w:rsidR="00AB3615" w:rsidRDefault="00AB3615" w:rsidP="001E6020">
      <w:pPr>
        <w:spacing w:line="360" w:lineRule="auto"/>
        <w:ind w:firstLine="720"/>
        <w:rPr>
          <w:rFonts w:ascii="Times New Roman" w:hAnsi="Times New Roman" w:cs="Times New Roman"/>
        </w:rPr>
      </w:pPr>
      <w:r>
        <w:rPr>
          <w:rFonts w:ascii="Times New Roman" w:hAnsi="Times New Roman" w:cs="Times New Roman"/>
        </w:rPr>
        <w:t>We focus our illustrative example exclusively on the 2018 extension. Our study period spans from 2004</w:t>
      </w:r>
      <w:r w:rsidR="00CE5E9E">
        <w:rPr>
          <w:rFonts w:ascii="Times New Roman" w:hAnsi="Times New Roman" w:cs="Times New Roman"/>
        </w:rPr>
        <w:t xml:space="preserve"> to </w:t>
      </w:r>
      <w:r>
        <w:rPr>
          <w:rFonts w:ascii="Times New Roman" w:hAnsi="Times New Roman" w:cs="Times New Roman"/>
        </w:rPr>
        <w:t xml:space="preserve">2023, providing 14 years of pre-treatment data (2004-2017) and six years of post-treatment observations (2018-2023). To ensure a clean identification strategy, we exclude all properties within 1.5 miles of the original Blue Line stations from our analysis, as these areas may have already experienced transit-induced </w:t>
      </w:r>
      <w:r w:rsidR="00646C77">
        <w:rPr>
          <w:rFonts w:ascii="Times New Roman" w:hAnsi="Times New Roman" w:cs="Times New Roman"/>
        </w:rPr>
        <w:t>changes in property valu</w:t>
      </w:r>
      <w:r>
        <w:rPr>
          <w:rFonts w:ascii="Times New Roman" w:hAnsi="Times New Roman" w:cs="Times New Roman"/>
        </w:rPr>
        <w:t>es.</w:t>
      </w:r>
    </w:p>
    <w:p w14:paraId="15393854" w14:textId="753020DD" w:rsidR="00AB3615" w:rsidRDefault="00510078" w:rsidP="00AB3615">
      <w:pPr>
        <w:spacing w:line="360" w:lineRule="auto"/>
        <w:rPr>
          <w:rFonts w:ascii="Times New Roman" w:hAnsi="Times New Roman" w:cs="Times New Roman"/>
          <w:b/>
          <w:bCs/>
        </w:rPr>
      </w:pPr>
      <w:r>
        <w:rPr>
          <w:rFonts w:ascii="Times New Roman" w:hAnsi="Times New Roman" w:cs="Times New Roman"/>
          <w:b/>
          <w:bCs/>
        </w:rPr>
        <w:t xml:space="preserve">2.2 </w:t>
      </w:r>
      <w:r w:rsidR="00435B02" w:rsidRPr="00435B02">
        <w:rPr>
          <w:rFonts w:ascii="Times New Roman" w:hAnsi="Times New Roman" w:cs="Times New Roman"/>
          <w:b/>
          <w:bCs/>
        </w:rPr>
        <w:t>Data Sources</w:t>
      </w:r>
    </w:p>
    <w:p w14:paraId="4A1A317A" w14:textId="15DC778C" w:rsidR="00435B02" w:rsidRDefault="00435B02" w:rsidP="00AB3615">
      <w:pPr>
        <w:spacing w:line="360" w:lineRule="auto"/>
        <w:rPr>
          <w:rFonts w:ascii="Times New Roman" w:hAnsi="Times New Roman" w:cs="Times New Roman"/>
        </w:rPr>
      </w:pPr>
      <w:r>
        <w:rPr>
          <w:rFonts w:ascii="Times New Roman" w:hAnsi="Times New Roman" w:cs="Times New Roman"/>
        </w:rPr>
        <w:tab/>
        <w:t xml:space="preserve">We assembled a dataset of single-family residential property sales in Mecklenburg County </w:t>
      </w:r>
      <w:r w:rsidR="000B1CF2">
        <w:rPr>
          <w:rFonts w:ascii="Times New Roman" w:hAnsi="Times New Roman" w:cs="Times New Roman"/>
        </w:rPr>
        <w:t>from the tax assessor’s office. The dataset contains transaction prices, sale dates, and detailed property characteristics, including lot size (</w:t>
      </w:r>
      <w:r w:rsidR="00646C77">
        <w:rPr>
          <w:rFonts w:ascii="Times New Roman" w:hAnsi="Times New Roman" w:cs="Times New Roman"/>
        </w:rPr>
        <w:t xml:space="preserve">in </w:t>
      </w:r>
      <w:r w:rsidR="000B1CF2">
        <w:rPr>
          <w:rFonts w:ascii="Times New Roman" w:hAnsi="Times New Roman" w:cs="Times New Roman"/>
        </w:rPr>
        <w:t>acres), building age (</w:t>
      </w:r>
      <w:r w:rsidR="00646C77">
        <w:rPr>
          <w:rFonts w:ascii="Times New Roman" w:hAnsi="Times New Roman" w:cs="Times New Roman"/>
        </w:rPr>
        <w:t xml:space="preserve">in </w:t>
      </w:r>
      <w:r w:rsidR="000B1CF2">
        <w:rPr>
          <w:rFonts w:ascii="Times New Roman" w:hAnsi="Times New Roman" w:cs="Times New Roman"/>
        </w:rPr>
        <w:t>years), heated square footage, number of bedrooms, and number of full bathrooms. We restricted the sample to arm’s length transactions between unrelated parties, excluding foreclosures, estate sales, and other non-market transactions that might not reflect market values.</w:t>
      </w:r>
      <w:r w:rsidR="00C52329">
        <w:rPr>
          <w:rFonts w:ascii="Times New Roman" w:hAnsi="Times New Roman" w:cs="Times New Roman"/>
        </w:rPr>
        <w:t xml:space="preserve"> After cleaning, our property database contained 263,788 observations. </w:t>
      </w:r>
    </w:p>
    <w:p w14:paraId="41D4D9CE" w14:textId="64027C68" w:rsidR="000B1CF2" w:rsidRDefault="000B1CF2" w:rsidP="00AB3615">
      <w:pPr>
        <w:spacing w:line="360" w:lineRule="auto"/>
        <w:rPr>
          <w:rFonts w:ascii="Times New Roman" w:hAnsi="Times New Roman" w:cs="Times New Roman"/>
        </w:rPr>
      </w:pPr>
      <w:r>
        <w:rPr>
          <w:rFonts w:ascii="Times New Roman" w:hAnsi="Times New Roman" w:cs="Times New Roman"/>
        </w:rPr>
        <w:tab/>
        <w:t>To capture neighborhood context, we merged Census tract-level demographic and socioeconomic data from the 2000 Decennial Census and the 2006-2022 American Community Survey (ACS) 5-year estimates. These variables include population density, housing unit density, percent</w:t>
      </w:r>
      <w:r w:rsidR="00646C77">
        <w:rPr>
          <w:rFonts w:ascii="Times New Roman" w:hAnsi="Times New Roman" w:cs="Times New Roman"/>
        </w:rPr>
        <w:t>age of</w:t>
      </w:r>
      <w:r>
        <w:rPr>
          <w:rFonts w:ascii="Times New Roman" w:hAnsi="Times New Roman" w:cs="Times New Roman"/>
        </w:rPr>
        <w:t xml:space="preserve"> owner-occupied housing, employment rate, percent</w:t>
      </w:r>
      <w:r w:rsidR="00646C77">
        <w:rPr>
          <w:rFonts w:ascii="Times New Roman" w:hAnsi="Times New Roman" w:cs="Times New Roman"/>
        </w:rPr>
        <w:t>age of the</w:t>
      </w:r>
      <w:r>
        <w:rPr>
          <w:rFonts w:ascii="Times New Roman" w:hAnsi="Times New Roman" w:cs="Times New Roman"/>
        </w:rPr>
        <w:t xml:space="preserve"> white population, and percent</w:t>
      </w:r>
      <w:r w:rsidR="00646C77">
        <w:rPr>
          <w:rFonts w:ascii="Times New Roman" w:hAnsi="Times New Roman" w:cs="Times New Roman"/>
        </w:rPr>
        <w:t>age</w:t>
      </w:r>
      <w:r>
        <w:rPr>
          <w:rFonts w:ascii="Times New Roman" w:hAnsi="Times New Roman" w:cs="Times New Roman"/>
        </w:rPr>
        <w:t xml:space="preserve"> of adults with a bachelor’s degree or higher. We also computed the Euclidean </w:t>
      </w:r>
      <w:r>
        <w:rPr>
          <w:rFonts w:ascii="Times New Roman" w:hAnsi="Times New Roman" w:cs="Times New Roman"/>
        </w:rPr>
        <w:lastRenderedPageBreak/>
        <w:t xml:space="preserve">distance </w:t>
      </w:r>
      <w:r w:rsidR="0042690F">
        <w:rPr>
          <w:rFonts w:ascii="Times New Roman" w:hAnsi="Times New Roman" w:cs="Times New Roman"/>
        </w:rPr>
        <w:t>from the tract to the city center. We geocoded all properties and assigned them to Census tracts based on their location.</w:t>
      </w:r>
    </w:p>
    <w:p w14:paraId="387F881B" w14:textId="56F65DA1" w:rsidR="0066322F" w:rsidRDefault="00510078" w:rsidP="00AB3615">
      <w:pPr>
        <w:spacing w:line="360" w:lineRule="auto"/>
        <w:rPr>
          <w:rFonts w:ascii="Times New Roman" w:hAnsi="Times New Roman" w:cs="Times New Roman"/>
          <w:b/>
          <w:bCs/>
        </w:rPr>
      </w:pPr>
      <w:r>
        <w:rPr>
          <w:rFonts w:ascii="Times New Roman" w:hAnsi="Times New Roman" w:cs="Times New Roman"/>
          <w:b/>
          <w:bCs/>
        </w:rPr>
        <w:t xml:space="preserve">2.3 </w:t>
      </w:r>
      <w:r w:rsidR="0066322F">
        <w:rPr>
          <w:rFonts w:ascii="Times New Roman" w:hAnsi="Times New Roman" w:cs="Times New Roman"/>
          <w:b/>
          <w:bCs/>
        </w:rPr>
        <w:t>Methodological Approach</w:t>
      </w:r>
    </w:p>
    <w:p w14:paraId="07C30CA4" w14:textId="249DB8C0" w:rsidR="0066322F" w:rsidRPr="0066322F" w:rsidRDefault="0066322F" w:rsidP="0066322F">
      <w:pPr>
        <w:spacing w:line="360" w:lineRule="auto"/>
        <w:ind w:firstLine="720"/>
        <w:rPr>
          <w:rFonts w:ascii="Times New Roman" w:hAnsi="Times New Roman" w:cs="Times New Roman"/>
        </w:rPr>
      </w:pPr>
      <w:r w:rsidRPr="0066322F">
        <w:rPr>
          <w:rFonts w:ascii="Times New Roman" w:hAnsi="Times New Roman" w:cs="Times New Roman"/>
        </w:rPr>
        <w:t>Our analytical strategy combines matching methods with difference-in-differences (</w:t>
      </w:r>
      <w:proofErr w:type="spellStart"/>
      <w:r w:rsidRPr="0066322F">
        <w:rPr>
          <w:rFonts w:ascii="Times New Roman" w:hAnsi="Times New Roman" w:cs="Times New Roman"/>
        </w:rPr>
        <w:t>DiD</w:t>
      </w:r>
      <w:proofErr w:type="spellEnd"/>
      <w:r w:rsidRPr="0066322F">
        <w:rPr>
          <w:rFonts w:ascii="Times New Roman" w:hAnsi="Times New Roman" w:cs="Times New Roman"/>
        </w:rPr>
        <w:t xml:space="preserve">) estimation to address the fundamental identification challenge in evaluating transit impacts: transit stations are not randomly assigned. Cities strategically locate stations in areas expected to maximize ridership and development potential, creating selection bias that confounds causal inference. Properties near transit stations may differ systematically from those farther away in ways that affect price trajectories independent of transit access. Simply comparing prices near stations to prices elsewhere </w:t>
      </w:r>
      <w:r w:rsidR="003E16BA">
        <w:rPr>
          <w:rFonts w:ascii="Times New Roman" w:hAnsi="Times New Roman" w:cs="Times New Roman"/>
        </w:rPr>
        <w:t>would</w:t>
      </w:r>
      <w:r w:rsidRPr="0066322F">
        <w:rPr>
          <w:rFonts w:ascii="Times New Roman" w:hAnsi="Times New Roman" w:cs="Times New Roman"/>
        </w:rPr>
        <w:t xml:space="preserve"> conflate the effect of the station with pre-existing differences between these areas.</w:t>
      </w:r>
    </w:p>
    <w:p w14:paraId="60C8A167" w14:textId="51C57677" w:rsidR="0066322F" w:rsidRPr="0066322F" w:rsidRDefault="0066322F" w:rsidP="0066322F">
      <w:pPr>
        <w:spacing w:line="360" w:lineRule="auto"/>
        <w:ind w:firstLine="720"/>
        <w:rPr>
          <w:rFonts w:ascii="Times New Roman" w:hAnsi="Times New Roman" w:cs="Times New Roman"/>
        </w:rPr>
      </w:pPr>
      <w:r w:rsidRPr="0066322F">
        <w:rPr>
          <w:rFonts w:ascii="Times New Roman" w:hAnsi="Times New Roman" w:cs="Times New Roman"/>
        </w:rPr>
        <w:t>We address this challenge through a two-stage approach: (1) use matching methods to construct comparable treatment and control groups based on observable characteristics, and (2) apply difference-in-differences estimation to these matched samples to control for time-invariant unobserved differences and common temporal shocks. Below</w:t>
      </w:r>
      <w:r w:rsidR="003E16BA">
        <w:rPr>
          <w:rFonts w:ascii="Times New Roman" w:hAnsi="Times New Roman" w:cs="Times New Roman"/>
        </w:rPr>
        <w:t>,</w:t>
      </w:r>
      <w:r w:rsidRPr="0066322F">
        <w:rPr>
          <w:rFonts w:ascii="Times New Roman" w:hAnsi="Times New Roman" w:cs="Times New Roman"/>
        </w:rPr>
        <w:t xml:space="preserve"> we detail each component of this strategy.</w:t>
      </w:r>
    </w:p>
    <w:p w14:paraId="198B2094" w14:textId="2A4BD29D" w:rsidR="0066322F" w:rsidRPr="008C5EC8" w:rsidRDefault="00510078" w:rsidP="00AB3615">
      <w:pPr>
        <w:spacing w:line="360" w:lineRule="auto"/>
        <w:rPr>
          <w:rFonts w:ascii="Times New Roman" w:hAnsi="Times New Roman" w:cs="Times New Roman"/>
          <w:b/>
          <w:bCs/>
          <w:i/>
          <w:iCs/>
        </w:rPr>
      </w:pPr>
      <w:r>
        <w:rPr>
          <w:rFonts w:ascii="Times New Roman" w:hAnsi="Times New Roman" w:cs="Times New Roman"/>
          <w:b/>
          <w:bCs/>
          <w:i/>
          <w:iCs/>
        </w:rPr>
        <w:t xml:space="preserve">2.3.1 </w:t>
      </w:r>
      <w:r w:rsidR="0066322F" w:rsidRPr="008C5EC8">
        <w:rPr>
          <w:rFonts w:ascii="Times New Roman" w:hAnsi="Times New Roman" w:cs="Times New Roman"/>
          <w:b/>
          <w:bCs/>
          <w:i/>
          <w:iCs/>
        </w:rPr>
        <w:t>Difference-in-Differences Estimation</w:t>
      </w:r>
    </w:p>
    <w:p w14:paraId="7663403D" w14:textId="3CF9AB09" w:rsidR="0066322F" w:rsidRDefault="0066322F" w:rsidP="0066322F">
      <w:pPr>
        <w:spacing w:line="360" w:lineRule="auto"/>
        <w:ind w:firstLine="720"/>
        <w:rPr>
          <w:rFonts w:ascii="Times New Roman" w:hAnsi="Times New Roman" w:cs="Times New Roman"/>
        </w:rPr>
      </w:pPr>
      <w:r w:rsidRPr="0066322F">
        <w:rPr>
          <w:rFonts w:ascii="Times New Roman" w:hAnsi="Times New Roman" w:cs="Times New Roman"/>
        </w:rPr>
        <w:t>Difference-in-differences (</w:t>
      </w:r>
      <w:proofErr w:type="spellStart"/>
      <w:r w:rsidRPr="0066322F">
        <w:rPr>
          <w:rFonts w:ascii="Times New Roman" w:hAnsi="Times New Roman" w:cs="Times New Roman"/>
        </w:rPr>
        <w:t>DiD</w:t>
      </w:r>
      <w:proofErr w:type="spellEnd"/>
      <w:r w:rsidRPr="0066322F">
        <w:rPr>
          <w:rFonts w:ascii="Times New Roman" w:hAnsi="Times New Roman" w:cs="Times New Roman"/>
        </w:rPr>
        <w:t>) is a quasi-experimental technique that exploits variation in the timing of treatment exposure to identify causal effects. The logic is straightforward: compare the change in outcomes</w:t>
      </w:r>
      <w:r w:rsidR="003E16BA">
        <w:rPr>
          <w:rFonts w:ascii="Times New Roman" w:hAnsi="Times New Roman" w:cs="Times New Roman"/>
        </w:rPr>
        <w:t xml:space="preserve"> (sales price)</w:t>
      </w:r>
      <w:r w:rsidRPr="0066322F">
        <w:rPr>
          <w:rFonts w:ascii="Times New Roman" w:hAnsi="Times New Roman" w:cs="Times New Roman"/>
        </w:rPr>
        <w:t xml:space="preserve"> for treated units (properties near Blue Line Extension stations) before and after the intervention to the change in outcomes for control units over the same period. The "difference in differences" isolates the treatment effect by netting out both time-invariant differences between treatment and control groups and common time trends affecting both groups.</w:t>
      </w:r>
    </w:p>
    <w:p w14:paraId="04B8FB83" w14:textId="77777777" w:rsidR="008C5EC8" w:rsidRDefault="0066322F" w:rsidP="008C5EC8">
      <w:pPr>
        <w:spacing w:line="360" w:lineRule="auto"/>
        <w:ind w:firstLine="720"/>
        <w:rPr>
          <w:rFonts w:ascii="Times New Roman" w:hAnsi="Times New Roman" w:cs="Times New Roman"/>
        </w:rPr>
      </w:pPr>
      <w:r w:rsidRPr="0066322F">
        <w:rPr>
          <w:rFonts w:ascii="Times New Roman" w:hAnsi="Times New Roman" w:cs="Times New Roman"/>
        </w:rPr>
        <w:t xml:space="preserve">Formally, the </w:t>
      </w:r>
      <w:proofErr w:type="spellStart"/>
      <w:r w:rsidRPr="0066322F">
        <w:rPr>
          <w:rFonts w:ascii="Times New Roman" w:hAnsi="Times New Roman" w:cs="Times New Roman"/>
        </w:rPr>
        <w:t>DiD</w:t>
      </w:r>
      <w:proofErr w:type="spellEnd"/>
      <w:r w:rsidRPr="0066322F">
        <w:rPr>
          <w:rFonts w:ascii="Times New Roman" w:hAnsi="Times New Roman" w:cs="Times New Roman"/>
        </w:rPr>
        <w:t xml:space="preserve"> model takes the form:</w:t>
      </w:r>
    </w:p>
    <w:p w14:paraId="1FCA675A" w14:textId="12D8B068" w:rsidR="0066322F" w:rsidRPr="003E16BA" w:rsidRDefault="0066322F" w:rsidP="008C5EC8">
      <w:pPr>
        <w:spacing w:line="360" w:lineRule="auto"/>
        <w:ind w:firstLine="720"/>
        <w:rPr>
          <w:rFonts w:ascii="Times New Roman" w:hAnsi="Times New Roman" w:cs="Times New Roman"/>
        </w:rPr>
      </w:pPr>
      <w:r w:rsidRPr="0066322F">
        <w:rPr>
          <w:rFonts w:ascii="Times New Roman" w:hAnsi="Times New Roman" w:cs="Times New Roman"/>
        </w:rPr>
        <w:t>Y</w:t>
      </w:r>
      <w:r w:rsidRPr="0066322F">
        <w:rPr>
          <w:rFonts w:ascii="Times New Roman" w:hAnsi="Times New Roman" w:cs="Times New Roman"/>
          <w:i/>
          <w:iCs/>
          <w:vertAlign w:val="subscript"/>
        </w:rPr>
        <w:t>it</w:t>
      </w:r>
      <w:r w:rsidR="00546BA0">
        <w:rPr>
          <w:rFonts w:ascii="Times New Roman" w:hAnsi="Times New Roman" w:cs="Times New Roman"/>
          <w:i/>
          <w:iCs/>
          <w:vertAlign w:val="subscript"/>
        </w:rPr>
        <w:t xml:space="preserve"> </w:t>
      </w:r>
      <w:r w:rsidRPr="0066322F">
        <w:rPr>
          <w:rFonts w:ascii="Times New Roman" w:hAnsi="Times New Roman" w:cs="Times New Roman"/>
        </w:rPr>
        <w:t>=</w:t>
      </w:r>
      <w:r w:rsidR="00546BA0">
        <w:rPr>
          <w:rFonts w:ascii="Times New Roman" w:hAnsi="Times New Roman" w:cs="Times New Roman"/>
        </w:rPr>
        <w:t xml:space="preserve"> </w:t>
      </w:r>
      <w:r w:rsidRPr="0066322F">
        <w:rPr>
          <w:rFonts w:ascii="Times New Roman" w:hAnsi="Times New Roman" w:cs="Times New Roman"/>
        </w:rPr>
        <w:t>α+</w:t>
      </w:r>
      <w:r w:rsidRPr="0066322F">
        <w:rPr>
          <w:rFonts w:ascii="Times New Roman" w:hAnsi="Times New Roman" w:cs="Times New Roman"/>
          <w:i/>
          <w:iCs/>
        </w:rPr>
        <w:t>β</w:t>
      </w:r>
      <w:r w:rsidRPr="0066322F">
        <w:rPr>
          <w:rFonts w:ascii="Times New Roman" w:hAnsi="Times New Roman" w:cs="Times New Roman"/>
          <w:vertAlign w:val="subscript"/>
        </w:rPr>
        <w:t>1</w:t>
      </w:r>
      <w:r w:rsidRPr="0066322F">
        <w:rPr>
          <w:rFonts w:ascii="Times New Roman" w:hAnsi="Times New Roman" w:cs="Times New Roman"/>
        </w:rPr>
        <w:t>Treat</w:t>
      </w:r>
      <w:r w:rsidRPr="0066322F">
        <w:rPr>
          <w:rFonts w:ascii="Times New Roman" w:hAnsi="Times New Roman" w:cs="Times New Roman"/>
          <w:i/>
          <w:iCs/>
          <w:vertAlign w:val="subscript"/>
        </w:rPr>
        <w:t>i</w:t>
      </w:r>
      <w:r w:rsidRPr="0066322F">
        <w:rPr>
          <w:rFonts w:ascii="Times New Roman" w:hAnsi="Times New Roman" w:cs="Times New Roman"/>
        </w:rPr>
        <w:t>+</w:t>
      </w:r>
      <w:r w:rsidRPr="0066322F">
        <w:rPr>
          <w:rFonts w:ascii="Times New Roman" w:hAnsi="Times New Roman" w:cs="Times New Roman"/>
          <w:i/>
          <w:iCs/>
        </w:rPr>
        <w:t>β</w:t>
      </w:r>
      <w:r w:rsidRPr="0066322F">
        <w:rPr>
          <w:rFonts w:ascii="Times New Roman" w:hAnsi="Times New Roman" w:cs="Times New Roman"/>
          <w:vertAlign w:val="subscript"/>
        </w:rPr>
        <w:t>2</w:t>
      </w:r>
      <w:r w:rsidRPr="0066322F">
        <w:rPr>
          <w:rFonts w:ascii="Times New Roman" w:hAnsi="Times New Roman" w:cs="Times New Roman"/>
        </w:rPr>
        <w:t>Pos</w:t>
      </w:r>
      <w:r w:rsidR="00546BA0">
        <w:rPr>
          <w:rFonts w:ascii="Times New Roman" w:hAnsi="Times New Roman" w:cs="Times New Roman"/>
        </w:rPr>
        <w:t>t</w:t>
      </w:r>
      <w:r w:rsidRPr="0066322F">
        <w:rPr>
          <w:rFonts w:ascii="Times New Roman" w:hAnsi="Times New Roman" w:cs="Times New Roman"/>
          <w:i/>
          <w:iCs/>
          <w:vertAlign w:val="subscript"/>
        </w:rPr>
        <w:t>t</w:t>
      </w:r>
      <w:r w:rsidRPr="0066322F">
        <w:rPr>
          <w:rFonts w:ascii="Times New Roman" w:hAnsi="Times New Roman" w:cs="Times New Roman"/>
        </w:rPr>
        <w:t>+</w:t>
      </w:r>
      <w:r w:rsidRPr="0066322F">
        <w:rPr>
          <w:rFonts w:ascii="Times New Roman" w:hAnsi="Times New Roman" w:cs="Times New Roman"/>
          <w:i/>
          <w:iCs/>
        </w:rPr>
        <w:t>β</w:t>
      </w:r>
      <w:r w:rsidRPr="0066322F">
        <w:rPr>
          <w:rFonts w:ascii="Times New Roman" w:hAnsi="Times New Roman" w:cs="Times New Roman"/>
          <w:vertAlign w:val="subscript"/>
        </w:rPr>
        <w:t>3</w:t>
      </w:r>
      <w:r w:rsidRPr="0066322F">
        <w:rPr>
          <w:rFonts w:ascii="Times New Roman" w:hAnsi="Times New Roman" w:cs="Times New Roman"/>
        </w:rPr>
        <w:t>(</w:t>
      </w:r>
      <w:proofErr w:type="spellStart"/>
      <w:r w:rsidRPr="0066322F">
        <w:rPr>
          <w:rFonts w:ascii="Times New Roman" w:hAnsi="Times New Roman" w:cs="Times New Roman"/>
        </w:rPr>
        <w:t>Treat</w:t>
      </w:r>
      <w:r w:rsidRPr="0066322F">
        <w:rPr>
          <w:rFonts w:ascii="Times New Roman" w:hAnsi="Times New Roman" w:cs="Times New Roman"/>
          <w:i/>
          <w:iCs/>
          <w:vertAlign w:val="subscript"/>
        </w:rPr>
        <w:t>i</w:t>
      </w:r>
      <w:r w:rsidRPr="0066322F">
        <w:rPr>
          <w:rFonts w:ascii="Times New Roman" w:hAnsi="Times New Roman" w:cs="Times New Roman"/>
        </w:rPr>
        <w:t>×</w:t>
      </w:r>
      <w:proofErr w:type="gramStart"/>
      <w:r w:rsidRPr="0066322F">
        <w:rPr>
          <w:rFonts w:ascii="Times New Roman" w:hAnsi="Times New Roman" w:cs="Times New Roman"/>
        </w:rPr>
        <w:t>Post</w:t>
      </w:r>
      <w:r w:rsidRPr="0066322F">
        <w:rPr>
          <w:rFonts w:ascii="Times New Roman" w:hAnsi="Times New Roman" w:cs="Times New Roman"/>
          <w:i/>
          <w:iCs/>
          <w:vertAlign w:val="subscript"/>
        </w:rPr>
        <w:t>t</w:t>
      </w:r>
      <w:proofErr w:type="spellEnd"/>
      <w:r w:rsidRPr="0066322F">
        <w:rPr>
          <w:rFonts w:ascii="Times New Roman" w:hAnsi="Times New Roman" w:cs="Times New Roman"/>
        </w:rPr>
        <w:t>)+</w:t>
      </w:r>
      <w:proofErr w:type="gramEnd"/>
      <w:r w:rsidR="00E86763" w:rsidRPr="00E86763">
        <w:t xml:space="preserve"> </w:t>
      </w:r>
      <w:proofErr w:type="spellStart"/>
      <w:r w:rsidR="00E86763" w:rsidRPr="00E86763">
        <w:rPr>
          <w:rFonts w:ascii="Times New Roman" w:hAnsi="Times New Roman" w:cs="Times New Roman"/>
        </w:rPr>
        <w:t>X</w:t>
      </w:r>
      <w:r w:rsidR="00E86763" w:rsidRPr="00E86763">
        <w:rPr>
          <w:rFonts w:ascii="Times New Roman" w:hAnsi="Times New Roman" w:cs="Times New Roman"/>
          <w:i/>
          <w:iCs/>
          <w:vertAlign w:val="subscript"/>
        </w:rPr>
        <w:t>it</w:t>
      </w:r>
      <w:proofErr w:type="spellEnd"/>
      <w:r w:rsidR="00E86763" w:rsidRPr="00E86763">
        <w:rPr>
          <w:rFonts w:ascii="Times New Roman" w:hAnsi="Times New Roman" w:cs="Times New Roman"/>
        </w:rPr>
        <w:t>​</w:t>
      </w:r>
      <w:r w:rsidR="00E86763" w:rsidRPr="00E86763">
        <w:rPr>
          <w:rFonts w:ascii="Times New Roman" w:hAnsi="Times New Roman" w:cs="Times New Roman"/>
          <w:i/>
          <w:iCs/>
        </w:rPr>
        <w:t>γ</w:t>
      </w:r>
      <w:r w:rsidR="00E86763" w:rsidRPr="00E86763">
        <w:rPr>
          <w:rFonts w:ascii="Times New Roman" w:hAnsi="Times New Roman" w:cs="Times New Roman"/>
        </w:rPr>
        <w:t xml:space="preserve"> </w:t>
      </w:r>
      <w:r w:rsidR="00E86763">
        <w:rPr>
          <w:rFonts w:ascii="Times New Roman" w:hAnsi="Times New Roman" w:cs="Times New Roman"/>
        </w:rPr>
        <w:t xml:space="preserve">+ </w:t>
      </w:r>
      <w:proofErr w:type="spellStart"/>
      <w:r w:rsidR="00E86763" w:rsidRPr="00E86763">
        <w:rPr>
          <w:rFonts w:ascii="Times New Roman" w:hAnsi="Times New Roman" w:cs="Times New Roman"/>
        </w:rPr>
        <w:t>δ</w:t>
      </w:r>
      <w:r w:rsidR="00E86763" w:rsidRPr="00E86763">
        <w:rPr>
          <w:rFonts w:ascii="Times New Roman" w:hAnsi="Times New Roman" w:cs="Times New Roman"/>
          <w:i/>
          <w:iCs/>
          <w:vertAlign w:val="subscript"/>
        </w:rPr>
        <w:t>t</w:t>
      </w:r>
      <w:proofErr w:type="spellEnd"/>
      <w:r w:rsidR="00E86763" w:rsidRPr="00E86763">
        <w:rPr>
          <w:rFonts w:ascii="Times New Roman" w:hAnsi="Times New Roman" w:cs="Times New Roman"/>
        </w:rPr>
        <w:t>​</w:t>
      </w:r>
      <w:r w:rsidR="00E86763">
        <w:rPr>
          <w:rFonts w:ascii="Times New Roman" w:hAnsi="Times New Roman" w:cs="Times New Roman"/>
        </w:rPr>
        <w:t xml:space="preserve"> </w:t>
      </w:r>
      <w:r w:rsidR="00E86763" w:rsidRPr="00E86763">
        <w:rPr>
          <w:rFonts w:ascii="Times New Roman" w:hAnsi="Times New Roman" w:cs="Times New Roman"/>
        </w:rPr>
        <w:t>+</w:t>
      </w:r>
      <w:r w:rsidR="00E86763">
        <w:rPr>
          <w:rFonts w:ascii="Times New Roman" w:hAnsi="Times New Roman" w:cs="Times New Roman"/>
        </w:rPr>
        <w:t xml:space="preserve"> </w:t>
      </w:r>
      <w:proofErr w:type="spellStart"/>
      <w:r w:rsidR="00E86763" w:rsidRPr="00E86763">
        <w:rPr>
          <w:rFonts w:ascii="Times New Roman" w:hAnsi="Times New Roman" w:cs="Times New Roman"/>
        </w:rPr>
        <w:t>θ</w:t>
      </w:r>
      <w:r w:rsidR="00E86763" w:rsidRPr="00E86763">
        <w:rPr>
          <w:rFonts w:ascii="Times New Roman" w:hAnsi="Times New Roman" w:cs="Times New Roman"/>
          <w:i/>
          <w:iCs/>
          <w:vertAlign w:val="subscript"/>
        </w:rPr>
        <w:t>j</w:t>
      </w:r>
      <w:proofErr w:type="spellEnd"/>
      <w:r w:rsidR="00E86763" w:rsidRPr="00E86763">
        <w:rPr>
          <w:rFonts w:ascii="Times New Roman" w:hAnsi="Times New Roman" w:cs="Times New Roman"/>
        </w:rPr>
        <w:t>​</w:t>
      </w:r>
      <w:r w:rsidR="00E86763">
        <w:rPr>
          <w:rFonts w:ascii="Times New Roman" w:hAnsi="Times New Roman" w:cs="Times New Roman"/>
        </w:rPr>
        <w:t xml:space="preserve"> +</w:t>
      </w:r>
      <w:r w:rsidR="00E86763" w:rsidRPr="00E86763">
        <w:rPr>
          <w:rFonts w:ascii="Times New Roman" w:hAnsi="Times New Roman" w:cs="Times New Roman"/>
        </w:rPr>
        <w:t xml:space="preserve"> </w:t>
      </w:r>
      <w:proofErr w:type="spellStart"/>
      <w:r w:rsidRPr="0066322F">
        <w:rPr>
          <w:rFonts w:ascii="Times New Roman" w:hAnsi="Times New Roman" w:cs="Times New Roman"/>
        </w:rPr>
        <w:t>ε</w:t>
      </w:r>
      <w:r w:rsidRPr="0066322F">
        <w:rPr>
          <w:rFonts w:ascii="Times New Roman" w:hAnsi="Times New Roman" w:cs="Times New Roman"/>
          <w:i/>
          <w:iCs/>
          <w:vertAlign w:val="subscript"/>
        </w:rPr>
        <w:t>it</w:t>
      </w:r>
      <w:proofErr w:type="spellEnd"/>
      <w:r w:rsidR="003E16BA">
        <w:rPr>
          <w:rFonts w:ascii="Times New Roman" w:hAnsi="Times New Roman" w:cs="Times New Roman"/>
          <w:vertAlign w:val="subscript"/>
        </w:rPr>
        <w:t xml:space="preserve"> </w:t>
      </w:r>
      <w:r w:rsidR="003E16BA">
        <w:rPr>
          <w:rFonts w:ascii="Times New Roman" w:hAnsi="Times New Roman" w:cs="Times New Roman"/>
          <w:vertAlign w:val="subscript"/>
        </w:rPr>
        <w:tab/>
      </w:r>
      <w:r w:rsidR="003E16BA">
        <w:rPr>
          <w:rFonts w:ascii="Times New Roman" w:hAnsi="Times New Roman" w:cs="Times New Roman"/>
          <w:vertAlign w:val="subscript"/>
        </w:rPr>
        <w:tab/>
      </w:r>
      <w:r w:rsidR="003E16BA">
        <w:rPr>
          <w:rFonts w:ascii="Times New Roman" w:hAnsi="Times New Roman" w:cs="Times New Roman"/>
          <w:vertAlign w:val="subscript"/>
        </w:rPr>
        <w:tab/>
      </w:r>
      <w:r w:rsidR="003E16BA">
        <w:rPr>
          <w:rFonts w:ascii="Times New Roman" w:hAnsi="Times New Roman" w:cs="Times New Roman"/>
        </w:rPr>
        <w:t>(1)</w:t>
      </w:r>
    </w:p>
    <w:p w14:paraId="7BFA59D4" w14:textId="28DA307B" w:rsidR="0066322F" w:rsidRDefault="0066322F" w:rsidP="00070751">
      <w:pPr>
        <w:spacing w:line="360" w:lineRule="auto"/>
        <w:rPr>
          <w:rFonts w:ascii="Times New Roman" w:hAnsi="Times New Roman" w:cs="Times New Roman"/>
        </w:rPr>
      </w:pPr>
      <w:r w:rsidRPr="0066322F">
        <w:rPr>
          <w:rFonts w:ascii="Times New Roman" w:hAnsi="Times New Roman" w:cs="Times New Roman"/>
        </w:rPr>
        <w:t>where:</w:t>
      </w:r>
      <w:r w:rsidR="003E16BA">
        <w:rPr>
          <w:rFonts w:ascii="Times New Roman" w:hAnsi="Times New Roman" w:cs="Times New Roman"/>
        </w:rPr>
        <w:t xml:space="preserve"> </w:t>
      </w:r>
      <w:r w:rsidR="003E16BA" w:rsidRPr="0066322F">
        <w:rPr>
          <w:rFonts w:ascii="Times New Roman" w:hAnsi="Times New Roman" w:cs="Times New Roman"/>
        </w:rPr>
        <w:t>Y</w:t>
      </w:r>
      <w:r w:rsidR="003E16BA" w:rsidRPr="0066322F">
        <w:rPr>
          <w:rFonts w:ascii="Times New Roman" w:hAnsi="Times New Roman" w:cs="Times New Roman"/>
          <w:i/>
          <w:iCs/>
          <w:vertAlign w:val="subscript"/>
        </w:rPr>
        <w:t>it</w:t>
      </w:r>
      <w:r w:rsidR="003E16BA">
        <w:rPr>
          <w:rFonts w:ascii="Times New Roman" w:hAnsi="Times New Roman" w:cs="Times New Roman"/>
          <w:i/>
          <w:iCs/>
          <w:vertAlign w:val="subscript"/>
        </w:rPr>
        <w:t xml:space="preserve"> </w:t>
      </w:r>
      <w:r w:rsidRPr="0066322F">
        <w:rPr>
          <w:rFonts w:ascii="Times New Roman" w:hAnsi="Times New Roman" w:cs="Times New Roman"/>
        </w:rPr>
        <w:t xml:space="preserve">is the outcome (log of property price) for property </w:t>
      </w:r>
      <w:proofErr w:type="spellStart"/>
      <w:r w:rsidRPr="003E16BA">
        <w:rPr>
          <w:rFonts w:ascii="Times New Roman" w:hAnsi="Times New Roman" w:cs="Times New Roman"/>
          <w:i/>
          <w:iCs/>
        </w:rPr>
        <w:t>i</w:t>
      </w:r>
      <w:proofErr w:type="spellEnd"/>
      <w:r w:rsidRPr="0066322F">
        <w:rPr>
          <w:rFonts w:ascii="Times New Roman" w:hAnsi="Times New Roman" w:cs="Times New Roman"/>
        </w:rPr>
        <w:t xml:space="preserve"> in year </w:t>
      </w:r>
      <w:r w:rsidR="003E16BA">
        <w:rPr>
          <w:rFonts w:ascii="Times New Roman" w:hAnsi="Times New Roman" w:cs="Times New Roman"/>
          <w:i/>
          <w:iCs/>
        </w:rPr>
        <w:t>t</w:t>
      </w:r>
      <w:r w:rsidR="003E16BA">
        <w:rPr>
          <w:rFonts w:ascii="Times New Roman" w:hAnsi="Times New Roman" w:cs="Times New Roman"/>
        </w:rPr>
        <w:t xml:space="preserve">, </w:t>
      </w:r>
      <w:proofErr w:type="spellStart"/>
      <w:r w:rsidR="003E16BA" w:rsidRPr="0066322F">
        <w:rPr>
          <w:rFonts w:ascii="Times New Roman" w:hAnsi="Times New Roman" w:cs="Times New Roman"/>
        </w:rPr>
        <w:t>Treat</w:t>
      </w:r>
      <w:r w:rsidR="003E16BA" w:rsidRPr="0066322F">
        <w:rPr>
          <w:rFonts w:ascii="Times New Roman" w:hAnsi="Times New Roman" w:cs="Times New Roman"/>
          <w:i/>
          <w:iCs/>
          <w:vertAlign w:val="subscript"/>
        </w:rPr>
        <w:t>i</w:t>
      </w:r>
      <w:proofErr w:type="spellEnd"/>
      <w:r w:rsidR="003E16BA">
        <w:rPr>
          <w:rFonts w:ascii="Times New Roman" w:hAnsi="Times New Roman" w:cs="Times New Roman"/>
          <w:i/>
          <w:iCs/>
          <w:vertAlign w:val="subscript"/>
        </w:rPr>
        <w:t xml:space="preserve"> </w:t>
      </w:r>
      <w:r w:rsidR="003E16BA">
        <w:rPr>
          <w:rFonts w:ascii="Times New Roman" w:hAnsi="Times New Roman" w:cs="Times New Roman"/>
        </w:rPr>
        <w:t xml:space="preserve">is an indicator equal to 1 if property </w:t>
      </w:r>
      <w:proofErr w:type="spellStart"/>
      <w:r w:rsidR="0031451E">
        <w:rPr>
          <w:rFonts w:ascii="Times New Roman" w:hAnsi="Times New Roman" w:cs="Times New Roman"/>
          <w:i/>
          <w:iCs/>
        </w:rPr>
        <w:t>i</w:t>
      </w:r>
      <w:proofErr w:type="spellEnd"/>
      <w:r w:rsidR="003E16BA">
        <w:rPr>
          <w:rFonts w:ascii="Times New Roman" w:hAnsi="Times New Roman" w:cs="Times New Roman"/>
        </w:rPr>
        <w:t xml:space="preserve"> is in the treatment group </w:t>
      </w:r>
      <w:r w:rsidR="003E16BA" w:rsidRPr="0066322F">
        <w:rPr>
          <w:rFonts w:ascii="Times New Roman" w:hAnsi="Times New Roman" w:cs="Times New Roman"/>
        </w:rPr>
        <w:t xml:space="preserve">(within 0.5 miles of a Blue Line Extension </w:t>
      </w:r>
      <w:r w:rsidR="003E16BA" w:rsidRPr="0066322F">
        <w:rPr>
          <w:rFonts w:ascii="Times New Roman" w:hAnsi="Times New Roman" w:cs="Times New Roman"/>
        </w:rPr>
        <w:lastRenderedPageBreak/>
        <w:t>station)</w:t>
      </w:r>
      <w:r w:rsidR="003E16BA">
        <w:rPr>
          <w:rFonts w:ascii="Times New Roman" w:hAnsi="Times New Roman" w:cs="Times New Roman"/>
        </w:rPr>
        <w:t xml:space="preserve">, </w:t>
      </w:r>
      <w:proofErr w:type="spellStart"/>
      <w:r w:rsidR="003E16BA" w:rsidRPr="0066322F">
        <w:rPr>
          <w:rFonts w:ascii="Times New Roman" w:hAnsi="Times New Roman" w:cs="Times New Roman"/>
        </w:rPr>
        <w:t>Pos</w:t>
      </w:r>
      <w:r w:rsidR="003E16BA">
        <w:rPr>
          <w:rFonts w:ascii="Times New Roman" w:hAnsi="Times New Roman" w:cs="Times New Roman"/>
        </w:rPr>
        <w:t>t</w:t>
      </w:r>
      <w:r w:rsidR="003E16BA" w:rsidRPr="0066322F">
        <w:rPr>
          <w:rFonts w:ascii="Times New Roman" w:hAnsi="Times New Roman" w:cs="Times New Roman"/>
          <w:i/>
          <w:iCs/>
          <w:vertAlign w:val="subscript"/>
        </w:rPr>
        <w:t>t</w:t>
      </w:r>
      <w:proofErr w:type="spellEnd"/>
      <w:r w:rsidR="006F442D">
        <w:rPr>
          <w:rFonts w:ascii="Times New Roman" w:hAnsi="Times New Roman" w:cs="Times New Roman"/>
          <w:i/>
          <w:iCs/>
          <w:vertAlign w:val="subscript"/>
        </w:rPr>
        <w:t xml:space="preserve"> </w:t>
      </w:r>
      <w:r w:rsidR="00070751">
        <w:rPr>
          <w:rFonts w:ascii="Times New Roman" w:hAnsi="Times New Roman" w:cs="Times New Roman"/>
        </w:rPr>
        <w:t xml:space="preserve">is an indicator equal to 1 if the property was sold in the time period after the line opened up. </w:t>
      </w:r>
      <w:proofErr w:type="spellStart"/>
      <w:r w:rsidR="00070751" w:rsidRPr="0066322F">
        <w:rPr>
          <w:rFonts w:ascii="Times New Roman" w:hAnsi="Times New Roman" w:cs="Times New Roman"/>
        </w:rPr>
        <w:t>Treat</w:t>
      </w:r>
      <w:r w:rsidR="00070751" w:rsidRPr="0066322F">
        <w:rPr>
          <w:rFonts w:ascii="Times New Roman" w:hAnsi="Times New Roman" w:cs="Times New Roman"/>
          <w:i/>
          <w:iCs/>
          <w:vertAlign w:val="subscript"/>
        </w:rPr>
        <w:t>i</w:t>
      </w:r>
      <w:r w:rsidR="00070751" w:rsidRPr="0066322F">
        <w:rPr>
          <w:rFonts w:ascii="Times New Roman" w:hAnsi="Times New Roman" w:cs="Times New Roman"/>
        </w:rPr>
        <w:t>×Post</w:t>
      </w:r>
      <w:r w:rsidR="00070751" w:rsidRPr="0066322F">
        <w:rPr>
          <w:rFonts w:ascii="Times New Roman" w:hAnsi="Times New Roman" w:cs="Times New Roman"/>
          <w:i/>
          <w:iCs/>
          <w:vertAlign w:val="subscript"/>
        </w:rPr>
        <w:t>t</w:t>
      </w:r>
      <w:proofErr w:type="spellEnd"/>
      <w:r w:rsidR="00070751">
        <w:rPr>
          <w:rFonts w:ascii="Times New Roman" w:hAnsi="Times New Roman" w:cs="Times New Roman"/>
        </w:rPr>
        <w:t xml:space="preserve"> </w:t>
      </w:r>
      <w:r w:rsidRPr="0066322F">
        <w:rPr>
          <w:rFonts w:ascii="Times New Roman" w:hAnsi="Times New Roman" w:cs="Times New Roman"/>
        </w:rPr>
        <w:t xml:space="preserve">is </w:t>
      </w:r>
      <w:r w:rsidR="0071115F">
        <w:rPr>
          <w:rFonts w:ascii="Times New Roman" w:hAnsi="Times New Roman" w:cs="Times New Roman"/>
        </w:rPr>
        <w:t>an</w:t>
      </w:r>
      <w:r w:rsidRPr="0066322F">
        <w:rPr>
          <w:rFonts w:ascii="Times New Roman" w:hAnsi="Times New Roman" w:cs="Times New Roman"/>
        </w:rPr>
        <w:t xml:space="preserve"> interaction term, with coefficient </w:t>
      </w:r>
      <w:r w:rsidR="00070751" w:rsidRPr="0066322F">
        <w:rPr>
          <w:rFonts w:ascii="Times New Roman" w:hAnsi="Times New Roman" w:cs="Times New Roman"/>
          <w:i/>
          <w:iCs/>
        </w:rPr>
        <w:t>β</w:t>
      </w:r>
      <w:r w:rsidR="00070751" w:rsidRPr="0066322F">
        <w:rPr>
          <w:rFonts w:ascii="Times New Roman" w:hAnsi="Times New Roman" w:cs="Times New Roman"/>
          <w:vertAlign w:val="subscript"/>
        </w:rPr>
        <w:t>3</w:t>
      </w:r>
      <w:r w:rsidR="00070751">
        <w:rPr>
          <w:rFonts w:ascii="Times New Roman" w:hAnsi="Times New Roman" w:cs="Times New Roman"/>
        </w:rPr>
        <w:t xml:space="preserve">, the </w:t>
      </w:r>
      <w:proofErr w:type="spellStart"/>
      <w:r w:rsidR="00070751">
        <w:rPr>
          <w:rFonts w:ascii="Times New Roman" w:hAnsi="Times New Roman" w:cs="Times New Roman"/>
        </w:rPr>
        <w:t>DiD</w:t>
      </w:r>
      <w:proofErr w:type="spellEnd"/>
      <w:r w:rsidR="00070751">
        <w:rPr>
          <w:rFonts w:ascii="Times New Roman" w:hAnsi="Times New Roman" w:cs="Times New Roman"/>
        </w:rPr>
        <w:t xml:space="preserve"> estimator that captures the differential change in outcomes for treated properties relative to control properties after the intervention, net of their baseline difference and common time trends. </w:t>
      </w:r>
      <w:proofErr w:type="spellStart"/>
      <w:r w:rsidR="00E86763" w:rsidRPr="00E86763">
        <w:rPr>
          <w:rFonts w:ascii="Times New Roman" w:hAnsi="Times New Roman" w:cs="Times New Roman"/>
        </w:rPr>
        <w:t>X</w:t>
      </w:r>
      <w:r w:rsidR="00E86763" w:rsidRPr="00E86763">
        <w:rPr>
          <w:rFonts w:ascii="Times New Roman" w:hAnsi="Times New Roman" w:cs="Times New Roman"/>
          <w:i/>
          <w:iCs/>
          <w:vertAlign w:val="subscript"/>
        </w:rPr>
        <w:t>it</w:t>
      </w:r>
      <w:proofErr w:type="spellEnd"/>
      <w:r w:rsidR="00E86763" w:rsidRPr="00E86763">
        <w:rPr>
          <w:rFonts w:ascii="Times New Roman" w:hAnsi="Times New Roman" w:cs="Times New Roman"/>
        </w:rPr>
        <w:t>​</w:t>
      </w:r>
      <w:r w:rsidR="00E86763" w:rsidRPr="00E86763">
        <w:rPr>
          <w:rFonts w:ascii="Times New Roman" w:hAnsi="Times New Roman" w:cs="Times New Roman"/>
          <w:i/>
          <w:iCs/>
        </w:rPr>
        <w:t>γ</w:t>
      </w:r>
      <w:r w:rsidR="00E86763">
        <w:rPr>
          <w:rFonts w:ascii="Times New Roman" w:hAnsi="Times New Roman" w:cs="Times New Roman"/>
          <w:i/>
          <w:iCs/>
        </w:rPr>
        <w:t xml:space="preserve"> </w:t>
      </w:r>
      <w:r w:rsidR="00E86763">
        <w:rPr>
          <w:rFonts w:ascii="Times New Roman" w:hAnsi="Times New Roman" w:cs="Times New Roman"/>
        </w:rPr>
        <w:t xml:space="preserve">controls for property characteristics including lot size, property age, and age-squared, heated square footage and square footage squared, the number of bedrooms and full bathrooms, distance to city center, and distance-squared. </w:t>
      </w:r>
      <w:proofErr w:type="spellStart"/>
      <w:r w:rsidR="00E86763" w:rsidRPr="00E86763">
        <w:rPr>
          <w:rFonts w:ascii="Times New Roman" w:hAnsi="Times New Roman" w:cs="Times New Roman"/>
        </w:rPr>
        <w:t>δ</w:t>
      </w:r>
      <w:r w:rsidR="00E86763" w:rsidRPr="00E86763">
        <w:rPr>
          <w:rFonts w:ascii="Times New Roman" w:hAnsi="Times New Roman" w:cs="Times New Roman"/>
          <w:i/>
          <w:iCs/>
          <w:vertAlign w:val="subscript"/>
        </w:rPr>
        <w:t>t</w:t>
      </w:r>
      <w:proofErr w:type="spellEnd"/>
      <w:r w:rsidR="00E86763" w:rsidRPr="00E86763">
        <w:rPr>
          <w:rFonts w:ascii="Times New Roman" w:hAnsi="Times New Roman" w:cs="Times New Roman"/>
        </w:rPr>
        <w:t>​</w:t>
      </w:r>
      <w:r w:rsidR="00E86763">
        <w:rPr>
          <w:rFonts w:ascii="Times New Roman" w:hAnsi="Times New Roman" w:cs="Times New Roman"/>
        </w:rPr>
        <w:t xml:space="preserve"> are yearly fixed effects and </w:t>
      </w:r>
      <w:proofErr w:type="spellStart"/>
      <w:r w:rsidR="00E86763" w:rsidRPr="00E86763">
        <w:rPr>
          <w:rFonts w:ascii="Times New Roman" w:hAnsi="Times New Roman" w:cs="Times New Roman"/>
        </w:rPr>
        <w:t>θ</w:t>
      </w:r>
      <w:r w:rsidR="00E86763" w:rsidRPr="00E86763">
        <w:rPr>
          <w:rFonts w:ascii="Times New Roman" w:hAnsi="Times New Roman" w:cs="Times New Roman"/>
          <w:i/>
          <w:iCs/>
          <w:vertAlign w:val="subscript"/>
        </w:rPr>
        <w:t>j</w:t>
      </w:r>
      <w:proofErr w:type="spellEnd"/>
      <w:r w:rsidR="00E86763" w:rsidRPr="00E86763">
        <w:rPr>
          <w:rFonts w:ascii="Times New Roman" w:hAnsi="Times New Roman" w:cs="Times New Roman"/>
        </w:rPr>
        <w:t>​</w:t>
      </w:r>
      <w:r w:rsidR="00E86763">
        <w:rPr>
          <w:rFonts w:ascii="Times New Roman" w:hAnsi="Times New Roman" w:cs="Times New Roman"/>
        </w:rPr>
        <w:t xml:space="preserve"> are Census tract fixed effects. </w:t>
      </w:r>
      <w:r w:rsidR="00070751">
        <w:rPr>
          <w:rFonts w:ascii="Times New Roman" w:hAnsi="Times New Roman" w:cs="Times New Roman"/>
        </w:rPr>
        <w:t xml:space="preserve">Finally, </w:t>
      </w:r>
      <w:proofErr w:type="spellStart"/>
      <w:r w:rsidR="00070751" w:rsidRPr="0066322F">
        <w:rPr>
          <w:rFonts w:ascii="Times New Roman" w:hAnsi="Times New Roman" w:cs="Times New Roman"/>
        </w:rPr>
        <w:t>ε</w:t>
      </w:r>
      <w:r w:rsidR="00070751" w:rsidRPr="0066322F">
        <w:rPr>
          <w:rFonts w:ascii="Times New Roman" w:hAnsi="Times New Roman" w:cs="Times New Roman"/>
          <w:i/>
          <w:iCs/>
          <w:vertAlign w:val="subscript"/>
        </w:rPr>
        <w:t>it</w:t>
      </w:r>
      <w:proofErr w:type="spellEnd"/>
      <w:r w:rsidR="00070751">
        <w:rPr>
          <w:rFonts w:ascii="Times New Roman" w:hAnsi="Times New Roman" w:cs="Times New Roman"/>
        </w:rPr>
        <w:t xml:space="preserve"> is the error term.</w:t>
      </w:r>
    </w:p>
    <w:p w14:paraId="75C288BA" w14:textId="45A04E1A" w:rsidR="00E86763" w:rsidRPr="008C5EC8" w:rsidRDefault="00510078" w:rsidP="00070751">
      <w:pPr>
        <w:spacing w:line="360" w:lineRule="auto"/>
        <w:rPr>
          <w:rFonts w:ascii="Times New Roman" w:hAnsi="Times New Roman" w:cs="Times New Roman"/>
          <w:i/>
          <w:iCs/>
        </w:rPr>
      </w:pPr>
      <w:r>
        <w:rPr>
          <w:rFonts w:ascii="Times New Roman" w:hAnsi="Times New Roman" w:cs="Times New Roman"/>
          <w:b/>
          <w:bCs/>
          <w:i/>
          <w:iCs/>
        </w:rPr>
        <w:t xml:space="preserve">2.3.2 </w:t>
      </w:r>
      <w:r w:rsidR="00E86763" w:rsidRPr="008C5EC8">
        <w:rPr>
          <w:rFonts w:ascii="Times New Roman" w:hAnsi="Times New Roman" w:cs="Times New Roman"/>
          <w:b/>
          <w:bCs/>
          <w:i/>
          <w:iCs/>
        </w:rPr>
        <w:t>The Parallel Trends Assumption</w:t>
      </w:r>
    </w:p>
    <w:p w14:paraId="715E5817" w14:textId="75AC9AC6" w:rsidR="00E86763" w:rsidRDefault="00E86763" w:rsidP="00070751">
      <w:pPr>
        <w:spacing w:line="36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The validity of </w:t>
      </w:r>
      <w:proofErr w:type="spellStart"/>
      <w:r>
        <w:rPr>
          <w:rFonts w:ascii="Times New Roman" w:hAnsi="Times New Roman" w:cs="Times New Roman"/>
        </w:rPr>
        <w:t>DiD</w:t>
      </w:r>
      <w:proofErr w:type="spellEnd"/>
      <w:r>
        <w:rPr>
          <w:rFonts w:ascii="Times New Roman" w:hAnsi="Times New Roman" w:cs="Times New Roman"/>
        </w:rPr>
        <w:t xml:space="preserve"> rests on the parallel </w:t>
      </w:r>
      <w:proofErr w:type="gramStart"/>
      <w:r>
        <w:rPr>
          <w:rFonts w:ascii="Times New Roman" w:hAnsi="Times New Roman" w:cs="Times New Roman"/>
        </w:rPr>
        <w:t>trends</w:t>
      </w:r>
      <w:proofErr w:type="gramEnd"/>
      <w:r>
        <w:rPr>
          <w:rFonts w:ascii="Times New Roman" w:hAnsi="Times New Roman" w:cs="Times New Roman"/>
        </w:rPr>
        <w:t xml:space="preserve"> assumption</w:t>
      </w:r>
      <w:r w:rsidR="008C5EC8">
        <w:rPr>
          <w:rFonts w:ascii="Times New Roman" w:hAnsi="Times New Roman" w:cs="Times New Roman"/>
        </w:rPr>
        <w:t>,</w:t>
      </w:r>
      <w:r>
        <w:rPr>
          <w:rFonts w:ascii="Times New Roman" w:hAnsi="Times New Roman" w:cs="Times New Roman"/>
        </w:rPr>
        <w:t xml:space="preserve"> which states that in the absence of treatment, treated and control observations would have experienced the same trends in outcomes – in our case, sales prices. Formally, this requires: </w:t>
      </w:r>
    </w:p>
    <w:p w14:paraId="36FE69AC" w14:textId="36847F82" w:rsidR="00E86763" w:rsidRDefault="00E86763" w:rsidP="00070751">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E86763">
        <w:rPr>
          <w:rFonts w:ascii="Times New Roman" w:hAnsi="Times New Roman" w:cs="Times New Roman"/>
          <w:i/>
          <w:iCs/>
        </w:rPr>
        <w:t>E</w:t>
      </w:r>
      <w:r w:rsidRPr="00E86763">
        <w:rPr>
          <w:rFonts w:ascii="Times New Roman" w:hAnsi="Times New Roman" w:cs="Times New Roman"/>
        </w:rPr>
        <w:t>[</w:t>
      </w:r>
      <w:proofErr w:type="spellStart"/>
      <w:proofErr w:type="gramStart"/>
      <w:r w:rsidRPr="00E86763">
        <w:rPr>
          <w:rFonts w:ascii="Times New Roman" w:hAnsi="Times New Roman" w:cs="Times New Roman"/>
          <w:i/>
          <w:iCs/>
        </w:rPr>
        <w:t>Y</w:t>
      </w:r>
      <w:r w:rsidRPr="00E86763">
        <w:rPr>
          <w:rFonts w:ascii="Times New Roman" w:hAnsi="Times New Roman" w:cs="Times New Roman"/>
          <w:i/>
          <w:iCs/>
          <w:vertAlign w:val="subscript"/>
        </w:rPr>
        <w:t>i</w:t>
      </w:r>
      <w:r w:rsidRPr="00E86763">
        <w:rPr>
          <w:rFonts w:ascii="Times New Roman" w:hAnsi="Times New Roman" w:cs="Times New Roman"/>
          <w:i/>
          <w:iCs/>
        </w:rPr>
        <w:t>,</w:t>
      </w:r>
      <w:r w:rsidRPr="00E86763">
        <w:rPr>
          <w:rFonts w:ascii="Times New Roman" w:hAnsi="Times New Roman" w:cs="Times New Roman"/>
          <w:i/>
          <w:iCs/>
          <w:vertAlign w:val="subscript"/>
        </w:rPr>
        <w:t>t</w:t>
      </w:r>
      <w:proofErr w:type="spellEnd"/>
      <w:r w:rsidRPr="00E86763">
        <w:rPr>
          <w:rFonts w:ascii="Times New Roman" w:hAnsi="Times New Roman" w:cs="Times New Roman"/>
        </w:rPr>
        <w:t>​</w:t>
      </w:r>
      <w:proofErr w:type="gramEnd"/>
      <w:r w:rsidRPr="00E86763">
        <w:rPr>
          <w:rFonts w:ascii="Times New Roman" w:hAnsi="Times New Roman" w:cs="Times New Roman"/>
        </w:rPr>
        <w:t>(</w:t>
      </w:r>
      <w:proofErr w:type="gramStart"/>
      <w:r w:rsidRPr="00E86763">
        <w:rPr>
          <w:rFonts w:ascii="Times New Roman" w:hAnsi="Times New Roman" w:cs="Times New Roman"/>
        </w:rPr>
        <w:t>0)−</w:t>
      </w:r>
      <w:r w:rsidRPr="00E86763">
        <w:rPr>
          <w:rFonts w:ascii="Times New Roman" w:hAnsi="Times New Roman" w:cs="Times New Roman"/>
          <w:i/>
          <w:iCs/>
        </w:rPr>
        <w:t>Y</w:t>
      </w:r>
      <w:r w:rsidRPr="00E86763">
        <w:rPr>
          <w:rFonts w:ascii="Times New Roman" w:hAnsi="Times New Roman" w:cs="Times New Roman"/>
          <w:i/>
          <w:iCs/>
          <w:vertAlign w:val="subscript"/>
        </w:rPr>
        <w:t>i</w:t>
      </w:r>
      <w:r w:rsidRPr="00E86763">
        <w:rPr>
          <w:rFonts w:ascii="Times New Roman" w:hAnsi="Times New Roman" w:cs="Times New Roman"/>
        </w:rPr>
        <w:t>,</w:t>
      </w:r>
      <w:r w:rsidRPr="00E86763">
        <w:rPr>
          <w:rFonts w:ascii="Times New Roman" w:hAnsi="Times New Roman" w:cs="Times New Roman"/>
          <w:i/>
          <w:iCs/>
          <w:vertAlign w:val="subscript"/>
        </w:rPr>
        <w:t>t</w:t>
      </w:r>
      <w:proofErr w:type="gramEnd"/>
      <w:r w:rsidRPr="00E86763">
        <w:rPr>
          <w:rFonts w:ascii="Times New Roman" w:hAnsi="Times New Roman" w:cs="Times New Roman"/>
          <w:i/>
          <w:iCs/>
          <w:vertAlign w:val="subscript"/>
        </w:rPr>
        <w:t>−1</w:t>
      </w:r>
      <w:r w:rsidRPr="00E86763">
        <w:rPr>
          <w:rFonts w:ascii="Times New Roman" w:hAnsi="Times New Roman" w:cs="Times New Roman"/>
        </w:rPr>
        <w:t>​(</w:t>
      </w:r>
      <w:proofErr w:type="gramStart"/>
      <w:r w:rsidRPr="00E86763">
        <w:rPr>
          <w:rFonts w:ascii="Times New Roman" w:hAnsi="Times New Roman" w:cs="Times New Roman"/>
        </w:rPr>
        <w:t>0)</w:t>
      </w:r>
      <w:r w:rsidRPr="00E86763">
        <w:rPr>
          <w:rFonts w:ascii="Cambria Math" w:hAnsi="Cambria Math" w:cs="Cambria Math"/>
        </w:rPr>
        <w:t>∣</w:t>
      </w:r>
      <w:proofErr w:type="spellStart"/>
      <w:proofErr w:type="gramEnd"/>
      <w:r w:rsidRPr="00E86763">
        <w:rPr>
          <w:rFonts w:ascii="Times New Roman" w:hAnsi="Times New Roman" w:cs="Times New Roman"/>
        </w:rPr>
        <w:t>Treat</w:t>
      </w:r>
      <w:r w:rsidRPr="00E86763">
        <w:rPr>
          <w:rFonts w:ascii="Times New Roman" w:hAnsi="Times New Roman" w:cs="Times New Roman"/>
          <w:i/>
          <w:iCs/>
          <w:vertAlign w:val="subscript"/>
        </w:rPr>
        <w:t>i</w:t>
      </w:r>
      <w:proofErr w:type="spellEnd"/>
      <w:r>
        <w:rPr>
          <w:rFonts w:ascii="Times New Roman" w:hAnsi="Times New Roman" w:cs="Times New Roman"/>
          <w:i/>
          <w:iCs/>
          <w:vertAlign w:val="subscript"/>
        </w:rPr>
        <w:t xml:space="preserve"> </w:t>
      </w:r>
      <w:r w:rsidRPr="00E86763">
        <w:rPr>
          <w:rFonts w:ascii="Times New Roman" w:hAnsi="Times New Roman" w:cs="Times New Roman"/>
        </w:rPr>
        <w:t>​=</w:t>
      </w:r>
      <w:r>
        <w:rPr>
          <w:rFonts w:ascii="Times New Roman" w:hAnsi="Times New Roman" w:cs="Times New Roman"/>
        </w:rPr>
        <w:t xml:space="preserve"> </w:t>
      </w:r>
      <w:r w:rsidRPr="00E86763">
        <w:rPr>
          <w:rFonts w:ascii="Times New Roman" w:hAnsi="Times New Roman" w:cs="Times New Roman"/>
        </w:rPr>
        <w:t>1]</w:t>
      </w:r>
      <w:r>
        <w:rPr>
          <w:rFonts w:ascii="Times New Roman" w:hAnsi="Times New Roman" w:cs="Times New Roman"/>
        </w:rPr>
        <w:t xml:space="preserve"> </w:t>
      </w:r>
      <w:r w:rsidRPr="00E86763">
        <w:rPr>
          <w:rFonts w:ascii="Times New Roman" w:hAnsi="Times New Roman" w:cs="Times New Roman"/>
        </w:rPr>
        <w:t>=</w:t>
      </w:r>
      <w:r>
        <w:rPr>
          <w:rFonts w:ascii="Times New Roman" w:hAnsi="Times New Roman" w:cs="Times New Roman"/>
        </w:rPr>
        <w:t xml:space="preserve"> </w:t>
      </w:r>
      <w:r w:rsidRPr="00E86763">
        <w:rPr>
          <w:rFonts w:ascii="Times New Roman" w:hAnsi="Times New Roman" w:cs="Times New Roman"/>
          <w:i/>
          <w:iCs/>
        </w:rPr>
        <w:t>E</w:t>
      </w:r>
      <w:r w:rsidRPr="00E86763">
        <w:rPr>
          <w:rFonts w:ascii="Times New Roman" w:hAnsi="Times New Roman" w:cs="Times New Roman"/>
        </w:rPr>
        <w:t>[</w:t>
      </w:r>
      <w:proofErr w:type="spellStart"/>
      <w:proofErr w:type="gramStart"/>
      <w:r w:rsidRPr="00E86763">
        <w:rPr>
          <w:rFonts w:ascii="Times New Roman" w:hAnsi="Times New Roman" w:cs="Times New Roman"/>
          <w:i/>
          <w:iCs/>
        </w:rPr>
        <w:t>Y</w:t>
      </w:r>
      <w:r w:rsidRPr="00E86763">
        <w:rPr>
          <w:rFonts w:ascii="Times New Roman" w:hAnsi="Times New Roman" w:cs="Times New Roman"/>
          <w:i/>
          <w:iCs/>
          <w:vertAlign w:val="subscript"/>
        </w:rPr>
        <w:t>i,t</w:t>
      </w:r>
      <w:proofErr w:type="spellEnd"/>
      <w:r w:rsidRPr="00E86763">
        <w:rPr>
          <w:rFonts w:ascii="Times New Roman" w:hAnsi="Times New Roman" w:cs="Times New Roman"/>
        </w:rPr>
        <w:t>​</w:t>
      </w:r>
      <w:proofErr w:type="gramEnd"/>
      <w:r w:rsidRPr="00E86763">
        <w:rPr>
          <w:rFonts w:ascii="Times New Roman" w:hAnsi="Times New Roman" w:cs="Times New Roman"/>
        </w:rPr>
        <w:t>(</w:t>
      </w:r>
      <w:proofErr w:type="gramStart"/>
      <w:r w:rsidRPr="00E86763">
        <w:rPr>
          <w:rFonts w:ascii="Times New Roman" w:hAnsi="Times New Roman" w:cs="Times New Roman"/>
        </w:rPr>
        <w:t>0)−Y</w:t>
      </w:r>
      <w:r w:rsidRPr="00E86763">
        <w:rPr>
          <w:rFonts w:ascii="Times New Roman" w:hAnsi="Times New Roman" w:cs="Times New Roman"/>
          <w:i/>
          <w:iCs/>
          <w:vertAlign w:val="subscript"/>
        </w:rPr>
        <w:t>i,t</w:t>
      </w:r>
      <w:proofErr w:type="gramEnd"/>
      <w:r w:rsidRPr="00E86763">
        <w:rPr>
          <w:rFonts w:ascii="Times New Roman" w:hAnsi="Times New Roman" w:cs="Times New Roman"/>
        </w:rPr>
        <w:t>−1​(</w:t>
      </w:r>
      <w:proofErr w:type="gramStart"/>
      <w:r w:rsidRPr="00E86763">
        <w:rPr>
          <w:rFonts w:ascii="Times New Roman" w:hAnsi="Times New Roman" w:cs="Times New Roman"/>
        </w:rPr>
        <w:t>0)</w:t>
      </w:r>
      <w:r w:rsidRPr="00E86763">
        <w:rPr>
          <w:rFonts w:ascii="Cambria Math" w:hAnsi="Cambria Math" w:cs="Cambria Math"/>
        </w:rPr>
        <w:t>∣</w:t>
      </w:r>
      <w:proofErr w:type="spellStart"/>
      <w:proofErr w:type="gramEnd"/>
      <w:r w:rsidRPr="00E86763">
        <w:rPr>
          <w:rFonts w:ascii="Times New Roman" w:hAnsi="Times New Roman" w:cs="Times New Roman"/>
        </w:rPr>
        <w:t>Treat</w:t>
      </w:r>
      <w:r w:rsidRPr="00E86763">
        <w:rPr>
          <w:rFonts w:ascii="Times New Roman" w:hAnsi="Times New Roman" w:cs="Times New Roman"/>
          <w:i/>
          <w:iCs/>
          <w:vertAlign w:val="subscript"/>
        </w:rPr>
        <w:t>i</w:t>
      </w:r>
      <w:proofErr w:type="spellEnd"/>
      <w:r w:rsidRPr="00E86763">
        <w:rPr>
          <w:rFonts w:ascii="Times New Roman" w:hAnsi="Times New Roman" w:cs="Times New Roman"/>
        </w:rPr>
        <w:t>​</w:t>
      </w:r>
      <w:r>
        <w:rPr>
          <w:rFonts w:ascii="Times New Roman" w:hAnsi="Times New Roman" w:cs="Times New Roman"/>
        </w:rPr>
        <w:t xml:space="preserve"> </w:t>
      </w:r>
      <w:r w:rsidRPr="00E86763">
        <w:rPr>
          <w:rFonts w:ascii="Times New Roman" w:hAnsi="Times New Roman" w:cs="Times New Roman"/>
        </w:rPr>
        <w:t>=</w:t>
      </w:r>
      <w:r>
        <w:rPr>
          <w:rFonts w:ascii="Times New Roman" w:hAnsi="Times New Roman" w:cs="Times New Roman"/>
        </w:rPr>
        <w:t xml:space="preserve"> </w:t>
      </w:r>
      <w:r w:rsidRPr="00E86763">
        <w:rPr>
          <w:rFonts w:ascii="Times New Roman" w:hAnsi="Times New Roman" w:cs="Times New Roman"/>
        </w:rPr>
        <w:t>0]</w:t>
      </w:r>
      <w:r>
        <w:rPr>
          <w:rFonts w:ascii="Times New Roman" w:hAnsi="Times New Roman" w:cs="Times New Roman"/>
        </w:rPr>
        <w:tab/>
      </w:r>
      <w:r>
        <w:rPr>
          <w:rFonts w:ascii="Times New Roman" w:hAnsi="Times New Roman" w:cs="Times New Roman"/>
        </w:rPr>
        <w:tab/>
        <w:t>(2)</w:t>
      </w:r>
    </w:p>
    <w:p w14:paraId="617006FE" w14:textId="79BA8DCB" w:rsidR="007838DA" w:rsidRDefault="007838DA" w:rsidP="008C5EC8">
      <w:pPr>
        <w:spacing w:line="360" w:lineRule="auto"/>
        <w:rPr>
          <w:rFonts w:ascii="Times New Roman" w:hAnsi="Times New Roman" w:cs="Times New Roman"/>
        </w:rPr>
      </w:pPr>
      <w:r>
        <w:rPr>
          <w:rFonts w:ascii="Times New Roman" w:hAnsi="Times New Roman" w:cs="Times New Roman"/>
        </w:rPr>
        <w:t xml:space="preserve">Where </w:t>
      </w:r>
      <w:proofErr w:type="spellStart"/>
      <w:proofErr w:type="gramStart"/>
      <w:r w:rsidRPr="00E86763">
        <w:rPr>
          <w:rFonts w:ascii="Times New Roman" w:hAnsi="Times New Roman" w:cs="Times New Roman"/>
          <w:i/>
          <w:iCs/>
        </w:rPr>
        <w:t>Y</w:t>
      </w:r>
      <w:r w:rsidRPr="00E86763">
        <w:rPr>
          <w:rFonts w:ascii="Times New Roman" w:hAnsi="Times New Roman" w:cs="Times New Roman"/>
          <w:i/>
          <w:iCs/>
          <w:vertAlign w:val="subscript"/>
        </w:rPr>
        <w:t>i,t</w:t>
      </w:r>
      <w:proofErr w:type="spellEnd"/>
      <w:r w:rsidRPr="00E86763">
        <w:rPr>
          <w:rFonts w:ascii="Times New Roman" w:hAnsi="Times New Roman" w:cs="Times New Roman"/>
        </w:rPr>
        <w:t>​</w:t>
      </w:r>
      <w:proofErr w:type="gramEnd"/>
      <w:r w:rsidRPr="00E86763">
        <w:rPr>
          <w:rFonts w:ascii="Times New Roman" w:hAnsi="Times New Roman" w:cs="Times New Roman"/>
        </w:rPr>
        <w:t>(0)</w:t>
      </w:r>
      <w:r>
        <w:rPr>
          <w:rFonts w:ascii="Times New Roman" w:hAnsi="Times New Roman" w:cs="Times New Roman"/>
        </w:rPr>
        <w:t xml:space="preserve"> denotes the potential outcome in the absence of treatment. This assumption is ultimately untestable because we never observe </w:t>
      </w:r>
      <w:proofErr w:type="spellStart"/>
      <w:proofErr w:type="gramStart"/>
      <w:r w:rsidRPr="00E86763">
        <w:rPr>
          <w:rFonts w:ascii="Times New Roman" w:hAnsi="Times New Roman" w:cs="Times New Roman"/>
          <w:i/>
          <w:iCs/>
        </w:rPr>
        <w:t>Y</w:t>
      </w:r>
      <w:r w:rsidRPr="00E86763">
        <w:rPr>
          <w:rFonts w:ascii="Times New Roman" w:hAnsi="Times New Roman" w:cs="Times New Roman"/>
          <w:i/>
          <w:iCs/>
          <w:vertAlign w:val="subscript"/>
        </w:rPr>
        <w:t>i,t</w:t>
      </w:r>
      <w:proofErr w:type="spellEnd"/>
      <w:r w:rsidRPr="00E86763">
        <w:rPr>
          <w:rFonts w:ascii="Times New Roman" w:hAnsi="Times New Roman" w:cs="Times New Roman"/>
        </w:rPr>
        <w:t>​</w:t>
      </w:r>
      <w:proofErr w:type="gramEnd"/>
      <w:r w:rsidRPr="00E86763">
        <w:rPr>
          <w:rFonts w:ascii="Times New Roman" w:hAnsi="Times New Roman" w:cs="Times New Roman"/>
        </w:rPr>
        <w:t>(0)</w:t>
      </w:r>
      <w:r>
        <w:rPr>
          <w:rFonts w:ascii="Times New Roman" w:hAnsi="Times New Roman" w:cs="Times New Roman"/>
        </w:rPr>
        <w:t xml:space="preserve"> for treated units in the post-treatment period. However, we can assess its plausibility by examining whether treatment and control groups followed parallel or similar trends in the pre-treatment period. If pre-treatment trends diverge, we have reason to doubt that they would have remained parallel post-treatment in the absence of the intervention. We would also ultimately be unable to ascribe causality to the intervention</w:t>
      </w:r>
      <w:r w:rsidR="00306F3E">
        <w:rPr>
          <w:rFonts w:ascii="Times New Roman" w:hAnsi="Times New Roman" w:cs="Times New Roman"/>
        </w:rPr>
        <w:t>,</w:t>
      </w:r>
      <w:r>
        <w:rPr>
          <w:rFonts w:ascii="Times New Roman" w:hAnsi="Times New Roman" w:cs="Times New Roman"/>
        </w:rPr>
        <w:t xml:space="preserve"> as the treatment and control properties were already on different paths, so we have no way of concluding that their differences afterwards were </w:t>
      </w:r>
      <w:r w:rsidR="00306F3E">
        <w:rPr>
          <w:rFonts w:ascii="Times New Roman" w:hAnsi="Times New Roman" w:cs="Times New Roman"/>
        </w:rPr>
        <w:t>due</w:t>
      </w:r>
      <w:r>
        <w:rPr>
          <w:rFonts w:ascii="Times New Roman" w:hAnsi="Times New Roman" w:cs="Times New Roman"/>
        </w:rPr>
        <w:t xml:space="preserve"> to the opening of the new rail line. </w:t>
      </w:r>
    </w:p>
    <w:p w14:paraId="5FDFF574" w14:textId="44F96303" w:rsidR="007838DA" w:rsidRDefault="007838DA" w:rsidP="00070751">
      <w:pPr>
        <w:spacing w:line="360" w:lineRule="auto"/>
        <w:rPr>
          <w:rFonts w:ascii="Times New Roman" w:hAnsi="Times New Roman" w:cs="Times New Roman"/>
        </w:rPr>
      </w:pPr>
      <w:r>
        <w:rPr>
          <w:rFonts w:ascii="Times New Roman" w:hAnsi="Times New Roman" w:cs="Times New Roman"/>
        </w:rPr>
        <w:tab/>
        <w:t xml:space="preserve">We evaluate parallel trends by graphically inspecting plots of average prices over time for both the treatment and control groups. Visual evidence of parallel pre-treatment trends, followed by divergence after 2018, would support the assumption. Conversely, persistent divergence in the pre-treatment period would indicate a violation of the assumption and invalidate the causal interpretation. </w:t>
      </w:r>
    </w:p>
    <w:p w14:paraId="0386A418" w14:textId="7953EAC7" w:rsidR="007838DA" w:rsidRPr="00FB71AB" w:rsidRDefault="00510078" w:rsidP="00070751">
      <w:pPr>
        <w:spacing w:line="360" w:lineRule="auto"/>
        <w:rPr>
          <w:rFonts w:ascii="Times New Roman" w:hAnsi="Times New Roman" w:cs="Times New Roman"/>
          <w:b/>
          <w:bCs/>
          <w:i/>
          <w:iCs/>
        </w:rPr>
      </w:pPr>
      <w:r>
        <w:rPr>
          <w:rFonts w:ascii="Times New Roman" w:hAnsi="Times New Roman" w:cs="Times New Roman"/>
          <w:b/>
          <w:bCs/>
          <w:i/>
          <w:iCs/>
        </w:rPr>
        <w:t xml:space="preserve">2.3.4 </w:t>
      </w:r>
      <w:r w:rsidR="007838DA" w:rsidRPr="00FB71AB">
        <w:rPr>
          <w:rFonts w:ascii="Times New Roman" w:hAnsi="Times New Roman" w:cs="Times New Roman"/>
          <w:b/>
          <w:bCs/>
          <w:i/>
          <w:iCs/>
        </w:rPr>
        <w:t>Propensity Score Matching</w:t>
      </w:r>
    </w:p>
    <w:p w14:paraId="6BB92FA9" w14:textId="67EB37B9" w:rsidR="007838DA" w:rsidRDefault="007838DA" w:rsidP="00070751">
      <w:pPr>
        <w:spacing w:line="360" w:lineRule="auto"/>
        <w:rPr>
          <w:rFonts w:ascii="Times New Roman" w:hAnsi="Times New Roman" w:cs="Times New Roman"/>
        </w:rPr>
      </w:pPr>
      <w:r>
        <w:rPr>
          <w:rFonts w:ascii="Times New Roman" w:hAnsi="Times New Roman" w:cs="Times New Roman"/>
          <w:b/>
          <w:bCs/>
        </w:rPr>
        <w:lastRenderedPageBreak/>
        <w:tab/>
      </w:r>
      <w:r>
        <w:rPr>
          <w:rFonts w:ascii="Times New Roman" w:hAnsi="Times New Roman" w:cs="Times New Roman"/>
        </w:rPr>
        <w:t xml:space="preserve">Even with difference-in-differences, poor comparability between treatment and control groups threatens identification. If treatment and control properties differ substantially in observable characteristics, they may also differ in unobservable characteristics that affect price trends, thereby violating the parallel trends assumption. Propensity Score Matching (PSM) addresses this by constructing treatment and control groups that are balanced on observable characteristics. </w:t>
      </w:r>
      <w:r w:rsidR="00E56634">
        <w:rPr>
          <w:rFonts w:ascii="Times New Roman" w:hAnsi="Times New Roman" w:cs="Times New Roman"/>
        </w:rPr>
        <w:t>PSM essentially models the probability that a given property will receive the treatment – in other words, what is the likelihood that a new transit line will be placed within a half mile of a given property? This step addresses the endogeneity problem discussed above, which attempts to isolate the effect of the train itself from the characteristics that made that location a good place to locate a train in the first place – characteristics that may be responsible for driving up property values in themselves. Formally, the propensity score is the conditional probability of treatment given observed covariates:</w:t>
      </w:r>
    </w:p>
    <w:p w14:paraId="4737B069" w14:textId="0ECB5106" w:rsidR="00E56634" w:rsidRDefault="00E56634" w:rsidP="00E56634">
      <w:pPr>
        <w:spacing w:line="360" w:lineRule="auto"/>
        <w:ind w:left="2160" w:firstLine="720"/>
        <w:rPr>
          <w:rFonts w:ascii="Times New Roman" w:hAnsi="Times New Roman" w:cs="Times New Roman"/>
        </w:rPr>
      </w:pPr>
      <w:r w:rsidRPr="00E56634">
        <w:rPr>
          <w:rFonts w:ascii="Times New Roman" w:hAnsi="Times New Roman" w:cs="Times New Roman"/>
          <w:i/>
          <w:iCs/>
        </w:rPr>
        <w:t>e</w:t>
      </w:r>
      <w:r w:rsidRPr="00E56634">
        <w:rPr>
          <w:rFonts w:ascii="Times New Roman" w:hAnsi="Times New Roman" w:cs="Times New Roman"/>
        </w:rPr>
        <w:t>(X</w:t>
      </w:r>
      <w:r w:rsidRPr="00E56634">
        <w:rPr>
          <w:rFonts w:ascii="Times New Roman" w:hAnsi="Times New Roman" w:cs="Times New Roman"/>
          <w:i/>
          <w:iCs/>
          <w:vertAlign w:val="subscript"/>
        </w:rPr>
        <w:t>i</w:t>
      </w:r>
      <w:r w:rsidRPr="00E56634">
        <w:rPr>
          <w:rFonts w:ascii="Times New Roman" w:hAnsi="Times New Roman" w:cs="Times New Roman"/>
        </w:rPr>
        <w:t>​)</w:t>
      </w:r>
      <w:r>
        <w:rPr>
          <w:rFonts w:ascii="Times New Roman" w:hAnsi="Times New Roman" w:cs="Times New Roman"/>
        </w:rPr>
        <w:t xml:space="preserve"> </w:t>
      </w:r>
      <w:r w:rsidRPr="00E56634">
        <w:rPr>
          <w:rFonts w:ascii="Times New Roman" w:hAnsi="Times New Roman" w:cs="Times New Roman"/>
        </w:rPr>
        <w:t>=</w:t>
      </w:r>
      <w:r>
        <w:rPr>
          <w:rFonts w:ascii="Times New Roman" w:hAnsi="Times New Roman" w:cs="Times New Roman"/>
        </w:rPr>
        <w:t xml:space="preserve"> </w:t>
      </w:r>
      <w:proofErr w:type="gramStart"/>
      <w:r w:rsidRPr="00E56634">
        <w:rPr>
          <w:rFonts w:ascii="Times New Roman" w:hAnsi="Times New Roman" w:cs="Times New Roman"/>
          <w:i/>
          <w:iCs/>
        </w:rPr>
        <w:t>P</w:t>
      </w:r>
      <w:r w:rsidRPr="00E56634">
        <w:rPr>
          <w:rFonts w:ascii="Times New Roman" w:hAnsi="Times New Roman" w:cs="Times New Roman"/>
        </w:rPr>
        <w:t>(</w:t>
      </w:r>
      <w:proofErr w:type="spellStart"/>
      <w:proofErr w:type="gramEnd"/>
      <w:r w:rsidRPr="00E56634">
        <w:rPr>
          <w:rFonts w:ascii="Times New Roman" w:hAnsi="Times New Roman" w:cs="Times New Roman"/>
        </w:rPr>
        <w:t>Treat</w:t>
      </w:r>
      <w:r w:rsidRPr="00E56634">
        <w:rPr>
          <w:rFonts w:ascii="Times New Roman" w:hAnsi="Times New Roman" w:cs="Times New Roman"/>
          <w:i/>
          <w:iCs/>
          <w:vertAlign w:val="subscript"/>
        </w:rPr>
        <w:t>i</w:t>
      </w:r>
      <w:proofErr w:type="spellEnd"/>
      <w:r w:rsidRPr="00E56634">
        <w:rPr>
          <w:rFonts w:ascii="Times New Roman" w:hAnsi="Times New Roman" w:cs="Times New Roman"/>
        </w:rPr>
        <w:t>​</w:t>
      </w:r>
      <w:r>
        <w:rPr>
          <w:rFonts w:ascii="Times New Roman" w:hAnsi="Times New Roman" w:cs="Times New Roman"/>
        </w:rPr>
        <w:t xml:space="preserve"> </w:t>
      </w:r>
      <w:r w:rsidRPr="00E56634">
        <w:rPr>
          <w:rFonts w:ascii="Times New Roman" w:hAnsi="Times New Roman" w:cs="Times New Roman"/>
        </w:rPr>
        <w:t>=</w:t>
      </w:r>
      <w:r>
        <w:rPr>
          <w:rFonts w:ascii="Times New Roman" w:hAnsi="Times New Roman" w:cs="Times New Roman"/>
        </w:rPr>
        <w:t xml:space="preserve"> </w:t>
      </w:r>
      <w:r w:rsidRPr="00E56634">
        <w:rPr>
          <w:rFonts w:ascii="Times New Roman" w:hAnsi="Times New Roman" w:cs="Times New Roman"/>
        </w:rPr>
        <w:t>1</w:t>
      </w:r>
      <w:r w:rsidRPr="00E56634">
        <w:rPr>
          <w:rFonts w:ascii="Cambria Math" w:hAnsi="Cambria Math" w:cs="Cambria Math"/>
        </w:rPr>
        <w:t>∣</w:t>
      </w:r>
      <w:r w:rsidRPr="00E56634">
        <w:rPr>
          <w:rFonts w:ascii="Times New Roman" w:hAnsi="Times New Roman" w:cs="Times New Roman"/>
          <w:b/>
          <w:bCs/>
        </w:rPr>
        <w:t>X</w:t>
      </w:r>
      <w:r w:rsidRPr="00E56634">
        <w:rPr>
          <w:rFonts w:ascii="Times New Roman" w:hAnsi="Times New Roman" w:cs="Times New Roman"/>
          <w:i/>
          <w:iCs/>
          <w:vertAlign w:val="subscript"/>
        </w:rPr>
        <w:t>i</w:t>
      </w:r>
      <w:r w:rsidRPr="00E56634">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(3)</w:t>
      </w:r>
    </w:p>
    <w:p w14:paraId="1D589464" w14:textId="337009AA" w:rsidR="00E56634" w:rsidRDefault="00E56634" w:rsidP="00E56634">
      <w:pPr>
        <w:spacing w:line="360" w:lineRule="auto"/>
        <w:rPr>
          <w:rFonts w:ascii="Times New Roman" w:hAnsi="Times New Roman" w:cs="Times New Roman"/>
        </w:rPr>
      </w:pPr>
      <w:r>
        <w:rPr>
          <w:rFonts w:ascii="Times New Roman" w:hAnsi="Times New Roman" w:cs="Times New Roman"/>
        </w:rPr>
        <w:tab/>
        <w:t xml:space="preserve">Rosenbaum and Rubin (1983) showed that if treatment assignment is unconfounded given </w:t>
      </w:r>
      <w:r w:rsidRPr="00E56634">
        <w:rPr>
          <w:rFonts w:ascii="Times New Roman" w:hAnsi="Times New Roman" w:cs="Times New Roman"/>
          <w:b/>
          <w:bCs/>
        </w:rPr>
        <w:t>X</w:t>
      </w:r>
      <w:r>
        <w:rPr>
          <w:rFonts w:ascii="Times New Roman" w:hAnsi="Times New Roman" w:cs="Times New Roman"/>
        </w:rPr>
        <w:t xml:space="preserve"> (i.e., all confounders are observed), then it is also unconfounded given </w:t>
      </w:r>
      <w:r>
        <w:rPr>
          <w:rFonts w:ascii="Times New Roman" w:hAnsi="Times New Roman" w:cs="Times New Roman"/>
          <w:i/>
          <w:iCs/>
        </w:rPr>
        <w:t>e</w:t>
      </w:r>
      <w:r>
        <w:rPr>
          <w:rFonts w:ascii="Times New Roman" w:hAnsi="Times New Roman" w:cs="Times New Roman"/>
        </w:rPr>
        <w:t>(</w:t>
      </w:r>
      <w:r w:rsidRPr="00E56634">
        <w:rPr>
          <w:rFonts w:ascii="Times New Roman" w:hAnsi="Times New Roman" w:cs="Times New Roman"/>
          <w:b/>
          <w:bCs/>
        </w:rPr>
        <w:t>X</w:t>
      </w:r>
      <w:r w:rsidRPr="00E56634">
        <w:rPr>
          <w:rFonts w:ascii="Times New Roman" w:hAnsi="Times New Roman" w:cs="Times New Roman"/>
        </w:rPr>
        <w:t>)</w:t>
      </w:r>
      <w:r>
        <w:rPr>
          <w:rFonts w:ascii="Times New Roman" w:hAnsi="Times New Roman" w:cs="Times New Roman"/>
          <w:b/>
          <w:bCs/>
        </w:rPr>
        <w:t xml:space="preserve">. </w:t>
      </w:r>
      <w:r w:rsidR="00306F3E">
        <w:rPr>
          <w:rFonts w:ascii="Times New Roman" w:hAnsi="Times New Roman" w:cs="Times New Roman"/>
        </w:rPr>
        <w:t>Put more plainly</w:t>
      </w:r>
      <w:r>
        <w:rPr>
          <w:rFonts w:ascii="Times New Roman" w:hAnsi="Times New Roman" w:cs="Times New Roman"/>
        </w:rPr>
        <w:t xml:space="preserve">, this </w:t>
      </w:r>
      <w:r w:rsidR="00D35207">
        <w:rPr>
          <w:rFonts w:ascii="Times New Roman" w:hAnsi="Times New Roman" w:cs="Times New Roman"/>
        </w:rPr>
        <w:t xml:space="preserve">means that rather than matching on the full vector of covariates </w:t>
      </w:r>
      <w:r w:rsidR="00D35207" w:rsidRPr="00E56634">
        <w:rPr>
          <w:rFonts w:ascii="Times New Roman" w:hAnsi="Times New Roman" w:cs="Times New Roman"/>
          <w:b/>
          <w:bCs/>
        </w:rPr>
        <w:t>X</w:t>
      </w:r>
      <w:r w:rsidR="00D35207" w:rsidRPr="00D35207">
        <w:rPr>
          <w:rFonts w:ascii="Times New Roman" w:hAnsi="Times New Roman" w:cs="Times New Roman"/>
        </w:rPr>
        <w:t>, which becomes infeasible in high dimensions</w:t>
      </w:r>
      <w:r w:rsidR="00D35207">
        <w:rPr>
          <w:rFonts w:ascii="Times New Roman" w:hAnsi="Times New Roman" w:cs="Times New Roman"/>
        </w:rPr>
        <w:t>, we can match on the scalar propensity score.</w:t>
      </w:r>
    </w:p>
    <w:p w14:paraId="503B34A4" w14:textId="045696A7" w:rsidR="00D35207" w:rsidRDefault="00D35207" w:rsidP="00E56634">
      <w:pPr>
        <w:spacing w:line="360" w:lineRule="auto"/>
        <w:rPr>
          <w:rFonts w:ascii="Times New Roman" w:hAnsi="Times New Roman" w:cs="Times New Roman"/>
        </w:rPr>
      </w:pPr>
      <w:r>
        <w:rPr>
          <w:rFonts w:ascii="Times New Roman" w:hAnsi="Times New Roman" w:cs="Times New Roman"/>
        </w:rPr>
        <w:t>We estimate propensity scores using logistic regression:</w:t>
      </w:r>
    </w:p>
    <w:p w14:paraId="51FF9F63" w14:textId="7E64D88D" w:rsidR="00D35207" w:rsidRDefault="00D35207" w:rsidP="00E56634">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gramStart"/>
      <w:r w:rsidRPr="00D35207">
        <w:rPr>
          <w:rFonts w:ascii="Times New Roman" w:hAnsi="Times New Roman" w:cs="Times New Roman"/>
        </w:rPr>
        <w:t>logit[</w:t>
      </w:r>
      <w:r w:rsidRPr="00D35207">
        <w:rPr>
          <w:rFonts w:ascii="Times New Roman" w:hAnsi="Times New Roman" w:cs="Times New Roman"/>
          <w:i/>
          <w:iCs/>
        </w:rPr>
        <w:t>P</w:t>
      </w:r>
      <w:r w:rsidRPr="00D35207">
        <w:rPr>
          <w:rFonts w:ascii="Times New Roman" w:hAnsi="Times New Roman" w:cs="Times New Roman"/>
        </w:rPr>
        <w:t>(</w:t>
      </w:r>
      <w:proofErr w:type="spellStart"/>
      <w:proofErr w:type="gramEnd"/>
      <w:r w:rsidRPr="00D35207">
        <w:rPr>
          <w:rFonts w:ascii="Times New Roman" w:hAnsi="Times New Roman" w:cs="Times New Roman"/>
        </w:rPr>
        <w:t>Treat</w:t>
      </w:r>
      <w:r w:rsidRPr="00D35207">
        <w:rPr>
          <w:rFonts w:ascii="Times New Roman" w:hAnsi="Times New Roman" w:cs="Times New Roman"/>
          <w:i/>
          <w:iCs/>
          <w:vertAlign w:val="subscript"/>
        </w:rPr>
        <w:t>i</w:t>
      </w:r>
      <w:proofErr w:type="spellEnd"/>
      <w:r w:rsidRPr="00D35207">
        <w:rPr>
          <w:rFonts w:ascii="Times New Roman" w:hAnsi="Times New Roman" w:cs="Times New Roman"/>
          <w:i/>
          <w:iCs/>
          <w:vertAlign w:val="subscript"/>
        </w:rPr>
        <w:t>​</w:t>
      </w:r>
      <w:r>
        <w:rPr>
          <w:rFonts w:ascii="Times New Roman" w:hAnsi="Times New Roman" w:cs="Times New Roman"/>
        </w:rPr>
        <w:t xml:space="preserve"> </w:t>
      </w:r>
      <w:r w:rsidRPr="00D35207">
        <w:rPr>
          <w:rFonts w:ascii="Times New Roman" w:hAnsi="Times New Roman" w:cs="Times New Roman"/>
        </w:rPr>
        <w:t>=</w:t>
      </w:r>
      <w:r>
        <w:rPr>
          <w:rFonts w:ascii="Times New Roman" w:hAnsi="Times New Roman" w:cs="Times New Roman"/>
        </w:rPr>
        <w:t xml:space="preserve"> </w:t>
      </w:r>
      <w:r w:rsidRPr="00D35207">
        <w:rPr>
          <w:rFonts w:ascii="Times New Roman" w:hAnsi="Times New Roman" w:cs="Times New Roman"/>
        </w:rPr>
        <w:t>1)]</w:t>
      </w:r>
      <w:r>
        <w:rPr>
          <w:rFonts w:ascii="Times New Roman" w:hAnsi="Times New Roman" w:cs="Times New Roman"/>
        </w:rPr>
        <w:t xml:space="preserve"> </w:t>
      </w:r>
      <w:r w:rsidRPr="00D35207">
        <w:rPr>
          <w:rFonts w:ascii="Times New Roman" w:hAnsi="Times New Roman" w:cs="Times New Roman"/>
        </w:rPr>
        <w:t>=</w:t>
      </w:r>
      <w:r>
        <w:rPr>
          <w:rFonts w:ascii="Times New Roman" w:hAnsi="Times New Roman" w:cs="Times New Roman"/>
        </w:rPr>
        <w:t xml:space="preserve"> </w:t>
      </w:r>
      <w:r w:rsidRPr="00D35207">
        <w:rPr>
          <w:rFonts w:ascii="Times New Roman" w:hAnsi="Times New Roman" w:cs="Times New Roman"/>
          <w:b/>
          <w:bCs/>
        </w:rPr>
        <w:t>X</w:t>
      </w:r>
      <w:r w:rsidRPr="00D35207">
        <w:rPr>
          <w:rFonts w:ascii="Times New Roman" w:hAnsi="Times New Roman" w:cs="Times New Roman"/>
          <w:i/>
          <w:iCs/>
          <w:vertAlign w:val="subscript"/>
        </w:rPr>
        <w:t>i</w:t>
      </w:r>
      <w:r w:rsidRPr="00D35207">
        <w:rPr>
          <w:rFonts w:ascii="Times New Roman" w:hAnsi="Times New Roman" w:cs="Times New Roman"/>
        </w:rPr>
        <w:t>​</w:t>
      </w:r>
      <w:r w:rsidRPr="00D35207">
        <w:rPr>
          <w:rFonts w:ascii="Times New Roman" w:hAnsi="Times New Roman" w:cs="Times New Roman"/>
          <w:i/>
          <w:iCs/>
        </w:rPr>
        <w:t>β</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(4)</w:t>
      </w:r>
    </w:p>
    <w:p w14:paraId="603F9A12" w14:textId="0563B346" w:rsidR="00D35207" w:rsidRDefault="00D35207" w:rsidP="00E56634">
      <w:pPr>
        <w:spacing w:line="360" w:lineRule="auto"/>
        <w:rPr>
          <w:rFonts w:ascii="Times New Roman" w:hAnsi="Times New Roman" w:cs="Times New Roman"/>
        </w:rPr>
      </w:pPr>
      <w:r>
        <w:rPr>
          <w:rFonts w:ascii="Times New Roman" w:hAnsi="Times New Roman" w:cs="Times New Roman"/>
        </w:rPr>
        <w:t xml:space="preserve">where </w:t>
      </w:r>
      <w:r w:rsidRPr="00D35207">
        <w:rPr>
          <w:rFonts w:ascii="Times New Roman" w:hAnsi="Times New Roman" w:cs="Times New Roman"/>
          <w:b/>
          <w:bCs/>
        </w:rPr>
        <w:t>X</w:t>
      </w:r>
      <w:r w:rsidRPr="00D35207">
        <w:rPr>
          <w:rFonts w:ascii="Times New Roman" w:hAnsi="Times New Roman" w:cs="Times New Roman"/>
          <w:i/>
          <w:iCs/>
          <w:vertAlign w:val="subscript"/>
        </w:rPr>
        <w:t>i</w:t>
      </w:r>
      <w:r w:rsidRPr="00D35207">
        <w:rPr>
          <w:rFonts w:ascii="Times New Roman" w:hAnsi="Times New Roman" w:cs="Times New Roman"/>
        </w:rPr>
        <w:t>​</w:t>
      </w:r>
      <w:r w:rsidR="00116E79">
        <w:rPr>
          <w:rFonts w:ascii="Times New Roman" w:hAnsi="Times New Roman" w:cs="Times New Roman"/>
        </w:rPr>
        <w:t xml:space="preserve">, in our case, </w:t>
      </w:r>
      <w:r>
        <w:rPr>
          <w:rFonts w:ascii="Times New Roman" w:hAnsi="Times New Roman" w:cs="Times New Roman"/>
        </w:rPr>
        <w:t>varies across three different PSM specifications:</w:t>
      </w:r>
    </w:p>
    <w:p w14:paraId="65680DF9" w14:textId="79964A54" w:rsidR="00D35207" w:rsidRDefault="00D35207" w:rsidP="00D35207">
      <w:pPr>
        <w:pStyle w:val="ListParagraph"/>
        <w:numPr>
          <w:ilvl w:val="0"/>
          <w:numId w:val="6"/>
        </w:numPr>
        <w:spacing w:line="360" w:lineRule="auto"/>
        <w:rPr>
          <w:rFonts w:ascii="Times New Roman" w:hAnsi="Times New Roman" w:cs="Times New Roman"/>
        </w:rPr>
      </w:pPr>
      <w:proofErr w:type="spellStart"/>
      <w:r>
        <w:rPr>
          <w:rFonts w:ascii="Times New Roman" w:hAnsi="Times New Roman" w:cs="Times New Roman"/>
          <w:b/>
          <w:bCs/>
        </w:rPr>
        <w:t>PSMprop</w:t>
      </w:r>
      <w:proofErr w:type="spellEnd"/>
      <w:r>
        <w:rPr>
          <w:rFonts w:ascii="Times New Roman" w:hAnsi="Times New Roman" w:cs="Times New Roman"/>
        </w:rPr>
        <w:t>: Property characteristics only (lot size, age, square footage, bedrooms, bathrooms).</w:t>
      </w:r>
    </w:p>
    <w:p w14:paraId="3B55A7D1" w14:textId="044BD84F" w:rsidR="00D35207" w:rsidRDefault="00D35207" w:rsidP="00D35207">
      <w:pPr>
        <w:pStyle w:val="ListParagraph"/>
        <w:numPr>
          <w:ilvl w:val="0"/>
          <w:numId w:val="6"/>
        </w:numPr>
        <w:spacing w:line="360" w:lineRule="auto"/>
        <w:rPr>
          <w:rFonts w:ascii="Times New Roman" w:hAnsi="Times New Roman" w:cs="Times New Roman"/>
        </w:rPr>
      </w:pPr>
      <w:proofErr w:type="spellStart"/>
      <w:r>
        <w:rPr>
          <w:rFonts w:ascii="Times New Roman" w:hAnsi="Times New Roman" w:cs="Times New Roman"/>
          <w:b/>
          <w:bCs/>
        </w:rPr>
        <w:t>PSMneig</w:t>
      </w:r>
      <w:proofErr w:type="spellEnd"/>
      <w:r>
        <w:rPr>
          <w:rFonts w:ascii="Times New Roman" w:hAnsi="Times New Roman" w:cs="Times New Roman"/>
        </w:rPr>
        <w:t>: Neighborhood characteristics only (distance to city center, population density, housing density, owner-o</w:t>
      </w:r>
      <w:r w:rsidR="00DA5E1B">
        <w:rPr>
          <w:rFonts w:ascii="Times New Roman" w:hAnsi="Times New Roman" w:cs="Times New Roman"/>
        </w:rPr>
        <w:t>cc</w:t>
      </w:r>
      <w:r>
        <w:rPr>
          <w:rFonts w:ascii="Times New Roman" w:hAnsi="Times New Roman" w:cs="Times New Roman"/>
        </w:rPr>
        <w:t>upancy rate, employment rate, percent white, percent with bachelor’s degree).</w:t>
      </w:r>
    </w:p>
    <w:p w14:paraId="270F77DF" w14:textId="77B517B0" w:rsidR="00981B45" w:rsidRDefault="00D35207" w:rsidP="00981B45">
      <w:pPr>
        <w:pStyle w:val="ListParagraph"/>
        <w:numPr>
          <w:ilvl w:val="0"/>
          <w:numId w:val="6"/>
        </w:numPr>
        <w:spacing w:line="360" w:lineRule="auto"/>
        <w:rPr>
          <w:rFonts w:ascii="Times New Roman" w:hAnsi="Times New Roman" w:cs="Times New Roman"/>
        </w:rPr>
      </w:pPr>
      <w:proofErr w:type="spellStart"/>
      <w:r>
        <w:rPr>
          <w:rFonts w:ascii="Times New Roman" w:hAnsi="Times New Roman" w:cs="Times New Roman"/>
          <w:b/>
          <w:bCs/>
        </w:rPr>
        <w:t>PSMboth</w:t>
      </w:r>
      <w:proofErr w:type="spellEnd"/>
      <w:r>
        <w:rPr>
          <w:rFonts w:ascii="Times New Roman" w:hAnsi="Times New Roman" w:cs="Times New Roman"/>
        </w:rPr>
        <w:t xml:space="preserve">: </w:t>
      </w:r>
      <w:r w:rsidR="00981B45">
        <w:rPr>
          <w:rFonts w:ascii="Times New Roman" w:hAnsi="Times New Roman" w:cs="Times New Roman"/>
        </w:rPr>
        <w:t>Properties within the PSM matched neighborhoods are matched with properties in the treatment neighborhoods</w:t>
      </w:r>
      <w:r>
        <w:rPr>
          <w:rFonts w:ascii="Times New Roman" w:hAnsi="Times New Roman" w:cs="Times New Roman"/>
        </w:rPr>
        <w:t>.</w:t>
      </w:r>
    </w:p>
    <w:p w14:paraId="34165E2F" w14:textId="77777777" w:rsidR="00981B45" w:rsidRDefault="00981B45" w:rsidP="00981B45">
      <w:pPr>
        <w:pStyle w:val="ListParagraph"/>
        <w:spacing w:line="360" w:lineRule="auto"/>
        <w:rPr>
          <w:rFonts w:ascii="Times New Roman" w:hAnsi="Times New Roman" w:cs="Times New Roman"/>
        </w:rPr>
      </w:pPr>
    </w:p>
    <w:p w14:paraId="2344F45E" w14:textId="64EC9404" w:rsidR="00510078" w:rsidRPr="00FB71AB" w:rsidRDefault="00981B45" w:rsidP="00FB71AB">
      <w:pPr>
        <w:spacing w:line="360" w:lineRule="auto"/>
        <w:rPr>
          <w:rFonts w:ascii="Times New Roman" w:hAnsi="Times New Roman" w:cs="Times New Roman"/>
        </w:rPr>
      </w:pPr>
      <w:r w:rsidRPr="00FB71AB">
        <w:rPr>
          <w:rFonts w:ascii="Times New Roman" w:hAnsi="Times New Roman" w:cs="Times New Roman"/>
        </w:rPr>
        <w:lastRenderedPageBreak/>
        <w:t>We conduct matching separately within the pre-treatment period (2004-2007) and the post-treatment period (2018-2023), then we merge the matched samples to ensure temporal comparability.</w:t>
      </w:r>
    </w:p>
    <w:p w14:paraId="5D408AF2" w14:textId="73497C88" w:rsidR="008C5EC8" w:rsidRPr="008C5EC8" w:rsidRDefault="00510078" w:rsidP="008C5EC8">
      <w:pPr>
        <w:spacing w:line="360" w:lineRule="auto"/>
        <w:rPr>
          <w:rFonts w:ascii="Times New Roman" w:hAnsi="Times New Roman" w:cs="Times New Roman"/>
          <w:b/>
          <w:bCs/>
          <w:i/>
          <w:iCs/>
        </w:rPr>
      </w:pPr>
      <w:r>
        <w:rPr>
          <w:rFonts w:ascii="Times New Roman" w:hAnsi="Times New Roman" w:cs="Times New Roman"/>
          <w:b/>
          <w:bCs/>
          <w:i/>
          <w:iCs/>
        </w:rPr>
        <w:t xml:space="preserve">2.3.5 </w:t>
      </w:r>
      <w:r w:rsidR="008C5EC8" w:rsidRPr="008C5EC8">
        <w:rPr>
          <w:rFonts w:ascii="Times New Roman" w:hAnsi="Times New Roman" w:cs="Times New Roman"/>
          <w:b/>
          <w:bCs/>
          <w:i/>
          <w:iCs/>
        </w:rPr>
        <w:t>Coarsened Exact Matching</w:t>
      </w:r>
    </w:p>
    <w:p w14:paraId="1D0B802A" w14:textId="3F2A2732" w:rsidR="008C5EC8" w:rsidRDefault="008C5EC8" w:rsidP="00AB3615">
      <w:pPr>
        <w:spacing w:line="36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Propensity Score Matching identifies a set of plausible control neighborhoods by matching treatment and controls along a single dimension – the estimated propensity score, derived from a set of variables thought to predict the likelihood of intervention. The limitation of this approach is that two properties may result in very similar propensity scores, but they may </w:t>
      </w:r>
      <w:proofErr w:type="gramStart"/>
      <w:r>
        <w:rPr>
          <w:rFonts w:ascii="Times New Roman" w:hAnsi="Times New Roman" w:cs="Times New Roman"/>
        </w:rPr>
        <w:t>actually differ</w:t>
      </w:r>
      <w:proofErr w:type="gramEnd"/>
      <w:r>
        <w:rPr>
          <w:rFonts w:ascii="Times New Roman" w:hAnsi="Times New Roman" w:cs="Times New Roman"/>
        </w:rPr>
        <w:t xml:space="preserve"> on specific individual predictors or covariates. For instance, Property A may be newer (5 years old), on a smaller lot (0.2) acres, far from the city center (10 miles), with a neighborhood comprised of a highly educated population (60% with a </w:t>
      </w:r>
      <w:r w:rsidR="00712B49">
        <w:rPr>
          <w:rFonts w:ascii="Times New Roman" w:hAnsi="Times New Roman" w:cs="Times New Roman"/>
        </w:rPr>
        <w:t>Bachelor’s</w:t>
      </w:r>
      <w:r>
        <w:rPr>
          <w:rFonts w:ascii="Times New Roman" w:hAnsi="Times New Roman" w:cs="Times New Roman"/>
        </w:rPr>
        <w:t xml:space="preserve"> degree) while Property B may be an older home (50 years old), on a larger lot (0.5 acres), closer to the city center (3 miles), with a less educated neighborhood (15% with a Bachelor’s degree).</w:t>
      </w:r>
      <w:r w:rsidR="00712B49">
        <w:rPr>
          <w:rFonts w:ascii="Times New Roman" w:hAnsi="Times New Roman" w:cs="Times New Roman"/>
        </w:rPr>
        <w:t xml:space="preserve"> Once the estimated coefficients of the PSM model are applied to those two neighborhoods, they may, in fact, end up with near-identical propensity scores. In this hypothetical example, Property A compensates for its distance from the center with higher neighborhood education, while Property B has a more favorable location within the city, which enhances its propensity for being selected, despite its lower education score. In other words, different combinations of characteristics can ‘add up’ to the same propensity score via compensating effects, making PSM more of a dimensionality reduction technique that captures the overall likelihood of treatment without having an optimal score on each of the individual covariates.</w:t>
      </w:r>
    </w:p>
    <w:p w14:paraId="48363A16" w14:textId="790816FF" w:rsidR="00712B49" w:rsidRDefault="00712B49" w:rsidP="00AB3615">
      <w:pPr>
        <w:spacing w:line="360" w:lineRule="auto"/>
        <w:rPr>
          <w:rFonts w:ascii="Times New Roman" w:hAnsi="Times New Roman" w:cs="Times New Roman"/>
        </w:rPr>
      </w:pPr>
      <w:r>
        <w:rPr>
          <w:rFonts w:ascii="Times New Roman" w:hAnsi="Times New Roman" w:cs="Times New Roman"/>
        </w:rPr>
        <w:tab/>
        <w:t>Coarsened Exact Matching is an approach that aims to alleviate this limitation of PSM by finding exact matches on each of the input covariates. It does so by temporarily binning (or, coarsening) the input variables into discrete categories and finds exact matches across each of these binned variables (Iacus, King, Porro, 2012). Formally, the CEM procedure consists of three steps:</w:t>
      </w:r>
    </w:p>
    <w:p w14:paraId="47AE521D" w14:textId="1B66173A" w:rsidR="00712B49" w:rsidRDefault="00712B49" w:rsidP="00712B49">
      <w:pPr>
        <w:pStyle w:val="ListParagraph"/>
        <w:numPr>
          <w:ilvl w:val="0"/>
          <w:numId w:val="7"/>
        </w:numPr>
        <w:spacing w:line="360" w:lineRule="auto"/>
        <w:rPr>
          <w:rFonts w:ascii="Times New Roman" w:hAnsi="Times New Roman" w:cs="Times New Roman"/>
        </w:rPr>
      </w:pPr>
      <w:r>
        <w:rPr>
          <w:rFonts w:ascii="Times New Roman" w:hAnsi="Times New Roman" w:cs="Times New Roman"/>
          <w:b/>
          <w:bCs/>
        </w:rPr>
        <w:t>Coarsening</w:t>
      </w:r>
      <w:r>
        <w:rPr>
          <w:rFonts w:ascii="Times New Roman" w:hAnsi="Times New Roman" w:cs="Times New Roman"/>
        </w:rPr>
        <w:t xml:space="preserve">: Each of the matching variables </w:t>
      </w:r>
      <w:proofErr w:type="spellStart"/>
      <w:r>
        <w:rPr>
          <w:rFonts w:ascii="Times New Roman" w:hAnsi="Times New Roman" w:cs="Times New Roman"/>
        </w:rPr>
        <w:t>X</w:t>
      </w:r>
      <w:r w:rsidRPr="0097516E">
        <w:rPr>
          <w:rFonts w:ascii="Times New Roman" w:hAnsi="Times New Roman" w:cs="Times New Roman"/>
          <w:vertAlign w:val="subscript"/>
        </w:rPr>
        <w:t>j</w:t>
      </w:r>
      <w:proofErr w:type="spellEnd"/>
      <w:r>
        <w:rPr>
          <w:rFonts w:ascii="Times New Roman" w:hAnsi="Times New Roman" w:cs="Times New Roman"/>
          <w:i/>
          <w:iCs/>
          <w:vertAlign w:val="subscript"/>
        </w:rPr>
        <w:t xml:space="preserve"> </w:t>
      </w:r>
      <w:r w:rsidR="0097516E">
        <w:rPr>
          <w:rFonts w:ascii="Times New Roman" w:hAnsi="Times New Roman" w:cs="Times New Roman"/>
        </w:rPr>
        <w:t xml:space="preserve">is temporarily transformed into a coarsened version, </w:t>
      </w:r>
      <w:proofErr w:type="spellStart"/>
      <w:r w:rsidR="0097516E" w:rsidRPr="0097516E">
        <w:rPr>
          <w:rFonts w:ascii="Times New Roman" w:hAnsi="Times New Roman" w:cs="Times New Roman"/>
        </w:rPr>
        <w:t>X</w:t>
      </w:r>
      <w:r w:rsidR="0097516E" w:rsidRPr="0097516E">
        <w:rPr>
          <w:rFonts w:ascii="Times New Roman" w:hAnsi="Times New Roman" w:cs="Times New Roman"/>
          <w:vertAlign w:val="subscript"/>
        </w:rPr>
        <w:t>j</w:t>
      </w:r>
      <w:proofErr w:type="spellEnd"/>
      <w:r w:rsidR="0097516E">
        <w:rPr>
          <w:rFonts w:ascii="Times New Roman" w:hAnsi="Times New Roman" w:cs="Times New Roman"/>
          <w:vertAlign w:val="superscript"/>
        </w:rPr>
        <w:t>*</w:t>
      </w:r>
      <w:r w:rsidR="00EC5BAE">
        <w:rPr>
          <w:rFonts w:ascii="Times New Roman" w:hAnsi="Times New Roman" w:cs="Times New Roman"/>
          <w:vertAlign w:val="superscript"/>
        </w:rPr>
        <w:t>,</w:t>
      </w:r>
      <w:r w:rsidR="0097516E">
        <w:rPr>
          <w:rFonts w:ascii="Times New Roman" w:hAnsi="Times New Roman" w:cs="Times New Roman"/>
        </w:rPr>
        <w:t xml:space="preserve"> by partitioning its range into substantively meaningful bins or strata. For continuous variables like age, this m</w:t>
      </w:r>
      <w:r w:rsidR="00EC5BAE">
        <w:rPr>
          <w:rFonts w:ascii="Times New Roman" w:hAnsi="Times New Roman" w:cs="Times New Roman"/>
        </w:rPr>
        <w:t>ay</w:t>
      </w:r>
      <w:r w:rsidR="0097516E">
        <w:rPr>
          <w:rFonts w:ascii="Times New Roman" w:hAnsi="Times New Roman" w:cs="Times New Roman"/>
        </w:rPr>
        <w:t xml:space="preserve"> involve grouping into decade bins </w:t>
      </w:r>
      <w:r w:rsidR="0097516E">
        <w:rPr>
          <w:rFonts w:ascii="Times New Roman" w:hAnsi="Times New Roman" w:cs="Times New Roman"/>
        </w:rPr>
        <w:lastRenderedPageBreak/>
        <w:t>(</w:t>
      </w:r>
      <w:r w:rsidR="00EC5BAE">
        <w:rPr>
          <w:rFonts w:ascii="Times New Roman" w:hAnsi="Times New Roman" w:cs="Times New Roman"/>
        </w:rPr>
        <w:t xml:space="preserve">e.g., </w:t>
      </w:r>
      <w:r w:rsidR="0097516E">
        <w:rPr>
          <w:rFonts w:ascii="Times New Roman" w:hAnsi="Times New Roman" w:cs="Times New Roman"/>
        </w:rPr>
        <w:t>0-10 years, 11-20 years, etc.). For already discrete variables, categories may be merged or left as is.</w:t>
      </w:r>
    </w:p>
    <w:p w14:paraId="0972155C" w14:textId="63916329" w:rsidR="0097516E" w:rsidRDefault="0097516E" w:rsidP="00712B49">
      <w:pPr>
        <w:pStyle w:val="ListParagraph"/>
        <w:numPr>
          <w:ilvl w:val="0"/>
          <w:numId w:val="7"/>
        </w:numPr>
        <w:spacing w:line="360" w:lineRule="auto"/>
        <w:rPr>
          <w:rFonts w:ascii="Times New Roman" w:hAnsi="Times New Roman" w:cs="Times New Roman"/>
        </w:rPr>
      </w:pPr>
      <w:r>
        <w:rPr>
          <w:rFonts w:ascii="Times New Roman" w:hAnsi="Times New Roman" w:cs="Times New Roman"/>
          <w:b/>
          <w:bCs/>
        </w:rPr>
        <w:t>Matching</w:t>
      </w:r>
      <w:r w:rsidRPr="0097516E">
        <w:rPr>
          <w:rFonts w:ascii="Times New Roman" w:hAnsi="Times New Roman" w:cs="Times New Roman"/>
        </w:rPr>
        <w:t>:</w:t>
      </w:r>
      <w:r>
        <w:rPr>
          <w:rFonts w:ascii="Times New Roman" w:hAnsi="Times New Roman" w:cs="Times New Roman"/>
        </w:rPr>
        <w:t xml:space="preserve"> </w:t>
      </w:r>
      <w:r w:rsidR="00EC5BAE">
        <w:rPr>
          <w:rFonts w:ascii="Times New Roman" w:hAnsi="Times New Roman" w:cs="Times New Roman"/>
        </w:rPr>
        <w:t xml:space="preserve">Properties are matched exactly on the vector of coarsened covariates X*. A property in the treatment group is matched to control properties only if they share identical values across </w:t>
      </w:r>
      <w:r w:rsidR="00EC5BAE" w:rsidRPr="00EC5BAE">
        <w:rPr>
          <w:rFonts w:ascii="Times New Roman" w:hAnsi="Times New Roman" w:cs="Times New Roman"/>
          <w:i/>
          <w:iCs/>
        </w:rPr>
        <w:t>all</w:t>
      </w:r>
      <w:r w:rsidR="00EC5BAE">
        <w:rPr>
          <w:rFonts w:ascii="Times New Roman" w:hAnsi="Times New Roman" w:cs="Times New Roman"/>
        </w:rPr>
        <w:t xml:space="preserve"> </w:t>
      </w:r>
      <w:r w:rsidR="00C75D10">
        <w:rPr>
          <w:rFonts w:ascii="Times New Roman" w:hAnsi="Times New Roman" w:cs="Times New Roman"/>
        </w:rPr>
        <w:t>coarsened</w:t>
      </w:r>
      <w:r w:rsidR="00EC5BAE">
        <w:rPr>
          <w:rFonts w:ascii="Times New Roman" w:hAnsi="Times New Roman" w:cs="Times New Roman"/>
        </w:rPr>
        <w:t xml:space="preserve"> dimensions. </w:t>
      </w:r>
    </w:p>
    <w:p w14:paraId="3551C33C" w14:textId="3BAC9562" w:rsidR="00EC5BAE" w:rsidRDefault="00EC5BAE" w:rsidP="00712B49">
      <w:pPr>
        <w:pStyle w:val="ListParagraph"/>
        <w:numPr>
          <w:ilvl w:val="0"/>
          <w:numId w:val="7"/>
        </w:numPr>
        <w:spacing w:line="360" w:lineRule="auto"/>
        <w:rPr>
          <w:rFonts w:ascii="Times New Roman" w:hAnsi="Times New Roman" w:cs="Times New Roman"/>
        </w:rPr>
      </w:pPr>
      <w:r>
        <w:rPr>
          <w:rFonts w:ascii="Times New Roman" w:hAnsi="Times New Roman" w:cs="Times New Roman"/>
          <w:b/>
          <w:bCs/>
        </w:rPr>
        <w:t>Analysis</w:t>
      </w:r>
      <w:r w:rsidRPr="00EC5BAE">
        <w:rPr>
          <w:rFonts w:ascii="Times New Roman" w:hAnsi="Times New Roman" w:cs="Times New Roman"/>
        </w:rPr>
        <w:t>:</w:t>
      </w:r>
      <w:r>
        <w:rPr>
          <w:rFonts w:ascii="Times New Roman" w:hAnsi="Times New Roman" w:cs="Times New Roman"/>
        </w:rPr>
        <w:t xml:space="preserve"> After matching, the original </w:t>
      </w:r>
      <w:proofErr w:type="spellStart"/>
      <w:r w:rsidR="00C75D10">
        <w:rPr>
          <w:rFonts w:ascii="Times New Roman" w:hAnsi="Times New Roman" w:cs="Times New Roman"/>
        </w:rPr>
        <w:t>uncoarsened</w:t>
      </w:r>
      <w:proofErr w:type="spellEnd"/>
      <w:r>
        <w:rPr>
          <w:rFonts w:ascii="Times New Roman" w:hAnsi="Times New Roman" w:cs="Times New Roman"/>
        </w:rPr>
        <w:t xml:space="preserve"> variable values are used in the difference-in-differences estimation. The coarsening only serves to facilitate matching and is not retained for analysis.</w:t>
      </w:r>
    </w:p>
    <w:p w14:paraId="27478362" w14:textId="1B4A931B" w:rsidR="00EC5BAE" w:rsidRDefault="00EC5BAE" w:rsidP="00EC5BAE">
      <w:pPr>
        <w:spacing w:line="360" w:lineRule="auto"/>
        <w:rPr>
          <w:rFonts w:ascii="Times New Roman" w:hAnsi="Times New Roman" w:cs="Times New Roman"/>
        </w:rPr>
      </w:pPr>
      <w:r>
        <w:rPr>
          <w:rFonts w:ascii="Times New Roman" w:hAnsi="Times New Roman" w:cs="Times New Roman"/>
        </w:rPr>
        <w:t xml:space="preserve">The balance in treatment and control characteristics stemming from CEM is ultimately determined by the researcher’s coarsening choices before matching occurs. If two properties fall along the same </w:t>
      </w:r>
      <w:r w:rsidR="00C75D10">
        <w:rPr>
          <w:rFonts w:ascii="Times New Roman" w:hAnsi="Times New Roman" w:cs="Times New Roman"/>
        </w:rPr>
        <w:t>coarsened</w:t>
      </w:r>
      <w:r>
        <w:rPr>
          <w:rFonts w:ascii="Times New Roman" w:hAnsi="Times New Roman" w:cs="Times New Roman"/>
        </w:rPr>
        <w:t xml:space="preserve"> stratum, they are, by </w:t>
      </w:r>
      <w:r w:rsidR="009E44AC">
        <w:rPr>
          <w:rFonts w:ascii="Times New Roman" w:hAnsi="Times New Roman" w:cs="Times New Roman"/>
        </w:rPr>
        <w:t>design</w:t>
      </w:r>
      <w:r>
        <w:rPr>
          <w:rFonts w:ascii="Times New Roman" w:hAnsi="Times New Roman" w:cs="Times New Roman"/>
        </w:rPr>
        <w:t xml:space="preserve">, balanced on those dimensions. The downfall of this approach is that it can be quite restrictive and result in few exact matches, forcing the researcher to go back and </w:t>
      </w:r>
      <w:r w:rsidR="003D4DDF">
        <w:rPr>
          <w:rFonts w:ascii="Times New Roman" w:hAnsi="Times New Roman" w:cs="Times New Roman"/>
        </w:rPr>
        <w:t xml:space="preserve">often widen </w:t>
      </w:r>
      <w:r>
        <w:rPr>
          <w:rFonts w:ascii="Times New Roman" w:hAnsi="Times New Roman" w:cs="Times New Roman"/>
        </w:rPr>
        <w:t>the original bins.</w:t>
      </w:r>
      <w:r w:rsidR="009E44AC">
        <w:rPr>
          <w:rFonts w:ascii="Times New Roman" w:hAnsi="Times New Roman" w:cs="Times New Roman"/>
        </w:rPr>
        <w:t xml:space="preserve"> Like with PSM, we implement three variations of the CEM approach involving matching on property characteristics, neighborhoods, and both – described in detail below.</w:t>
      </w:r>
    </w:p>
    <w:p w14:paraId="6061596B" w14:textId="22650FC8" w:rsidR="00EC5BAE" w:rsidRDefault="00EC5BAE" w:rsidP="00EC5BAE">
      <w:pPr>
        <w:pStyle w:val="ListParagraph"/>
        <w:numPr>
          <w:ilvl w:val="0"/>
          <w:numId w:val="8"/>
        </w:numPr>
        <w:spacing w:line="360" w:lineRule="auto"/>
        <w:rPr>
          <w:rFonts w:ascii="Times New Roman" w:hAnsi="Times New Roman" w:cs="Times New Roman"/>
        </w:rPr>
      </w:pPr>
      <w:proofErr w:type="spellStart"/>
      <w:r>
        <w:rPr>
          <w:rFonts w:ascii="Times New Roman" w:hAnsi="Times New Roman" w:cs="Times New Roman"/>
          <w:b/>
          <w:bCs/>
        </w:rPr>
        <w:t>CEM</w:t>
      </w:r>
      <w:r w:rsidRPr="00EC5BAE">
        <w:rPr>
          <w:rFonts w:ascii="Times New Roman" w:hAnsi="Times New Roman" w:cs="Times New Roman"/>
          <w:b/>
          <w:bCs/>
        </w:rPr>
        <w:t>prop</w:t>
      </w:r>
      <w:proofErr w:type="spellEnd"/>
      <w:r w:rsidRPr="00EC5BAE">
        <w:rPr>
          <w:rFonts w:ascii="Times New Roman" w:hAnsi="Times New Roman" w:cs="Times New Roman"/>
        </w:rPr>
        <w:t>:</w:t>
      </w:r>
      <w:r>
        <w:rPr>
          <w:rFonts w:ascii="Times New Roman" w:hAnsi="Times New Roman" w:cs="Times New Roman"/>
        </w:rPr>
        <w:t xml:space="preserve"> </w:t>
      </w:r>
      <w:r w:rsidR="009E44AC">
        <w:rPr>
          <w:rFonts w:ascii="Times New Roman" w:hAnsi="Times New Roman" w:cs="Times New Roman"/>
        </w:rPr>
        <w:t>We match based on p</w:t>
      </w:r>
      <w:r>
        <w:rPr>
          <w:rFonts w:ascii="Times New Roman" w:hAnsi="Times New Roman" w:cs="Times New Roman"/>
        </w:rPr>
        <w:t>roperty characteristics</w:t>
      </w:r>
      <w:r w:rsidR="00FF4030">
        <w:rPr>
          <w:rFonts w:ascii="Times New Roman" w:hAnsi="Times New Roman" w:cs="Times New Roman"/>
        </w:rPr>
        <w:t>: lot size, age, heated square footage, bedrooms, bathrooms, and distance to city center, plus year.</w:t>
      </w:r>
      <w:r w:rsidR="009E44AC">
        <w:rPr>
          <w:rFonts w:ascii="Times New Roman" w:hAnsi="Times New Roman" w:cs="Times New Roman"/>
        </w:rPr>
        <w:t xml:space="preserve"> This specification uses the </w:t>
      </w:r>
      <w:proofErr w:type="spellStart"/>
      <w:r w:rsidR="009E44AC">
        <w:rPr>
          <w:rFonts w:ascii="Times New Roman" w:hAnsi="Times New Roman" w:cs="Times New Roman"/>
        </w:rPr>
        <w:t>MatchIt</w:t>
      </w:r>
      <w:proofErr w:type="spellEnd"/>
      <w:r w:rsidR="009E44AC">
        <w:rPr>
          <w:rFonts w:ascii="Times New Roman" w:hAnsi="Times New Roman" w:cs="Times New Roman"/>
        </w:rPr>
        <w:t xml:space="preserve"> package’s automated coarsening algorithm, which involves a two-stage matching process. In the first stage, strata, or bins, are created based on an optimal bin width for continuous variables, determined by their distributions. In the second stage, we apply k-to-k (k2k) matching within each stratum, where we perform 1:1 nearest neighbor matching using </w:t>
      </w:r>
      <w:proofErr w:type="spellStart"/>
      <w:r w:rsidR="009E44AC">
        <w:rPr>
          <w:rFonts w:ascii="Times New Roman" w:hAnsi="Times New Roman" w:cs="Times New Roman"/>
        </w:rPr>
        <w:t>Mahalanobis</w:t>
      </w:r>
      <w:proofErr w:type="spellEnd"/>
      <w:r w:rsidR="009E44AC">
        <w:rPr>
          <w:rFonts w:ascii="Times New Roman" w:hAnsi="Times New Roman" w:cs="Times New Roman"/>
        </w:rPr>
        <w:t xml:space="preserve"> distance.</w:t>
      </w:r>
      <w:r w:rsidR="00536A24">
        <w:rPr>
          <w:rFonts w:ascii="Times New Roman" w:hAnsi="Times New Roman" w:cs="Times New Roman"/>
        </w:rPr>
        <w:t xml:space="preserve"> This essentially ensures that each treatment property is matched with the best fit control property.</w:t>
      </w:r>
      <w:r w:rsidR="009E44AC">
        <w:rPr>
          <w:rFonts w:ascii="Times New Roman" w:hAnsi="Times New Roman" w:cs="Times New Roman"/>
        </w:rPr>
        <w:t xml:space="preserve"> We conduct matching separately within the pre-treatment period (2004-2007) and the post-treatment period (2018-2023), then we merge the matched samples to ensure temporal comparability.</w:t>
      </w:r>
    </w:p>
    <w:p w14:paraId="50ED313B" w14:textId="2C0CCA7E" w:rsidR="00FF4030" w:rsidRDefault="00FF4030" w:rsidP="00EC5BAE">
      <w:pPr>
        <w:pStyle w:val="ListParagraph"/>
        <w:numPr>
          <w:ilvl w:val="0"/>
          <w:numId w:val="8"/>
        </w:numPr>
        <w:spacing w:line="360" w:lineRule="auto"/>
        <w:rPr>
          <w:rFonts w:ascii="Times New Roman" w:hAnsi="Times New Roman" w:cs="Times New Roman"/>
        </w:rPr>
      </w:pPr>
      <w:proofErr w:type="spellStart"/>
      <w:r>
        <w:rPr>
          <w:rFonts w:ascii="Times New Roman" w:hAnsi="Times New Roman" w:cs="Times New Roman"/>
          <w:b/>
          <w:bCs/>
        </w:rPr>
        <w:t>CEMneigh</w:t>
      </w:r>
      <w:proofErr w:type="spellEnd"/>
      <w:r>
        <w:rPr>
          <w:rFonts w:ascii="Times New Roman" w:hAnsi="Times New Roman" w:cs="Times New Roman"/>
        </w:rPr>
        <w:t xml:space="preserve">: </w:t>
      </w:r>
      <w:r w:rsidR="009E44AC">
        <w:rPr>
          <w:rFonts w:ascii="Times New Roman" w:hAnsi="Times New Roman" w:cs="Times New Roman"/>
        </w:rPr>
        <w:t xml:space="preserve">Matching on neighborhood characteristics required a slightly different approach because the automated coarsening algorithm failed to produce exact matches when attempting to find matching neighborhoods based on their characteristics (population density, housing density, owner-occupancy rate, employment rate, percent white, percent with bachelor’s degree, distance to city center). This is likely due to the </w:t>
      </w:r>
      <w:r w:rsidR="009E44AC">
        <w:rPr>
          <w:rFonts w:ascii="Times New Roman" w:hAnsi="Times New Roman" w:cs="Times New Roman"/>
        </w:rPr>
        <w:lastRenderedPageBreak/>
        <w:t>relatively lower within-neighborhood variation in these aggregate measures compared to property-level characteristics. Therefore, we manually specified coarser cut points, mostly following quartile and quintile bins, to match census tracts in terms of their neighborhood characteristics. This tract-level matching then used the same k2k refinement within strata. After identifying matched treatment and control census tracts, we identified all properties that fell within these tracts for the difference-in-differences analysis, ensuring that only properties within 0.5 miles of a station were classified as treated. This approach effectively compares properties in neighborhoods deemed similar on aggregate characteristics, rather than matching individual properties directly.</w:t>
      </w:r>
    </w:p>
    <w:p w14:paraId="00FE5D0E" w14:textId="5D9737C6" w:rsidR="00FF4030" w:rsidRDefault="00FF4030" w:rsidP="00EC5BAE">
      <w:pPr>
        <w:pStyle w:val="ListParagraph"/>
        <w:numPr>
          <w:ilvl w:val="0"/>
          <w:numId w:val="8"/>
        </w:numPr>
        <w:spacing w:line="360" w:lineRule="auto"/>
        <w:rPr>
          <w:rFonts w:ascii="Times New Roman" w:hAnsi="Times New Roman" w:cs="Times New Roman"/>
        </w:rPr>
      </w:pPr>
      <w:proofErr w:type="spellStart"/>
      <w:r>
        <w:rPr>
          <w:rFonts w:ascii="Times New Roman" w:hAnsi="Times New Roman" w:cs="Times New Roman"/>
          <w:b/>
          <w:bCs/>
        </w:rPr>
        <w:t>CEMboth</w:t>
      </w:r>
      <w:proofErr w:type="spellEnd"/>
      <w:r>
        <w:rPr>
          <w:rFonts w:ascii="Times New Roman" w:hAnsi="Times New Roman" w:cs="Times New Roman"/>
        </w:rPr>
        <w:t xml:space="preserve">: </w:t>
      </w:r>
      <w:r w:rsidR="00981B45">
        <w:rPr>
          <w:rFonts w:ascii="Times New Roman" w:hAnsi="Times New Roman" w:cs="Times New Roman"/>
        </w:rPr>
        <w:t>Finally, properties within the CEM matched neighborhoods are matched with properties in the treatment neighborhoods.</w:t>
      </w:r>
    </w:p>
    <w:p w14:paraId="44DE4AB3" w14:textId="42A485E5" w:rsidR="00EC5BAE" w:rsidRPr="00EC5BAE" w:rsidRDefault="00536A24" w:rsidP="00C13529">
      <w:pPr>
        <w:spacing w:line="360" w:lineRule="auto"/>
        <w:ind w:left="360" w:firstLine="360"/>
        <w:rPr>
          <w:rFonts w:ascii="Times New Roman" w:hAnsi="Times New Roman" w:cs="Times New Roman"/>
        </w:rPr>
      </w:pPr>
      <w:r>
        <w:rPr>
          <w:rFonts w:ascii="Times New Roman" w:hAnsi="Times New Roman" w:cs="Times New Roman"/>
        </w:rPr>
        <w:t xml:space="preserve">These implementations illustrate some of the potential tradeoffs in using a CEM approach. Coarsening the variables and searching for exact matches of neighborhoods or properties across all dimensions may fail to produce sufficient matches, requiring the researcher to </w:t>
      </w:r>
      <w:r w:rsidR="00C13529">
        <w:rPr>
          <w:rFonts w:ascii="Times New Roman" w:hAnsi="Times New Roman" w:cs="Times New Roman"/>
        </w:rPr>
        <w:t>resort</w:t>
      </w:r>
      <w:r>
        <w:rPr>
          <w:rFonts w:ascii="Times New Roman" w:hAnsi="Times New Roman" w:cs="Times New Roman"/>
        </w:rPr>
        <w:t xml:space="preserve"> to manual methods for binning the continuous variables until </w:t>
      </w:r>
      <w:r w:rsidR="00C13529">
        <w:rPr>
          <w:rFonts w:ascii="Times New Roman" w:hAnsi="Times New Roman" w:cs="Times New Roman"/>
        </w:rPr>
        <w:t xml:space="preserve">suitable </w:t>
      </w:r>
      <w:r>
        <w:rPr>
          <w:rFonts w:ascii="Times New Roman" w:hAnsi="Times New Roman" w:cs="Times New Roman"/>
        </w:rPr>
        <w:t xml:space="preserve">matches can be </w:t>
      </w:r>
      <w:r w:rsidR="00C13529">
        <w:rPr>
          <w:rFonts w:ascii="Times New Roman" w:hAnsi="Times New Roman" w:cs="Times New Roman"/>
        </w:rPr>
        <w:t>found</w:t>
      </w:r>
      <w:r>
        <w:rPr>
          <w:rFonts w:ascii="Times New Roman" w:hAnsi="Times New Roman" w:cs="Times New Roman"/>
        </w:rPr>
        <w:t xml:space="preserve">. </w:t>
      </w:r>
    </w:p>
    <w:p w14:paraId="24CCAA49" w14:textId="763AFBF6" w:rsidR="0042690F" w:rsidRPr="00FB71AB" w:rsidRDefault="00510078" w:rsidP="00AB3615">
      <w:pPr>
        <w:spacing w:line="360" w:lineRule="auto"/>
        <w:rPr>
          <w:rFonts w:ascii="Times New Roman" w:hAnsi="Times New Roman" w:cs="Times New Roman"/>
          <w:b/>
          <w:bCs/>
          <w:i/>
          <w:iCs/>
        </w:rPr>
      </w:pPr>
      <w:r w:rsidRPr="00FB71AB">
        <w:rPr>
          <w:rFonts w:ascii="Times New Roman" w:hAnsi="Times New Roman" w:cs="Times New Roman"/>
          <w:b/>
          <w:bCs/>
          <w:i/>
          <w:iCs/>
        </w:rPr>
        <w:t xml:space="preserve">2.3.6 </w:t>
      </w:r>
      <w:r w:rsidR="0042690F" w:rsidRPr="00FB71AB">
        <w:rPr>
          <w:rFonts w:ascii="Times New Roman" w:hAnsi="Times New Roman" w:cs="Times New Roman"/>
          <w:b/>
          <w:bCs/>
          <w:i/>
          <w:iCs/>
        </w:rPr>
        <w:t>Treatment Definition</w:t>
      </w:r>
    </w:p>
    <w:p w14:paraId="7E11526C" w14:textId="59132B13" w:rsidR="0042690F" w:rsidRDefault="0042690F" w:rsidP="00CE5E9E">
      <w:pPr>
        <w:spacing w:line="360" w:lineRule="auto"/>
        <w:ind w:firstLine="720"/>
        <w:rPr>
          <w:rFonts w:ascii="Times New Roman" w:hAnsi="Times New Roman" w:cs="Times New Roman"/>
        </w:rPr>
      </w:pPr>
      <w:r>
        <w:rPr>
          <w:rFonts w:ascii="Times New Roman" w:hAnsi="Times New Roman" w:cs="Times New Roman"/>
        </w:rPr>
        <w:t xml:space="preserve">We defined treatment properties as single-family homes located within a </w:t>
      </w:r>
      <w:proofErr w:type="gramStart"/>
      <w:r>
        <w:rPr>
          <w:rFonts w:ascii="Times New Roman" w:hAnsi="Times New Roman" w:cs="Times New Roman"/>
        </w:rPr>
        <w:t>half-mile</w:t>
      </w:r>
      <w:proofErr w:type="gramEnd"/>
      <w:r>
        <w:rPr>
          <w:rFonts w:ascii="Times New Roman" w:hAnsi="Times New Roman" w:cs="Times New Roman"/>
        </w:rPr>
        <w:t xml:space="preserve"> (0.5 mile) Euclidean distance of any Blue Line Extension station. This threshold encompasses the often-used “walkable station area” standard distance often used in TOD research. It also reflects the empirical evidence that property value effects typically peak within this distance and attenuate beyond it. Other studies on Charlotte</w:t>
      </w:r>
      <w:r w:rsidR="005517EF">
        <w:rPr>
          <w:rFonts w:ascii="Times New Roman" w:hAnsi="Times New Roman" w:cs="Times New Roman"/>
        </w:rPr>
        <w:t>’</w:t>
      </w:r>
      <w:r>
        <w:rPr>
          <w:rFonts w:ascii="Times New Roman" w:hAnsi="Times New Roman" w:cs="Times New Roman"/>
        </w:rPr>
        <w:t xml:space="preserve">s blue line have used distances up to one mile to study property value impacts (Ke and </w:t>
      </w:r>
      <w:proofErr w:type="spellStart"/>
      <w:r>
        <w:rPr>
          <w:rFonts w:ascii="Times New Roman" w:hAnsi="Times New Roman" w:cs="Times New Roman"/>
        </w:rPr>
        <w:t>Gkritza</w:t>
      </w:r>
      <w:proofErr w:type="spellEnd"/>
      <w:r>
        <w:rPr>
          <w:rFonts w:ascii="Times New Roman" w:hAnsi="Times New Roman" w:cs="Times New Roman"/>
        </w:rPr>
        <w:t xml:space="preserve">, 2019; Billings, 2011). Our more restrictive threshold, therefore, represents a more conservative impact on the most immediate areas surrounding stations. The half-mile treatment area encompassed </w:t>
      </w:r>
      <w:r w:rsidR="00C52329">
        <w:rPr>
          <w:rFonts w:ascii="Times New Roman" w:hAnsi="Times New Roman" w:cs="Times New Roman"/>
        </w:rPr>
        <w:t>2605</w:t>
      </w:r>
      <w:r>
        <w:rPr>
          <w:rFonts w:ascii="Times New Roman" w:hAnsi="Times New Roman" w:cs="Times New Roman"/>
        </w:rPr>
        <w:t xml:space="preserve"> properties that sold at least once during our study period.</w:t>
      </w:r>
    </w:p>
    <w:p w14:paraId="32A6F380" w14:textId="5B9377DE" w:rsidR="001F6030" w:rsidRDefault="00FB71AB" w:rsidP="00AB3615">
      <w:pPr>
        <w:spacing w:line="360" w:lineRule="auto"/>
        <w:rPr>
          <w:rFonts w:ascii="Times New Roman" w:hAnsi="Times New Roman" w:cs="Times New Roman"/>
          <w:b/>
          <w:bCs/>
        </w:rPr>
      </w:pPr>
      <w:r w:rsidRPr="00FB71AB">
        <w:rPr>
          <w:rFonts w:ascii="Times New Roman" w:hAnsi="Times New Roman" w:cs="Times New Roman"/>
          <w:b/>
          <w:bCs/>
          <w:i/>
          <w:iCs/>
        </w:rPr>
        <w:t>2.3.</w:t>
      </w:r>
      <w:r>
        <w:rPr>
          <w:rFonts w:ascii="Times New Roman" w:hAnsi="Times New Roman" w:cs="Times New Roman"/>
          <w:b/>
          <w:bCs/>
          <w:i/>
          <w:iCs/>
        </w:rPr>
        <w:t>7</w:t>
      </w:r>
      <w:r w:rsidRPr="00FB71AB">
        <w:rPr>
          <w:rFonts w:ascii="Times New Roman" w:hAnsi="Times New Roman" w:cs="Times New Roman"/>
          <w:b/>
          <w:bCs/>
          <w:i/>
          <w:iCs/>
        </w:rPr>
        <w:t xml:space="preserve"> </w:t>
      </w:r>
      <w:r w:rsidR="001F6030" w:rsidRPr="00FB71AB">
        <w:rPr>
          <w:rFonts w:ascii="Times New Roman" w:hAnsi="Times New Roman" w:cs="Times New Roman"/>
          <w:b/>
          <w:bCs/>
          <w:i/>
          <w:iCs/>
        </w:rPr>
        <w:t>Control Group Selection Strategies</w:t>
      </w:r>
    </w:p>
    <w:p w14:paraId="46E8D729" w14:textId="5FEA3187" w:rsidR="001F6030" w:rsidRDefault="008E47FA" w:rsidP="002D679B">
      <w:pPr>
        <w:spacing w:line="360" w:lineRule="auto"/>
        <w:ind w:firstLine="360"/>
        <w:rPr>
          <w:rFonts w:ascii="Times New Roman" w:hAnsi="Times New Roman" w:cs="Times New Roman"/>
        </w:rPr>
      </w:pPr>
      <w:r>
        <w:rPr>
          <w:rFonts w:ascii="Times New Roman" w:hAnsi="Times New Roman" w:cs="Times New Roman"/>
        </w:rPr>
        <w:t xml:space="preserve">The methodological challenge we will </w:t>
      </w:r>
      <w:r w:rsidR="00C52329">
        <w:rPr>
          <w:rFonts w:ascii="Times New Roman" w:hAnsi="Times New Roman" w:cs="Times New Roman"/>
        </w:rPr>
        <w:t>illustrate</w:t>
      </w:r>
      <w:r>
        <w:rPr>
          <w:rFonts w:ascii="Times New Roman" w:hAnsi="Times New Roman" w:cs="Times New Roman"/>
        </w:rPr>
        <w:t xml:space="preserve"> in this example is the impact of selecting control neighborhoods on our analysis. The goal </w:t>
      </w:r>
      <w:r w:rsidR="00C52329">
        <w:rPr>
          <w:rFonts w:ascii="Times New Roman" w:hAnsi="Times New Roman" w:cs="Times New Roman"/>
        </w:rPr>
        <w:t>of</w:t>
      </w:r>
      <w:r>
        <w:rPr>
          <w:rFonts w:ascii="Times New Roman" w:hAnsi="Times New Roman" w:cs="Times New Roman"/>
        </w:rPr>
        <w:t xml:space="preserve"> </w:t>
      </w:r>
      <w:r w:rsidR="00C52329">
        <w:rPr>
          <w:rFonts w:ascii="Times New Roman" w:hAnsi="Times New Roman" w:cs="Times New Roman"/>
        </w:rPr>
        <w:t>select</w:t>
      </w:r>
      <w:r>
        <w:rPr>
          <w:rFonts w:ascii="Times New Roman" w:hAnsi="Times New Roman" w:cs="Times New Roman"/>
        </w:rPr>
        <w:t xml:space="preserve">ing an appropriate control group is to </w:t>
      </w:r>
      <w:r w:rsidR="00C52329">
        <w:rPr>
          <w:rFonts w:ascii="Times New Roman" w:hAnsi="Times New Roman" w:cs="Times New Roman"/>
        </w:rPr>
        <w:lastRenderedPageBreak/>
        <w:t>identify</w:t>
      </w:r>
      <w:r>
        <w:rPr>
          <w:rFonts w:ascii="Times New Roman" w:hAnsi="Times New Roman" w:cs="Times New Roman"/>
        </w:rPr>
        <w:t xml:space="preserve"> properties that </w:t>
      </w:r>
      <w:r w:rsidR="00C52329">
        <w:rPr>
          <w:rFonts w:ascii="Times New Roman" w:hAnsi="Times New Roman" w:cs="Times New Roman"/>
        </w:rPr>
        <w:t>sh</w:t>
      </w:r>
      <w:r>
        <w:rPr>
          <w:rFonts w:ascii="Times New Roman" w:hAnsi="Times New Roman" w:cs="Times New Roman"/>
        </w:rPr>
        <w:t xml:space="preserve">are similar </w:t>
      </w:r>
      <w:r w:rsidR="00C52329">
        <w:rPr>
          <w:rFonts w:ascii="Times New Roman" w:hAnsi="Times New Roman" w:cs="Times New Roman"/>
        </w:rPr>
        <w:t xml:space="preserve">observable characteristics </w:t>
      </w:r>
      <w:r>
        <w:rPr>
          <w:rFonts w:ascii="Times New Roman" w:hAnsi="Times New Roman" w:cs="Times New Roman"/>
        </w:rPr>
        <w:t xml:space="preserve">to the treatment </w:t>
      </w:r>
      <w:r w:rsidR="00306F3E">
        <w:rPr>
          <w:rFonts w:ascii="Times New Roman" w:hAnsi="Times New Roman" w:cs="Times New Roman"/>
        </w:rPr>
        <w:t>properties but</w:t>
      </w:r>
      <w:r>
        <w:rPr>
          <w:rFonts w:ascii="Times New Roman" w:hAnsi="Times New Roman" w:cs="Times New Roman"/>
        </w:rPr>
        <w:t xml:space="preserve"> have not been exposed to </w:t>
      </w:r>
      <w:r w:rsidR="00160A66">
        <w:rPr>
          <w:rFonts w:ascii="Times New Roman" w:hAnsi="Times New Roman" w:cs="Times New Roman"/>
        </w:rPr>
        <w:t>a</w:t>
      </w:r>
      <w:r>
        <w:rPr>
          <w:rFonts w:ascii="Times New Roman" w:hAnsi="Times New Roman" w:cs="Times New Roman"/>
        </w:rPr>
        <w:t xml:space="preserve"> transit intervention. </w:t>
      </w:r>
      <w:r w:rsidR="00160A66">
        <w:rPr>
          <w:rFonts w:ascii="Times New Roman" w:hAnsi="Times New Roman" w:cs="Times New Roman"/>
        </w:rPr>
        <w:t xml:space="preserve">For this reason, </w:t>
      </w:r>
      <w:r w:rsidR="007D4307">
        <w:rPr>
          <w:rFonts w:ascii="Times New Roman" w:hAnsi="Times New Roman" w:cs="Times New Roman"/>
        </w:rPr>
        <w:t>across</w:t>
      </w:r>
      <w:r w:rsidR="00160A66">
        <w:rPr>
          <w:rFonts w:ascii="Times New Roman" w:hAnsi="Times New Roman" w:cs="Times New Roman"/>
        </w:rPr>
        <w:t xml:space="preserve"> all strategies, properties within 0.5-1.5 mile of Blue Line Extension stations as well as properties within 1.5 mile of stations belonging to the original Blue Line</w:t>
      </w:r>
      <w:r w:rsidR="007D4307" w:rsidRPr="007D4307">
        <w:rPr>
          <w:rFonts w:ascii="Times New Roman" w:hAnsi="Times New Roman" w:cs="Times New Roman"/>
        </w:rPr>
        <w:t xml:space="preserve"> </w:t>
      </w:r>
      <w:r w:rsidR="007D4307">
        <w:rPr>
          <w:rFonts w:ascii="Times New Roman" w:hAnsi="Times New Roman" w:cs="Times New Roman"/>
        </w:rPr>
        <w:t>are excluded for consideration as potential controls</w:t>
      </w:r>
      <w:r w:rsidR="00160A66">
        <w:rPr>
          <w:rFonts w:ascii="Times New Roman" w:hAnsi="Times New Roman" w:cs="Times New Roman"/>
        </w:rPr>
        <w:t xml:space="preserve">. </w:t>
      </w:r>
      <w:r>
        <w:rPr>
          <w:rFonts w:ascii="Times New Roman" w:hAnsi="Times New Roman" w:cs="Times New Roman"/>
        </w:rPr>
        <w:t>We implement nine different strategies for selecting controls, progressively refining the comparison group from broad geographic comparisons to carefully matched samples, and we examine the resulting outcomes.</w:t>
      </w:r>
      <w:r w:rsidR="00840121">
        <w:rPr>
          <w:rFonts w:ascii="Times New Roman" w:hAnsi="Times New Roman" w:cs="Times New Roman"/>
        </w:rPr>
        <w:t xml:space="preserve"> These control groups are described below and visualized spatially in Figure 1.</w:t>
      </w:r>
      <w:r w:rsidR="000E5FF3">
        <w:rPr>
          <w:rFonts w:ascii="Times New Roman" w:hAnsi="Times New Roman" w:cs="Times New Roman"/>
        </w:rPr>
        <w:t xml:space="preserve"> </w:t>
      </w:r>
    </w:p>
    <w:p w14:paraId="7D5D240B" w14:textId="5979864E" w:rsidR="00BC134A" w:rsidRDefault="00BC134A" w:rsidP="00BC134A">
      <w:pPr>
        <w:pStyle w:val="ListParagraph"/>
        <w:numPr>
          <w:ilvl w:val="0"/>
          <w:numId w:val="3"/>
        </w:numPr>
        <w:spacing w:line="360" w:lineRule="auto"/>
        <w:rPr>
          <w:rFonts w:ascii="Times New Roman" w:hAnsi="Times New Roman" w:cs="Times New Roman"/>
        </w:rPr>
      </w:pPr>
      <w:r>
        <w:rPr>
          <w:rFonts w:ascii="Times New Roman" w:hAnsi="Times New Roman" w:cs="Times New Roman"/>
          <w:i/>
          <w:iCs/>
        </w:rPr>
        <w:t>Rest of County</w:t>
      </w:r>
      <w:r>
        <w:rPr>
          <w:rFonts w:ascii="Times New Roman" w:hAnsi="Times New Roman" w:cs="Times New Roman"/>
        </w:rPr>
        <w:t xml:space="preserve"> – Our broadest comparison uses all single-family properties in Mecklenburg County that are outside of the treatment area and more than 1.5 miles from the original Blue Line. This approach makes minimal assumptions about what constitutes an appropriate comparison but compares properties across vastly different contexts</w:t>
      </w:r>
      <w:r w:rsidR="00306F3E">
        <w:rPr>
          <w:rFonts w:ascii="Times New Roman" w:hAnsi="Times New Roman" w:cs="Times New Roman"/>
        </w:rPr>
        <w:t xml:space="preserve">, </w:t>
      </w:r>
      <w:r>
        <w:rPr>
          <w:rFonts w:ascii="Times New Roman" w:hAnsi="Times New Roman" w:cs="Times New Roman"/>
        </w:rPr>
        <w:t>from urban to suburban neighborhoods.</w:t>
      </w:r>
    </w:p>
    <w:p w14:paraId="6739D668" w14:textId="35C8F129" w:rsidR="00BC134A" w:rsidRDefault="00840121" w:rsidP="00BC134A">
      <w:pPr>
        <w:pStyle w:val="ListParagraph"/>
        <w:numPr>
          <w:ilvl w:val="0"/>
          <w:numId w:val="3"/>
        </w:numPr>
        <w:spacing w:line="360" w:lineRule="auto"/>
        <w:rPr>
          <w:rFonts w:ascii="Times New Roman" w:hAnsi="Times New Roman" w:cs="Times New Roman"/>
        </w:rPr>
      </w:pPr>
      <w:r>
        <w:rPr>
          <w:rFonts w:ascii="Times New Roman" w:hAnsi="Times New Roman" w:cs="Times New Roman"/>
          <w:i/>
          <w:iCs/>
        </w:rPr>
        <w:t xml:space="preserve">Distance </w:t>
      </w:r>
      <w:r>
        <w:rPr>
          <w:rFonts w:ascii="Times New Roman" w:hAnsi="Times New Roman" w:cs="Times New Roman"/>
        </w:rPr>
        <w:t xml:space="preserve">– This strategy restricts controls to properties located between 1.5 and 3 miles from any Blue Line Extension station. The logic is that these properties are geographically proximate to treatment properties, but far enough away to avoid direct transit capitalization effects. This essentially creates a ‘doughnut’ around the stations, balancing geographic similarity while maintaining </w:t>
      </w:r>
      <w:r w:rsidR="00A77D60">
        <w:rPr>
          <w:rFonts w:ascii="Times New Roman" w:hAnsi="Times New Roman" w:cs="Times New Roman"/>
        </w:rPr>
        <w:t>separation between treatment and control</w:t>
      </w:r>
      <w:r>
        <w:rPr>
          <w:rFonts w:ascii="Times New Roman" w:hAnsi="Times New Roman" w:cs="Times New Roman"/>
        </w:rPr>
        <w:t>.</w:t>
      </w:r>
    </w:p>
    <w:p w14:paraId="098B8246" w14:textId="25F9E288" w:rsidR="00840121" w:rsidRDefault="00840121" w:rsidP="00BC134A">
      <w:pPr>
        <w:pStyle w:val="ListParagraph"/>
        <w:numPr>
          <w:ilvl w:val="0"/>
          <w:numId w:val="3"/>
        </w:numPr>
        <w:spacing w:line="360" w:lineRule="auto"/>
        <w:rPr>
          <w:rFonts w:ascii="Times New Roman" w:hAnsi="Times New Roman" w:cs="Times New Roman"/>
        </w:rPr>
      </w:pPr>
      <w:r>
        <w:rPr>
          <w:rFonts w:ascii="Times New Roman" w:hAnsi="Times New Roman" w:cs="Times New Roman"/>
          <w:i/>
          <w:iCs/>
        </w:rPr>
        <w:t>Planned Stations</w:t>
      </w:r>
      <w:r>
        <w:rPr>
          <w:rFonts w:ascii="Times New Roman" w:hAnsi="Times New Roman" w:cs="Times New Roman"/>
        </w:rPr>
        <w:t xml:space="preserve"> – Charlotte’s transit planning process identified potential future station locations along corridors that were studied but not built. We used properties within 0.5 miles of these planned</w:t>
      </w:r>
      <w:r w:rsidR="00A77D60">
        <w:rPr>
          <w:rFonts w:ascii="Times New Roman" w:hAnsi="Times New Roman" w:cs="Times New Roman"/>
        </w:rPr>
        <w:t xml:space="preserve"> but not </w:t>
      </w:r>
      <w:r>
        <w:rPr>
          <w:rFonts w:ascii="Times New Roman" w:hAnsi="Times New Roman" w:cs="Times New Roman"/>
        </w:rPr>
        <w:t>built stations as controls. These areas were deemed suitable for transit investment by planners, suggesting similar underlying characteristics to areas that received stations, but without the actual intervention.</w:t>
      </w:r>
    </w:p>
    <w:p w14:paraId="5E273108" w14:textId="4339FC98" w:rsidR="000A30A7" w:rsidRDefault="00840121" w:rsidP="00840121">
      <w:pPr>
        <w:spacing w:line="360" w:lineRule="auto"/>
        <w:ind w:left="360"/>
        <w:rPr>
          <w:rFonts w:ascii="Times New Roman" w:hAnsi="Times New Roman" w:cs="Times New Roman"/>
        </w:rPr>
      </w:pPr>
      <w:r w:rsidRPr="00840121">
        <w:rPr>
          <w:rFonts w:ascii="Times New Roman" w:hAnsi="Times New Roman" w:cs="Times New Roman"/>
        </w:rPr>
        <w:t xml:space="preserve">4-6. </w:t>
      </w:r>
      <w:r w:rsidRPr="00840121">
        <w:rPr>
          <w:rFonts w:ascii="Times New Roman" w:hAnsi="Times New Roman" w:cs="Times New Roman"/>
          <w:i/>
          <w:iCs/>
        </w:rPr>
        <w:t>Propensity Score Matching (PSM)</w:t>
      </w:r>
      <w:r>
        <w:rPr>
          <w:rFonts w:ascii="Times New Roman" w:hAnsi="Times New Roman" w:cs="Times New Roman"/>
        </w:rPr>
        <w:t xml:space="preserve"> </w:t>
      </w:r>
      <w:r w:rsidR="00D35207">
        <w:rPr>
          <w:rFonts w:ascii="Times New Roman" w:hAnsi="Times New Roman" w:cs="Times New Roman"/>
        </w:rPr>
        <w:t>– the three PSM approaches described above (</w:t>
      </w:r>
      <w:proofErr w:type="spellStart"/>
      <w:r w:rsidR="00D35207">
        <w:rPr>
          <w:rFonts w:ascii="Times New Roman" w:hAnsi="Times New Roman" w:cs="Times New Roman"/>
          <w:i/>
          <w:iCs/>
        </w:rPr>
        <w:t>PSMpro</w:t>
      </w:r>
      <w:r w:rsidR="007176C7">
        <w:rPr>
          <w:rFonts w:ascii="Times New Roman" w:hAnsi="Times New Roman" w:cs="Times New Roman"/>
          <w:i/>
          <w:iCs/>
        </w:rPr>
        <w:t>p</w:t>
      </w:r>
      <w:proofErr w:type="spellEnd"/>
      <w:r w:rsidR="00D35207">
        <w:rPr>
          <w:rFonts w:ascii="Times New Roman" w:hAnsi="Times New Roman" w:cs="Times New Roman"/>
          <w:i/>
          <w:iCs/>
        </w:rPr>
        <w:t xml:space="preserve">, </w:t>
      </w:r>
      <w:proofErr w:type="spellStart"/>
      <w:r w:rsidR="00D35207" w:rsidRPr="00840121">
        <w:rPr>
          <w:rFonts w:ascii="Times New Roman" w:hAnsi="Times New Roman" w:cs="Times New Roman"/>
          <w:i/>
          <w:iCs/>
        </w:rPr>
        <w:t>PSMneig</w:t>
      </w:r>
      <w:proofErr w:type="spellEnd"/>
      <w:r w:rsidR="00D35207">
        <w:rPr>
          <w:rFonts w:ascii="Times New Roman" w:hAnsi="Times New Roman" w:cs="Times New Roman"/>
          <w:i/>
          <w:iCs/>
        </w:rPr>
        <w:t xml:space="preserve">, </w:t>
      </w:r>
      <w:proofErr w:type="spellStart"/>
      <w:r w:rsidR="00D35207" w:rsidRPr="00840121">
        <w:rPr>
          <w:rFonts w:ascii="Times New Roman" w:hAnsi="Times New Roman" w:cs="Times New Roman"/>
          <w:i/>
          <w:iCs/>
        </w:rPr>
        <w:t>PSMboth</w:t>
      </w:r>
      <w:proofErr w:type="spellEnd"/>
      <w:r w:rsidR="00D35207">
        <w:rPr>
          <w:rFonts w:ascii="Times New Roman" w:hAnsi="Times New Roman" w:cs="Times New Roman"/>
          <w:i/>
          <w:iCs/>
        </w:rPr>
        <w:t>)</w:t>
      </w:r>
    </w:p>
    <w:p w14:paraId="7C371A3B" w14:textId="3FF42EC5" w:rsidR="0066322F" w:rsidRDefault="0066322F" w:rsidP="00FB71AB">
      <w:pPr>
        <w:spacing w:line="360" w:lineRule="auto"/>
        <w:ind w:left="360"/>
        <w:rPr>
          <w:rFonts w:ascii="Times New Roman" w:hAnsi="Times New Roman" w:cs="Times New Roman"/>
        </w:rPr>
      </w:pPr>
      <w:r>
        <w:rPr>
          <w:rFonts w:ascii="Times New Roman" w:hAnsi="Times New Roman" w:cs="Times New Roman"/>
        </w:rPr>
        <w:t xml:space="preserve">7-9. </w:t>
      </w:r>
      <w:r>
        <w:rPr>
          <w:rFonts w:ascii="Times New Roman" w:hAnsi="Times New Roman" w:cs="Times New Roman"/>
          <w:i/>
          <w:iCs/>
        </w:rPr>
        <w:t>Coarsened Exact Matching (CEM)</w:t>
      </w:r>
      <w:r w:rsidR="00306F3E">
        <w:rPr>
          <w:rFonts w:ascii="Times New Roman" w:hAnsi="Times New Roman" w:cs="Times New Roman"/>
          <w:i/>
          <w:iCs/>
        </w:rPr>
        <w:t xml:space="preserve"> </w:t>
      </w:r>
      <w:r w:rsidR="007176C7">
        <w:rPr>
          <w:rFonts w:ascii="Times New Roman" w:hAnsi="Times New Roman" w:cs="Times New Roman"/>
          <w:i/>
          <w:iCs/>
        </w:rPr>
        <w:t xml:space="preserve">– </w:t>
      </w:r>
      <w:r w:rsidR="007176C7">
        <w:rPr>
          <w:rFonts w:ascii="Times New Roman" w:hAnsi="Times New Roman" w:cs="Times New Roman"/>
        </w:rPr>
        <w:t>the three CEM approaches detailed above (</w:t>
      </w:r>
      <w:proofErr w:type="spellStart"/>
      <w:r w:rsidR="007176C7">
        <w:rPr>
          <w:rFonts w:ascii="Times New Roman" w:hAnsi="Times New Roman" w:cs="Times New Roman"/>
          <w:i/>
          <w:iCs/>
        </w:rPr>
        <w:t>CEMprop</w:t>
      </w:r>
      <w:proofErr w:type="spellEnd"/>
      <w:r w:rsidR="007176C7">
        <w:rPr>
          <w:rFonts w:ascii="Times New Roman" w:hAnsi="Times New Roman" w:cs="Times New Roman"/>
          <w:i/>
          <w:iCs/>
        </w:rPr>
        <w:t xml:space="preserve">, </w:t>
      </w:r>
      <w:proofErr w:type="spellStart"/>
      <w:r w:rsidR="007176C7">
        <w:rPr>
          <w:rFonts w:ascii="Times New Roman" w:hAnsi="Times New Roman" w:cs="Times New Roman"/>
          <w:i/>
          <w:iCs/>
        </w:rPr>
        <w:t>CEM</w:t>
      </w:r>
      <w:r w:rsidR="007176C7" w:rsidRPr="00840121">
        <w:rPr>
          <w:rFonts w:ascii="Times New Roman" w:hAnsi="Times New Roman" w:cs="Times New Roman"/>
          <w:i/>
          <w:iCs/>
        </w:rPr>
        <w:t>neig</w:t>
      </w:r>
      <w:proofErr w:type="spellEnd"/>
      <w:r w:rsidR="007176C7">
        <w:rPr>
          <w:rFonts w:ascii="Times New Roman" w:hAnsi="Times New Roman" w:cs="Times New Roman"/>
          <w:i/>
          <w:iCs/>
        </w:rPr>
        <w:t xml:space="preserve">, </w:t>
      </w:r>
      <w:proofErr w:type="spellStart"/>
      <w:r w:rsidR="007176C7">
        <w:rPr>
          <w:rFonts w:ascii="Times New Roman" w:hAnsi="Times New Roman" w:cs="Times New Roman"/>
          <w:i/>
          <w:iCs/>
        </w:rPr>
        <w:t>CEM</w:t>
      </w:r>
      <w:r w:rsidR="007176C7" w:rsidRPr="00840121">
        <w:rPr>
          <w:rFonts w:ascii="Times New Roman" w:hAnsi="Times New Roman" w:cs="Times New Roman"/>
          <w:i/>
          <w:iCs/>
        </w:rPr>
        <w:t>bot</w:t>
      </w:r>
      <w:r w:rsidR="0056722C">
        <w:rPr>
          <w:rFonts w:ascii="Times New Roman" w:hAnsi="Times New Roman" w:cs="Times New Roman"/>
          <w:i/>
          <w:iCs/>
        </w:rPr>
        <w:t>h</w:t>
      </w:r>
      <w:proofErr w:type="spellEnd"/>
      <w:r w:rsidR="007176C7">
        <w:rPr>
          <w:rFonts w:ascii="Times New Roman" w:hAnsi="Times New Roman" w:cs="Times New Roman"/>
        </w:rPr>
        <w:t>)</w:t>
      </w:r>
    </w:p>
    <w:p w14:paraId="54C629B6" w14:textId="325C0AC9" w:rsidR="002D51AC" w:rsidRDefault="00510078" w:rsidP="0066322F">
      <w:pPr>
        <w:spacing w:line="360" w:lineRule="auto"/>
        <w:rPr>
          <w:rFonts w:ascii="Times New Roman" w:hAnsi="Times New Roman" w:cs="Times New Roman"/>
          <w:b/>
          <w:bCs/>
        </w:rPr>
      </w:pPr>
      <w:r>
        <w:rPr>
          <w:rFonts w:ascii="Times New Roman" w:hAnsi="Times New Roman" w:cs="Times New Roman"/>
          <w:b/>
          <w:bCs/>
        </w:rPr>
        <w:t xml:space="preserve">3. </w:t>
      </w:r>
      <w:r w:rsidR="002D51AC" w:rsidRPr="002D51AC">
        <w:rPr>
          <w:rFonts w:ascii="Times New Roman" w:hAnsi="Times New Roman" w:cs="Times New Roman"/>
          <w:b/>
          <w:bCs/>
        </w:rPr>
        <w:t>Results</w:t>
      </w:r>
    </w:p>
    <w:p w14:paraId="34409358" w14:textId="552CCD9F" w:rsidR="002D51AC" w:rsidRPr="00510078" w:rsidRDefault="00510078" w:rsidP="0066322F">
      <w:pPr>
        <w:spacing w:line="360" w:lineRule="auto"/>
        <w:rPr>
          <w:rFonts w:ascii="Times New Roman" w:hAnsi="Times New Roman" w:cs="Times New Roman"/>
        </w:rPr>
      </w:pPr>
      <w:r w:rsidRPr="00A62F95">
        <w:rPr>
          <w:rFonts w:ascii="Times New Roman" w:hAnsi="Times New Roman" w:cs="Times New Roman"/>
          <w:b/>
          <w:bCs/>
        </w:rPr>
        <w:lastRenderedPageBreak/>
        <w:t xml:space="preserve">3.1 </w:t>
      </w:r>
      <w:r w:rsidR="002D51AC" w:rsidRPr="00A62F95">
        <w:rPr>
          <w:rFonts w:ascii="Times New Roman" w:hAnsi="Times New Roman" w:cs="Times New Roman"/>
          <w:b/>
          <w:bCs/>
        </w:rPr>
        <w:t>Treatment and Control Selection</w:t>
      </w:r>
    </w:p>
    <w:p w14:paraId="7E522333" w14:textId="0901BF3E" w:rsidR="00C13529" w:rsidRPr="007176C7" w:rsidRDefault="00C13529" w:rsidP="00E72760">
      <w:pPr>
        <w:spacing w:line="360" w:lineRule="auto"/>
        <w:ind w:firstLine="720"/>
        <w:rPr>
          <w:rFonts w:ascii="Times New Roman" w:hAnsi="Times New Roman" w:cs="Times New Roman"/>
        </w:rPr>
      </w:pPr>
      <w:r>
        <w:rPr>
          <w:rFonts w:ascii="Times New Roman" w:hAnsi="Times New Roman" w:cs="Times New Roman"/>
        </w:rPr>
        <w:t xml:space="preserve">Figure 1 illustrates the resulting treatment and control selections using each of the </w:t>
      </w:r>
      <w:r w:rsidR="00110D4B">
        <w:rPr>
          <w:rFonts w:ascii="Times New Roman" w:hAnsi="Times New Roman" w:cs="Times New Roman"/>
        </w:rPr>
        <w:t>nine</w:t>
      </w:r>
      <w:r>
        <w:rPr>
          <w:rFonts w:ascii="Times New Roman" w:hAnsi="Times New Roman" w:cs="Times New Roman"/>
        </w:rPr>
        <w:t xml:space="preserve"> approaches defined above.</w:t>
      </w:r>
      <w:r w:rsidR="00C712C6">
        <w:rPr>
          <w:rFonts w:ascii="Times New Roman" w:hAnsi="Times New Roman" w:cs="Times New Roman"/>
        </w:rPr>
        <w:t xml:space="preserve"> Naturally, the geographic extent of the control properties for the rest of the country is vast. The </w:t>
      </w:r>
      <w:proofErr w:type="spellStart"/>
      <w:r w:rsidR="00C712C6">
        <w:rPr>
          <w:rFonts w:ascii="Times New Roman" w:hAnsi="Times New Roman" w:cs="Times New Roman"/>
        </w:rPr>
        <w:t>PSMprop</w:t>
      </w:r>
      <w:proofErr w:type="spellEnd"/>
      <w:r w:rsidR="00C712C6">
        <w:rPr>
          <w:rFonts w:ascii="Times New Roman" w:hAnsi="Times New Roman" w:cs="Times New Roman"/>
        </w:rPr>
        <w:t xml:space="preserve"> method reduces this set to those with properties that are structurally </w:t>
      </w:r>
      <w:proofErr w:type="gramStart"/>
      <w:r w:rsidR="00C712C6">
        <w:rPr>
          <w:rFonts w:ascii="Times New Roman" w:hAnsi="Times New Roman" w:cs="Times New Roman"/>
        </w:rPr>
        <w:t>similar to</w:t>
      </w:r>
      <w:proofErr w:type="gramEnd"/>
      <w:r w:rsidR="00C712C6">
        <w:rPr>
          <w:rFonts w:ascii="Times New Roman" w:hAnsi="Times New Roman" w:cs="Times New Roman"/>
        </w:rPr>
        <w:t xml:space="preserve"> the treatment properties along the new rail corridor (shown in pink on the maps). The CEM property method further refines the matched properties from the PSM approach. Both the PSM and CEM neighborhood methods identify census tracts that are most </w:t>
      </w:r>
      <w:proofErr w:type="gramStart"/>
      <w:r w:rsidR="00C712C6">
        <w:rPr>
          <w:rFonts w:ascii="Times New Roman" w:hAnsi="Times New Roman" w:cs="Times New Roman"/>
        </w:rPr>
        <w:t>similar to</w:t>
      </w:r>
      <w:proofErr w:type="gramEnd"/>
      <w:r w:rsidR="00C712C6">
        <w:rPr>
          <w:rFonts w:ascii="Times New Roman" w:hAnsi="Times New Roman" w:cs="Times New Roman"/>
        </w:rPr>
        <w:t xml:space="preserve"> the treatment tracts</w:t>
      </w:r>
      <w:r w:rsidR="00A70F6C">
        <w:rPr>
          <w:rFonts w:ascii="Times New Roman" w:hAnsi="Times New Roman" w:cs="Times New Roman"/>
        </w:rPr>
        <w:t>. W</w:t>
      </w:r>
      <w:r w:rsidR="00C712C6">
        <w:rPr>
          <w:rFonts w:ascii="Times New Roman" w:hAnsi="Times New Roman" w:cs="Times New Roman"/>
        </w:rPr>
        <w:t xml:space="preserve">e can also visually observe how restrictive the CEM method is in only selecting </w:t>
      </w:r>
      <w:r w:rsidR="00110D4B">
        <w:rPr>
          <w:rFonts w:ascii="Times New Roman" w:hAnsi="Times New Roman" w:cs="Times New Roman"/>
        </w:rPr>
        <w:t xml:space="preserve">few, </w:t>
      </w:r>
      <w:r w:rsidR="00C712C6">
        <w:rPr>
          <w:rFonts w:ascii="Times New Roman" w:hAnsi="Times New Roman" w:cs="Times New Roman"/>
        </w:rPr>
        <w:t>very similar neighborhoods and properties. All methods beyond using the entire county as the control remove observations from the more outlying suburban portions of the county, as these are generally not comparable to the treatment areas and likely have a different set of dynamics shaping their housing markets.</w:t>
      </w:r>
    </w:p>
    <w:p w14:paraId="38C4924C" w14:textId="51843F27" w:rsidR="00840121" w:rsidRDefault="00231BBD" w:rsidP="00A62F95">
      <w:pPr>
        <w:pStyle w:val="Caption"/>
        <w:keepNext/>
        <w:rPr>
          <w:rFonts w:ascii="Times New Roman" w:hAnsi="Times New Roman" w:cs="Times New Roman"/>
        </w:rPr>
      </w:pPr>
      <w:r>
        <w:t>[</w:t>
      </w:r>
      <w:r w:rsidR="00AF3C69">
        <w:t xml:space="preserve">Figure </w:t>
      </w:r>
      <w:r w:rsidR="009D368F">
        <w:rPr>
          <w:i w:val="0"/>
          <w:iCs w:val="0"/>
        </w:rPr>
        <w:fldChar w:fldCharType="begin"/>
      </w:r>
      <w:r w:rsidR="009D368F">
        <w:rPr>
          <w:i w:val="0"/>
          <w:iCs w:val="0"/>
        </w:rPr>
        <w:instrText xml:space="preserve"> SEQ Table \* ARABIC </w:instrText>
      </w:r>
      <w:r w:rsidR="009D368F">
        <w:rPr>
          <w:i w:val="0"/>
          <w:iCs w:val="0"/>
        </w:rPr>
        <w:fldChar w:fldCharType="separate"/>
      </w:r>
      <w:r w:rsidR="009D368F">
        <w:rPr>
          <w:noProof/>
        </w:rPr>
        <w:t>1</w:t>
      </w:r>
      <w:r w:rsidR="009D368F">
        <w:rPr>
          <w:i w:val="0"/>
          <w:iCs w:val="0"/>
          <w:noProof/>
          <w:color w:val="auto"/>
          <w:sz w:val="24"/>
          <w:szCs w:val="24"/>
        </w:rPr>
        <w:fldChar w:fldCharType="end"/>
      </w:r>
      <w:r w:rsidR="002C293B">
        <w:t>. Visualization of treatment and control selections using 9 different techniques.</w:t>
      </w:r>
      <w:r>
        <w:t>]</w:t>
      </w:r>
      <w:r w:rsidDel="00231BBD">
        <w:t xml:space="preserve"> </w:t>
      </w:r>
    </w:p>
    <w:p w14:paraId="366A2A67" w14:textId="495B8ACD" w:rsidR="005E3617" w:rsidRDefault="002C293B" w:rsidP="00840121">
      <w:pPr>
        <w:spacing w:line="360" w:lineRule="auto"/>
        <w:rPr>
          <w:rFonts w:ascii="Times New Roman" w:hAnsi="Times New Roman" w:cs="Times New Roman"/>
        </w:rPr>
      </w:pPr>
      <w:r>
        <w:rPr>
          <w:rFonts w:ascii="Times New Roman" w:hAnsi="Times New Roman" w:cs="Times New Roman"/>
        </w:rPr>
        <w:tab/>
        <w:t xml:space="preserve">We now compare descriptive statistics of properties selected as treatment and controls using each of the nine techniques. Table A1 in the Appendix presents a comprehensive set of descriptive statistics, while Table 1 summarizes the differences in means between the treatment and control groups using each approach. Numbers highlighted in bold are significant differences. To better visualize this large table, Figure 2 displays the absolute standardized mean differences for each variable across all nine control selection strategies. Points closer to zero indicate better balance between treatment and control groups, with vertical lines marking thresholds for excellent balance (|SMD|&lt;0.1) and acceptable balance (|SMD|&lt;0.25). </w:t>
      </w:r>
    </w:p>
    <w:p w14:paraId="40A547A6" w14:textId="35F42089" w:rsidR="002C293B" w:rsidRDefault="002C293B" w:rsidP="002C293B">
      <w:pPr>
        <w:pStyle w:val="Caption"/>
        <w:keepNext/>
      </w:pPr>
      <w:r>
        <w:t xml:space="preserve">Table </w:t>
      </w:r>
      <w:r w:rsidR="002B03B2">
        <w:t>1</w:t>
      </w:r>
      <w:r>
        <w:t>. Differences in means between treatment and control properties using each of the 9 selection techniques. Numbers that are bolded depict significant differences between treatment and controls.</w:t>
      </w:r>
    </w:p>
    <w:tbl>
      <w:tblPr>
        <w:tblW w:w="5000" w:type="pct"/>
        <w:jc w:val="center"/>
        <w:tblLook w:val="0420" w:firstRow="1" w:lastRow="0" w:firstColumn="0" w:lastColumn="0" w:noHBand="0" w:noVBand="1"/>
      </w:tblPr>
      <w:tblGrid>
        <w:gridCol w:w="1192"/>
        <w:gridCol w:w="882"/>
        <w:gridCol w:w="882"/>
        <w:gridCol w:w="842"/>
        <w:gridCol w:w="932"/>
        <w:gridCol w:w="912"/>
        <w:gridCol w:w="922"/>
        <w:gridCol w:w="942"/>
        <w:gridCol w:w="922"/>
        <w:gridCol w:w="932"/>
      </w:tblGrid>
      <w:tr w:rsidR="002C293B" w:rsidRPr="00747380" w14:paraId="679FF978" w14:textId="77777777" w:rsidTr="00A4282B">
        <w:trPr>
          <w:tblHeader/>
          <w:jc w:val="center"/>
        </w:trPr>
        <w:tc>
          <w:tcPr>
            <w:tcW w:w="92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09E68E"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p>
        </w:tc>
        <w:tc>
          <w:tcPr>
            <w:tcW w:w="45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DE93C7"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Rest</w:t>
            </w:r>
          </w:p>
        </w:tc>
        <w:tc>
          <w:tcPr>
            <w:tcW w:w="45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D809FD"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Distance</w:t>
            </w:r>
          </w:p>
        </w:tc>
        <w:tc>
          <w:tcPr>
            <w:tcW w:w="45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0420CD"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Planned</w:t>
            </w:r>
          </w:p>
        </w:tc>
        <w:tc>
          <w:tcPr>
            <w:tcW w:w="45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6B35E8"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proofErr w:type="spellStart"/>
            <w:r w:rsidRPr="00747380">
              <w:rPr>
                <w:rFonts w:ascii="Helvetica" w:eastAsia="Helvetica" w:hAnsi="Helvetica" w:cs="Helvetica"/>
                <w:color w:val="000000"/>
                <w:sz w:val="20"/>
                <w:szCs w:val="20"/>
              </w:rPr>
              <w:t>PSMprop</w:t>
            </w:r>
            <w:proofErr w:type="spellEnd"/>
          </w:p>
        </w:tc>
        <w:tc>
          <w:tcPr>
            <w:tcW w:w="45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FFF287"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proofErr w:type="spellStart"/>
            <w:r w:rsidRPr="00747380">
              <w:rPr>
                <w:rFonts w:ascii="Helvetica" w:eastAsia="Helvetica" w:hAnsi="Helvetica" w:cs="Helvetica"/>
                <w:color w:val="000000"/>
                <w:sz w:val="20"/>
                <w:szCs w:val="20"/>
              </w:rPr>
              <w:t>PSMneig</w:t>
            </w:r>
            <w:proofErr w:type="spellEnd"/>
          </w:p>
        </w:tc>
        <w:tc>
          <w:tcPr>
            <w:tcW w:w="45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07F870"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proofErr w:type="spellStart"/>
            <w:r w:rsidRPr="00747380">
              <w:rPr>
                <w:rFonts w:ascii="Helvetica" w:eastAsia="Helvetica" w:hAnsi="Helvetica" w:cs="Helvetica"/>
                <w:color w:val="000000"/>
                <w:sz w:val="20"/>
                <w:szCs w:val="20"/>
              </w:rPr>
              <w:t>PSMboth</w:t>
            </w:r>
            <w:proofErr w:type="spellEnd"/>
          </w:p>
        </w:tc>
        <w:tc>
          <w:tcPr>
            <w:tcW w:w="45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D2C0E5"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proofErr w:type="spellStart"/>
            <w:r w:rsidRPr="00747380">
              <w:rPr>
                <w:rFonts w:ascii="Helvetica" w:eastAsia="Helvetica" w:hAnsi="Helvetica" w:cs="Helvetica"/>
                <w:color w:val="000000"/>
                <w:sz w:val="20"/>
                <w:szCs w:val="20"/>
              </w:rPr>
              <w:t>CEMprop</w:t>
            </w:r>
            <w:proofErr w:type="spellEnd"/>
          </w:p>
        </w:tc>
        <w:tc>
          <w:tcPr>
            <w:tcW w:w="45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3EF3B8"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proofErr w:type="spellStart"/>
            <w:r w:rsidRPr="00747380">
              <w:rPr>
                <w:rFonts w:ascii="Helvetica" w:eastAsia="Helvetica" w:hAnsi="Helvetica" w:cs="Helvetica"/>
                <w:color w:val="000000"/>
                <w:sz w:val="20"/>
                <w:szCs w:val="20"/>
              </w:rPr>
              <w:t>CEMneig</w:t>
            </w:r>
            <w:proofErr w:type="spellEnd"/>
          </w:p>
        </w:tc>
        <w:tc>
          <w:tcPr>
            <w:tcW w:w="45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18D494"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proofErr w:type="spellStart"/>
            <w:r w:rsidRPr="00747380">
              <w:rPr>
                <w:rFonts w:ascii="Helvetica" w:eastAsia="Helvetica" w:hAnsi="Helvetica" w:cs="Helvetica"/>
                <w:color w:val="000000"/>
                <w:sz w:val="20"/>
                <w:szCs w:val="20"/>
              </w:rPr>
              <w:t>CEMboth</w:t>
            </w:r>
            <w:proofErr w:type="spellEnd"/>
          </w:p>
        </w:tc>
      </w:tr>
      <w:tr w:rsidR="002C293B" w:rsidRPr="00747380" w14:paraId="7C6ED8C5" w14:textId="77777777" w:rsidTr="00A4282B">
        <w:trPr>
          <w:jc w:val="center"/>
        </w:trPr>
        <w:tc>
          <w:tcPr>
            <w:tcW w:w="92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26A46"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Price ($1,000)</w:t>
            </w:r>
          </w:p>
        </w:tc>
        <w:tc>
          <w:tcPr>
            <w:tcW w:w="45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3FF08" w14:textId="77777777" w:rsidR="002C293B" w:rsidRPr="00662BE9"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662BE9">
              <w:rPr>
                <w:rFonts w:ascii="Helvetica" w:eastAsia="Helvetica" w:hAnsi="Helvetica" w:cs="Helvetica"/>
                <w:b/>
                <w:bCs/>
                <w:color w:val="000000"/>
                <w:sz w:val="20"/>
                <w:szCs w:val="20"/>
              </w:rPr>
              <w:t>-98.60</w:t>
            </w:r>
          </w:p>
        </w:tc>
        <w:tc>
          <w:tcPr>
            <w:tcW w:w="45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BBCA3" w14:textId="77777777" w:rsidR="002C293B" w:rsidRPr="00662BE9"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662BE9">
              <w:rPr>
                <w:rFonts w:ascii="Helvetica" w:eastAsia="Helvetica" w:hAnsi="Helvetica" w:cs="Helvetica"/>
                <w:b/>
                <w:bCs/>
                <w:color w:val="000000"/>
                <w:sz w:val="20"/>
                <w:szCs w:val="20"/>
              </w:rPr>
              <w:t>-40.89</w:t>
            </w:r>
          </w:p>
        </w:tc>
        <w:tc>
          <w:tcPr>
            <w:tcW w:w="45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06DD1" w14:textId="77777777" w:rsidR="002C293B" w:rsidRPr="003849E5"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3849E5">
              <w:rPr>
                <w:rFonts w:ascii="Helvetica" w:eastAsia="Helvetica" w:hAnsi="Helvetica" w:cs="Helvetica"/>
                <w:b/>
                <w:bCs/>
                <w:color w:val="000000"/>
                <w:sz w:val="20"/>
                <w:szCs w:val="20"/>
              </w:rPr>
              <w:t>-21.78</w:t>
            </w:r>
          </w:p>
        </w:tc>
        <w:tc>
          <w:tcPr>
            <w:tcW w:w="45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1B209"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-3</w:t>
            </w:r>
            <w:r>
              <w:rPr>
                <w:rFonts w:ascii="Helvetica" w:eastAsia="Helvetica" w:hAnsi="Helvetica" w:cs="Helvetica"/>
                <w:color w:val="000000"/>
                <w:sz w:val="20"/>
                <w:szCs w:val="20"/>
              </w:rPr>
              <w:t>.</w:t>
            </w:r>
            <w:r w:rsidRPr="00747380">
              <w:rPr>
                <w:rFonts w:ascii="Helvetica" w:eastAsia="Helvetica" w:hAnsi="Helvetica" w:cs="Helvetica"/>
                <w:color w:val="000000"/>
                <w:sz w:val="20"/>
                <w:szCs w:val="20"/>
              </w:rPr>
              <w:t>27</w:t>
            </w:r>
          </w:p>
        </w:tc>
        <w:tc>
          <w:tcPr>
            <w:tcW w:w="45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7C536"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-2</w:t>
            </w:r>
            <w:r>
              <w:rPr>
                <w:rFonts w:ascii="Helvetica" w:eastAsia="Helvetica" w:hAnsi="Helvetica" w:cs="Helvetica"/>
                <w:color w:val="000000"/>
                <w:sz w:val="20"/>
                <w:szCs w:val="20"/>
              </w:rPr>
              <w:t>6.</w:t>
            </w:r>
            <w:r w:rsidRPr="00747380">
              <w:rPr>
                <w:rFonts w:ascii="Helvetica" w:eastAsia="Helvetica" w:hAnsi="Helvetica" w:cs="Helvetica"/>
                <w:color w:val="000000"/>
                <w:sz w:val="20"/>
                <w:szCs w:val="20"/>
              </w:rPr>
              <w:t>50</w:t>
            </w:r>
          </w:p>
        </w:tc>
        <w:tc>
          <w:tcPr>
            <w:tcW w:w="45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55619"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-7</w:t>
            </w:r>
            <w:r>
              <w:rPr>
                <w:rFonts w:ascii="Helvetica" w:eastAsia="Helvetica" w:hAnsi="Helvetica" w:cs="Helvetica"/>
                <w:color w:val="000000"/>
                <w:sz w:val="20"/>
                <w:szCs w:val="20"/>
              </w:rPr>
              <w:t>.</w:t>
            </w:r>
            <w:r w:rsidRPr="00747380">
              <w:rPr>
                <w:rFonts w:ascii="Helvetica" w:eastAsia="Helvetica" w:hAnsi="Helvetica" w:cs="Helvetica"/>
                <w:color w:val="000000"/>
                <w:sz w:val="20"/>
                <w:szCs w:val="20"/>
              </w:rPr>
              <w:t>02</w:t>
            </w:r>
          </w:p>
        </w:tc>
        <w:tc>
          <w:tcPr>
            <w:tcW w:w="45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4E0BD"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-3</w:t>
            </w:r>
            <w:r>
              <w:rPr>
                <w:rFonts w:ascii="Helvetica" w:eastAsia="Helvetica" w:hAnsi="Helvetica" w:cs="Helvetica"/>
                <w:color w:val="000000"/>
                <w:sz w:val="20"/>
                <w:szCs w:val="20"/>
              </w:rPr>
              <w:t>.</w:t>
            </w:r>
            <w:r w:rsidRPr="00747380">
              <w:rPr>
                <w:rFonts w:ascii="Helvetica" w:eastAsia="Helvetica" w:hAnsi="Helvetica" w:cs="Helvetica"/>
                <w:color w:val="000000"/>
                <w:sz w:val="20"/>
                <w:szCs w:val="20"/>
              </w:rPr>
              <w:t>04</w:t>
            </w:r>
          </w:p>
        </w:tc>
        <w:tc>
          <w:tcPr>
            <w:tcW w:w="45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E7C78"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6</w:t>
            </w:r>
            <w:r>
              <w:rPr>
                <w:rFonts w:ascii="Helvetica" w:eastAsia="Helvetica" w:hAnsi="Helvetica" w:cs="Helvetica"/>
                <w:color w:val="000000"/>
                <w:sz w:val="20"/>
                <w:szCs w:val="20"/>
              </w:rPr>
              <w:t>.</w:t>
            </w:r>
            <w:r w:rsidRPr="00747380">
              <w:rPr>
                <w:rFonts w:ascii="Helvetica" w:eastAsia="Helvetica" w:hAnsi="Helvetica" w:cs="Helvetica"/>
                <w:color w:val="000000"/>
                <w:sz w:val="20"/>
                <w:szCs w:val="20"/>
              </w:rPr>
              <w:t>88</w:t>
            </w:r>
          </w:p>
        </w:tc>
        <w:tc>
          <w:tcPr>
            <w:tcW w:w="45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9B7D9"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12</w:t>
            </w:r>
            <w:r>
              <w:rPr>
                <w:rFonts w:ascii="Helvetica" w:eastAsia="Helvetica" w:hAnsi="Helvetica" w:cs="Helvetica"/>
                <w:color w:val="000000"/>
                <w:sz w:val="20"/>
                <w:szCs w:val="20"/>
              </w:rPr>
              <w:t>.</w:t>
            </w:r>
            <w:r w:rsidRPr="00747380">
              <w:rPr>
                <w:rFonts w:ascii="Helvetica" w:eastAsia="Helvetica" w:hAnsi="Helvetica" w:cs="Helvetica"/>
                <w:color w:val="000000"/>
                <w:sz w:val="20"/>
                <w:szCs w:val="20"/>
              </w:rPr>
              <w:t>19</w:t>
            </w:r>
          </w:p>
        </w:tc>
      </w:tr>
      <w:tr w:rsidR="002C293B" w:rsidRPr="00747380" w14:paraId="4F427D7A" w14:textId="77777777" w:rsidTr="00A4282B">
        <w:trPr>
          <w:jc w:val="center"/>
        </w:trPr>
        <w:tc>
          <w:tcPr>
            <w:tcW w:w="9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EEEB5"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Price/square foot</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87A3B"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8.38</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61987"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-0.55</w:t>
            </w:r>
          </w:p>
        </w:tc>
        <w:tc>
          <w:tcPr>
            <w:tcW w:w="4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E1FB1"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-11.38</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2A65D"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6.55</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50830" w14:textId="77777777" w:rsidR="002C293B" w:rsidRPr="003849E5"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3849E5">
              <w:rPr>
                <w:rFonts w:ascii="Helvetica" w:eastAsia="Helvetica" w:hAnsi="Helvetica" w:cs="Helvetica"/>
                <w:b/>
                <w:bCs/>
                <w:color w:val="000000"/>
                <w:sz w:val="20"/>
                <w:szCs w:val="20"/>
              </w:rPr>
              <w:t>22.17</w:t>
            </w:r>
          </w:p>
        </w:tc>
        <w:tc>
          <w:tcPr>
            <w:tcW w:w="4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80171" w14:textId="77777777" w:rsidR="002C293B" w:rsidRPr="003849E5"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3849E5">
              <w:rPr>
                <w:rFonts w:ascii="Helvetica" w:eastAsia="Helvetica" w:hAnsi="Helvetica" w:cs="Helvetica"/>
                <w:b/>
                <w:bCs/>
                <w:color w:val="000000"/>
                <w:sz w:val="20"/>
                <w:szCs w:val="20"/>
              </w:rPr>
              <w:t>25.94</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C0406"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0.82</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327F4"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8.96</w:t>
            </w:r>
          </w:p>
        </w:tc>
        <w:tc>
          <w:tcPr>
            <w:tcW w:w="4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0AA4E"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8.02</w:t>
            </w:r>
          </w:p>
        </w:tc>
      </w:tr>
      <w:tr w:rsidR="002C293B" w:rsidRPr="00747380" w14:paraId="78F1389F" w14:textId="77777777" w:rsidTr="00A4282B">
        <w:trPr>
          <w:jc w:val="center"/>
        </w:trPr>
        <w:tc>
          <w:tcPr>
            <w:tcW w:w="9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496FF"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Lot size (acres)</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1A122" w14:textId="77777777" w:rsidR="002C293B" w:rsidRPr="003849E5"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3849E5">
              <w:rPr>
                <w:rFonts w:ascii="Helvetica" w:eastAsia="Helvetica" w:hAnsi="Helvetica" w:cs="Helvetica"/>
                <w:b/>
                <w:bCs/>
                <w:color w:val="000000"/>
                <w:sz w:val="20"/>
                <w:szCs w:val="20"/>
              </w:rPr>
              <w:t>-0.17</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F6FC9"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-0.06</w:t>
            </w:r>
          </w:p>
        </w:tc>
        <w:tc>
          <w:tcPr>
            <w:tcW w:w="4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07B70"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-0.05</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C5679"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-0.0</w:t>
            </w:r>
            <w:r>
              <w:rPr>
                <w:rFonts w:ascii="Helvetica" w:eastAsia="Helvetica" w:hAnsi="Helvetica" w:cs="Helvetica"/>
                <w:color w:val="000000"/>
                <w:sz w:val="20"/>
                <w:szCs w:val="20"/>
              </w:rPr>
              <w:t>0</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E312E"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-0.05</w:t>
            </w:r>
          </w:p>
        </w:tc>
        <w:tc>
          <w:tcPr>
            <w:tcW w:w="4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187A8"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-0.01</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DF89F"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0.00</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7B544"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-0.05</w:t>
            </w:r>
          </w:p>
        </w:tc>
        <w:tc>
          <w:tcPr>
            <w:tcW w:w="4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1D2D0"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0.02</w:t>
            </w:r>
          </w:p>
        </w:tc>
      </w:tr>
      <w:tr w:rsidR="002C293B" w:rsidRPr="00747380" w14:paraId="46CAF1CA" w14:textId="77777777" w:rsidTr="00A4282B">
        <w:trPr>
          <w:jc w:val="center"/>
        </w:trPr>
        <w:tc>
          <w:tcPr>
            <w:tcW w:w="9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61B67"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lastRenderedPageBreak/>
              <w:t>Age</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630FC" w14:textId="77777777" w:rsidR="002C293B" w:rsidRPr="003849E5"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3849E5">
              <w:rPr>
                <w:rFonts w:ascii="Helvetica" w:eastAsia="Helvetica" w:hAnsi="Helvetica" w:cs="Helvetica"/>
                <w:b/>
                <w:bCs/>
                <w:color w:val="000000"/>
                <w:sz w:val="20"/>
                <w:szCs w:val="20"/>
              </w:rPr>
              <w:t>25.77</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202F9" w14:textId="77777777" w:rsidR="002C293B" w:rsidRPr="003849E5"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3849E5">
              <w:rPr>
                <w:rFonts w:ascii="Helvetica" w:eastAsia="Helvetica" w:hAnsi="Helvetica" w:cs="Helvetica"/>
                <w:b/>
                <w:bCs/>
                <w:color w:val="000000"/>
                <w:sz w:val="20"/>
                <w:szCs w:val="20"/>
              </w:rPr>
              <w:t>8.62</w:t>
            </w:r>
          </w:p>
        </w:tc>
        <w:tc>
          <w:tcPr>
            <w:tcW w:w="4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8D29D"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0.89</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4A7CE"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2.77</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64A5A" w14:textId="77777777" w:rsidR="002C293B" w:rsidRPr="003849E5"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3849E5">
              <w:rPr>
                <w:rFonts w:ascii="Helvetica" w:eastAsia="Helvetica" w:hAnsi="Helvetica" w:cs="Helvetica"/>
                <w:b/>
                <w:bCs/>
                <w:color w:val="000000"/>
                <w:sz w:val="20"/>
                <w:szCs w:val="20"/>
              </w:rPr>
              <w:t>7.27</w:t>
            </w:r>
          </w:p>
        </w:tc>
        <w:tc>
          <w:tcPr>
            <w:tcW w:w="4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F213B"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-1.11</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AB9AA"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0.0</w:t>
            </w:r>
            <w:r>
              <w:rPr>
                <w:rFonts w:ascii="Helvetica" w:eastAsia="Helvetica" w:hAnsi="Helvetica" w:cs="Helvetica"/>
                <w:color w:val="000000"/>
                <w:sz w:val="20"/>
                <w:szCs w:val="20"/>
              </w:rPr>
              <w:t>1</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17171"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0.01</w:t>
            </w:r>
          </w:p>
        </w:tc>
        <w:tc>
          <w:tcPr>
            <w:tcW w:w="4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9EF37"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0.57</w:t>
            </w:r>
          </w:p>
        </w:tc>
      </w:tr>
      <w:tr w:rsidR="002C293B" w:rsidRPr="00747380" w14:paraId="50E85A8D" w14:textId="77777777" w:rsidTr="00A4282B">
        <w:trPr>
          <w:jc w:val="center"/>
        </w:trPr>
        <w:tc>
          <w:tcPr>
            <w:tcW w:w="9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A9FEE"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Square footage</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66D97" w14:textId="77777777" w:rsidR="002C293B" w:rsidRPr="003849E5"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3849E5">
              <w:rPr>
                <w:rFonts w:ascii="Helvetica" w:eastAsia="Helvetica" w:hAnsi="Helvetica" w:cs="Helvetica"/>
                <w:b/>
                <w:bCs/>
                <w:color w:val="000000"/>
                <w:sz w:val="20"/>
                <w:szCs w:val="20"/>
              </w:rPr>
              <w:t>-860.40</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7048F" w14:textId="77777777" w:rsidR="002C293B" w:rsidRPr="003849E5"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3849E5">
              <w:rPr>
                <w:rFonts w:ascii="Helvetica" w:eastAsia="Helvetica" w:hAnsi="Helvetica" w:cs="Helvetica"/>
                <w:b/>
                <w:bCs/>
                <w:color w:val="000000"/>
                <w:sz w:val="20"/>
                <w:szCs w:val="20"/>
              </w:rPr>
              <w:t>-290.10</w:t>
            </w:r>
          </w:p>
        </w:tc>
        <w:tc>
          <w:tcPr>
            <w:tcW w:w="4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6BF75"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-67.21</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BDFB8"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25.36</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26532" w14:textId="77777777" w:rsidR="002C293B" w:rsidRPr="003849E5"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3849E5">
              <w:rPr>
                <w:rFonts w:ascii="Helvetica" w:eastAsia="Helvetica" w:hAnsi="Helvetica" w:cs="Helvetica"/>
                <w:b/>
                <w:bCs/>
                <w:color w:val="000000"/>
                <w:sz w:val="20"/>
                <w:szCs w:val="20"/>
              </w:rPr>
              <w:t>-143.97</w:t>
            </w:r>
          </w:p>
        </w:tc>
        <w:tc>
          <w:tcPr>
            <w:tcW w:w="4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0F05B"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-37.58</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18797"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-4.42</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B5CA2"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-76.07</w:t>
            </w:r>
          </w:p>
        </w:tc>
        <w:tc>
          <w:tcPr>
            <w:tcW w:w="4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D9635"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3.01</w:t>
            </w:r>
          </w:p>
        </w:tc>
      </w:tr>
      <w:tr w:rsidR="002C293B" w:rsidRPr="00747380" w14:paraId="558E3EF2" w14:textId="77777777" w:rsidTr="00A4282B">
        <w:trPr>
          <w:jc w:val="center"/>
        </w:trPr>
        <w:tc>
          <w:tcPr>
            <w:tcW w:w="9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6B141"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Bedrooms</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B093E" w14:textId="77777777" w:rsidR="002C293B" w:rsidRPr="003849E5"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3849E5">
              <w:rPr>
                <w:rFonts w:ascii="Helvetica" w:eastAsia="Helvetica" w:hAnsi="Helvetica" w:cs="Helvetica"/>
                <w:b/>
                <w:bCs/>
                <w:color w:val="000000"/>
                <w:sz w:val="20"/>
                <w:szCs w:val="20"/>
              </w:rPr>
              <w:t>-0.56</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E6850" w14:textId="77777777" w:rsidR="002C293B" w:rsidRPr="003849E5"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3849E5">
              <w:rPr>
                <w:rFonts w:ascii="Helvetica" w:eastAsia="Helvetica" w:hAnsi="Helvetica" w:cs="Helvetica"/>
                <w:b/>
                <w:bCs/>
                <w:color w:val="000000"/>
                <w:sz w:val="20"/>
                <w:szCs w:val="20"/>
              </w:rPr>
              <w:t>-0.24</w:t>
            </w:r>
          </w:p>
        </w:tc>
        <w:tc>
          <w:tcPr>
            <w:tcW w:w="4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4A845"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-0.08</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8256E"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0.00</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08F93" w14:textId="77777777" w:rsidR="002C293B" w:rsidRPr="003849E5"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3849E5">
              <w:rPr>
                <w:rFonts w:ascii="Helvetica" w:eastAsia="Helvetica" w:hAnsi="Helvetica" w:cs="Helvetica"/>
                <w:b/>
                <w:bCs/>
                <w:color w:val="000000"/>
                <w:sz w:val="20"/>
                <w:szCs w:val="20"/>
              </w:rPr>
              <w:t>-0.12</w:t>
            </w:r>
          </w:p>
        </w:tc>
        <w:tc>
          <w:tcPr>
            <w:tcW w:w="4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0F775"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0.00</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2237D"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0.00</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8400A"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0.01</w:t>
            </w:r>
          </w:p>
        </w:tc>
        <w:tc>
          <w:tcPr>
            <w:tcW w:w="4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D7A01"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0.00</w:t>
            </w:r>
          </w:p>
        </w:tc>
      </w:tr>
      <w:tr w:rsidR="002C293B" w:rsidRPr="00747380" w14:paraId="2DBC6E54" w14:textId="77777777" w:rsidTr="00A4282B">
        <w:trPr>
          <w:jc w:val="center"/>
        </w:trPr>
        <w:tc>
          <w:tcPr>
            <w:tcW w:w="9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1A7CC"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Full baths</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F2DCD" w14:textId="77777777" w:rsidR="002C293B" w:rsidRPr="003849E5"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3849E5">
              <w:rPr>
                <w:rFonts w:ascii="Helvetica" w:eastAsia="Helvetica" w:hAnsi="Helvetica" w:cs="Helvetica"/>
                <w:b/>
                <w:bCs/>
                <w:color w:val="000000"/>
                <w:sz w:val="20"/>
                <w:szCs w:val="20"/>
              </w:rPr>
              <w:t>-0.57</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CF282" w14:textId="77777777" w:rsidR="002C293B" w:rsidRPr="003849E5"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3849E5">
              <w:rPr>
                <w:rFonts w:ascii="Helvetica" w:eastAsia="Helvetica" w:hAnsi="Helvetica" w:cs="Helvetica"/>
                <w:b/>
                <w:bCs/>
                <w:color w:val="000000"/>
                <w:sz w:val="20"/>
                <w:szCs w:val="20"/>
              </w:rPr>
              <w:t>-0.14</w:t>
            </w:r>
          </w:p>
        </w:tc>
        <w:tc>
          <w:tcPr>
            <w:tcW w:w="4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02151"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-0.00</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B1430"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0.01</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267A1"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-0.10</w:t>
            </w:r>
          </w:p>
        </w:tc>
        <w:tc>
          <w:tcPr>
            <w:tcW w:w="4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E5E6F"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-0.01</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9A516"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0</w:t>
            </w:r>
            <w:r>
              <w:rPr>
                <w:rFonts w:ascii="Helvetica" w:eastAsia="Helvetica" w:hAnsi="Helvetica" w:cs="Helvetica"/>
                <w:color w:val="000000"/>
                <w:sz w:val="20"/>
                <w:szCs w:val="20"/>
              </w:rPr>
              <w:t>.00</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F11E3"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0.00</w:t>
            </w:r>
          </w:p>
        </w:tc>
        <w:tc>
          <w:tcPr>
            <w:tcW w:w="4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E0396"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0.00</w:t>
            </w:r>
          </w:p>
        </w:tc>
      </w:tr>
      <w:tr w:rsidR="002C293B" w:rsidRPr="00747380" w14:paraId="5C9E31F9" w14:textId="77777777" w:rsidTr="00A4282B">
        <w:trPr>
          <w:jc w:val="center"/>
        </w:trPr>
        <w:tc>
          <w:tcPr>
            <w:tcW w:w="9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16861"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Distance to city center (mi)</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E1F3D" w14:textId="77777777" w:rsidR="002C293B" w:rsidRPr="003849E5"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3849E5">
              <w:rPr>
                <w:rFonts w:ascii="Helvetica" w:eastAsia="Helvetica" w:hAnsi="Helvetica" w:cs="Helvetica"/>
                <w:b/>
                <w:bCs/>
                <w:color w:val="000000"/>
                <w:sz w:val="20"/>
                <w:szCs w:val="20"/>
              </w:rPr>
              <w:t>-5.44</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1445E" w14:textId="77777777" w:rsidR="002C293B" w:rsidRPr="003849E5"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3849E5">
              <w:rPr>
                <w:rFonts w:ascii="Helvetica" w:eastAsia="Helvetica" w:hAnsi="Helvetica" w:cs="Helvetica"/>
                <w:b/>
                <w:bCs/>
                <w:color w:val="000000"/>
                <w:sz w:val="20"/>
                <w:szCs w:val="20"/>
              </w:rPr>
              <w:t>-1.12</w:t>
            </w:r>
          </w:p>
        </w:tc>
        <w:tc>
          <w:tcPr>
            <w:tcW w:w="4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8C8DA" w14:textId="77777777" w:rsidR="002C293B" w:rsidRPr="003849E5"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3849E5">
              <w:rPr>
                <w:rFonts w:ascii="Helvetica" w:eastAsia="Helvetica" w:hAnsi="Helvetica" w:cs="Helvetica"/>
                <w:b/>
                <w:bCs/>
                <w:color w:val="000000"/>
                <w:sz w:val="20"/>
                <w:szCs w:val="20"/>
              </w:rPr>
              <w:t>-1.06</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E32F4"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-0.01</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599B9"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-0.33</w:t>
            </w:r>
          </w:p>
        </w:tc>
        <w:tc>
          <w:tcPr>
            <w:tcW w:w="4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73B61"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0.04</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DC4BE"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-0.01</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171F4"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-0.98</w:t>
            </w:r>
          </w:p>
        </w:tc>
        <w:tc>
          <w:tcPr>
            <w:tcW w:w="4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DA20B"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-0.60</w:t>
            </w:r>
          </w:p>
        </w:tc>
      </w:tr>
      <w:tr w:rsidR="002C293B" w:rsidRPr="00747380" w14:paraId="6CE9ADA7" w14:textId="77777777" w:rsidTr="00A4282B">
        <w:trPr>
          <w:jc w:val="center"/>
        </w:trPr>
        <w:tc>
          <w:tcPr>
            <w:tcW w:w="9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FFD37"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Population density (mi</w:t>
            </w:r>
            <w:r>
              <w:rPr>
                <w:rFonts w:ascii="Helvetica" w:eastAsia="Helvetica" w:hAnsi="Helvetica" w:cs="Helvetica"/>
                <w:color w:val="000000"/>
                <w:sz w:val="20"/>
                <w:szCs w:val="20"/>
                <w:vertAlign w:val="superscript"/>
              </w:rPr>
              <w:t>2</w:t>
            </w:r>
            <w:r>
              <w:rPr>
                <w:rFonts w:ascii="Helvetica" w:eastAsia="Helvetica" w:hAnsi="Helvetica" w:cs="Helvetica"/>
                <w:color w:val="000000"/>
                <w:sz w:val="20"/>
                <w:szCs w:val="20"/>
              </w:rPr>
              <w:t>)</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20612" w14:textId="77777777" w:rsidR="002C293B" w:rsidRPr="003849E5"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3849E5">
              <w:rPr>
                <w:rFonts w:ascii="Helvetica" w:eastAsia="Helvetica" w:hAnsi="Helvetica" w:cs="Helvetica"/>
                <w:b/>
                <w:bCs/>
                <w:color w:val="000000"/>
                <w:sz w:val="20"/>
                <w:szCs w:val="20"/>
              </w:rPr>
              <w:t>1,111.50</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F80E9"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283.74</w:t>
            </w:r>
          </w:p>
        </w:tc>
        <w:tc>
          <w:tcPr>
            <w:tcW w:w="4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1301A"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536.81</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F4965"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372.88</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F9828"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222.10</w:t>
            </w:r>
          </w:p>
        </w:tc>
        <w:tc>
          <w:tcPr>
            <w:tcW w:w="4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D2906"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159.43</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B93A3"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881.13</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BA07F" w14:textId="77777777" w:rsidR="002C293B" w:rsidRPr="003849E5"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3849E5">
              <w:rPr>
                <w:rFonts w:ascii="Helvetica" w:eastAsia="Helvetica" w:hAnsi="Helvetica" w:cs="Helvetica"/>
                <w:b/>
                <w:bCs/>
                <w:color w:val="000000"/>
                <w:sz w:val="20"/>
                <w:szCs w:val="20"/>
              </w:rPr>
              <w:t>1,733.55</w:t>
            </w:r>
          </w:p>
        </w:tc>
        <w:tc>
          <w:tcPr>
            <w:tcW w:w="4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8D82A" w14:textId="77777777" w:rsidR="002C293B" w:rsidRPr="003849E5"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3849E5">
              <w:rPr>
                <w:rFonts w:ascii="Helvetica" w:eastAsia="Helvetica" w:hAnsi="Helvetica" w:cs="Helvetica"/>
                <w:b/>
                <w:bCs/>
                <w:color w:val="000000"/>
                <w:sz w:val="20"/>
                <w:szCs w:val="20"/>
              </w:rPr>
              <w:t>2,188.04</w:t>
            </w:r>
          </w:p>
        </w:tc>
      </w:tr>
      <w:tr w:rsidR="002C293B" w:rsidRPr="00747380" w14:paraId="67418CCD" w14:textId="77777777" w:rsidTr="00A4282B">
        <w:trPr>
          <w:jc w:val="center"/>
        </w:trPr>
        <w:tc>
          <w:tcPr>
            <w:tcW w:w="9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7DD2C"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Housing density (mi</w:t>
            </w:r>
            <w:r>
              <w:rPr>
                <w:rFonts w:ascii="Helvetica" w:eastAsia="Helvetica" w:hAnsi="Helvetica" w:cs="Helvetica"/>
                <w:color w:val="000000"/>
                <w:sz w:val="20"/>
                <w:szCs w:val="20"/>
                <w:vertAlign w:val="superscript"/>
              </w:rPr>
              <w:t>2</w:t>
            </w:r>
            <w:r>
              <w:rPr>
                <w:rFonts w:ascii="Helvetica" w:eastAsia="Helvetica" w:hAnsi="Helvetica" w:cs="Helvetica"/>
                <w:color w:val="000000"/>
                <w:sz w:val="20"/>
                <w:szCs w:val="20"/>
              </w:rPr>
              <w:t>)</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CC46A" w14:textId="77777777" w:rsidR="002C293B" w:rsidRPr="003849E5"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3849E5">
              <w:rPr>
                <w:rFonts w:ascii="Helvetica" w:eastAsia="Helvetica" w:hAnsi="Helvetica" w:cs="Helvetica"/>
                <w:b/>
                <w:bCs/>
                <w:color w:val="000000"/>
                <w:sz w:val="20"/>
                <w:szCs w:val="20"/>
              </w:rPr>
              <w:t>750.25</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7F1C4"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288.82</w:t>
            </w:r>
          </w:p>
        </w:tc>
        <w:tc>
          <w:tcPr>
            <w:tcW w:w="4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2F58C"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141.60</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2D3C0"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284.88</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2490F"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322.71</w:t>
            </w:r>
          </w:p>
        </w:tc>
        <w:tc>
          <w:tcPr>
            <w:tcW w:w="4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9BC42"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274.19</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81AE6"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473.42</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CCB2F" w14:textId="77777777" w:rsidR="002C293B" w:rsidRPr="003849E5"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3849E5">
              <w:rPr>
                <w:rFonts w:ascii="Helvetica" w:eastAsia="Helvetica" w:hAnsi="Helvetica" w:cs="Helvetica"/>
                <w:b/>
                <w:bCs/>
                <w:color w:val="000000"/>
                <w:sz w:val="20"/>
                <w:szCs w:val="20"/>
              </w:rPr>
              <w:t>870.55</w:t>
            </w:r>
          </w:p>
        </w:tc>
        <w:tc>
          <w:tcPr>
            <w:tcW w:w="4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BBDEB" w14:textId="77777777" w:rsidR="002C293B" w:rsidRPr="003849E5"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3849E5">
              <w:rPr>
                <w:rFonts w:ascii="Helvetica" w:eastAsia="Helvetica" w:hAnsi="Helvetica" w:cs="Helvetica"/>
                <w:b/>
                <w:bCs/>
                <w:color w:val="000000"/>
                <w:sz w:val="20"/>
                <w:szCs w:val="20"/>
              </w:rPr>
              <w:t>1,107.71</w:t>
            </w:r>
          </w:p>
        </w:tc>
      </w:tr>
      <w:tr w:rsidR="002C293B" w:rsidRPr="00747380" w14:paraId="5A3760F7" w14:textId="77777777" w:rsidTr="00A4282B">
        <w:trPr>
          <w:jc w:val="center"/>
        </w:trPr>
        <w:tc>
          <w:tcPr>
            <w:tcW w:w="9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389A9"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Owner occupied (%)</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4F587" w14:textId="77777777" w:rsidR="002C293B" w:rsidRPr="003849E5"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3849E5">
              <w:rPr>
                <w:rFonts w:ascii="Helvetica" w:eastAsia="Helvetica" w:hAnsi="Helvetica" w:cs="Helvetica"/>
                <w:b/>
                <w:bCs/>
                <w:color w:val="000000"/>
                <w:sz w:val="20"/>
                <w:szCs w:val="20"/>
              </w:rPr>
              <w:t>-21.96</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C33C7"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-4.82</w:t>
            </w:r>
          </w:p>
        </w:tc>
        <w:tc>
          <w:tcPr>
            <w:tcW w:w="4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B3D2D"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-1.44</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69FB2"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-3.76</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939EC"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-4.67</w:t>
            </w:r>
          </w:p>
        </w:tc>
        <w:tc>
          <w:tcPr>
            <w:tcW w:w="4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FC670"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-2.71</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C76E6"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-5.68</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A48F1" w14:textId="77777777" w:rsidR="002C293B" w:rsidRPr="003849E5"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3849E5">
              <w:rPr>
                <w:rFonts w:ascii="Helvetica" w:eastAsia="Helvetica" w:hAnsi="Helvetica" w:cs="Helvetica"/>
                <w:b/>
                <w:bCs/>
                <w:color w:val="000000"/>
                <w:sz w:val="20"/>
                <w:szCs w:val="20"/>
              </w:rPr>
              <w:t>-24.80</w:t>
            </w:r>
          </w:p>
        </w:tc>
        <w:tc>
          <w:tcPr>
            <w:tcW w:w="4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D3B43" w14:textId="77777777" w:rsidR="002C293B" w:rsidRPr="003849E5"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3849E5">
              <w:rPr>
                <w:rFonts w:ascii="Helvetica" w:eastAsia="Helvetica" w:hAnsi="Helvetica" w:cs="Helvetica"/>
                <w:b/>
                <w:bCs/>
                <w:color w:val="000000"/>
                <w:sz w:val="20"/>
                <w:szCs w:val="20"/>
              </w:rPr>
              <w:t>-27.27</w:t>
            </w:r>
          </w:p>
        </w:tc>
      </w:tr>
      <w:tr w:rsidR="002C293B" w:rsidRPr="00747380" w14:paraId="3FE32E62" w14:textId="77777777" w:rsidTr="00A4282B">
        <w:trPr>
          <w:jc w:val="center"/>
        </w:trPr>
        <w:tc>
          <w:tcPr>
            <w:tcW w:w="9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FC5AA"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Employment rate (%)</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ECDBF" w14:textId="77777777" w:rsidR="002C293B" w:rsidRPr="003849E5"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3849E5">
              <w:rPr>
                <w:rFonts w:ascii="Helvetica" w:eastAsia="Helvetica" w:hAnsi="Helvetica" w:cs="Helvetica"/>
                <w:b/>
                <w:bCs/>
                <w:color w:val="000000"/>
                <w:sz w:val="20"/>
                <w:szCs w:val="20"/>
              </w:rPr>
              <w:t>-7.38</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7DAB2" w14:textId="77777777" w:rsidR="002C293B" w:rsidRPr="003849E5"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3849E5">
              <w:rPr>
                <w:rFonts w:ascii="Helvetica" w:eastAsia="Helvetica" w:hAnsi="Helvetica" w:cs="Helvetica"/>
                <w:b/>
                <w:bCs/>
                <w:color w:val="000000"/>
                <w:sz w:val="20"/>
                <w:szCs w:val="20"/>
              </w:rPr>
              <w:t>-5.58</w:t>
            </w:r>
          </w:p>
        </w:tc>
        <w:tc>
          <w:tcPr>
            <w:tcW w:w="4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DD55A" w14:textId="77777777" w:rsidR="002C293B" w:rsidRPr="003849E5"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3849E5">
              <w:rPr>
                <w:rFonts w:ascii="Helvetica" w:eastAsia="Helvetica" w:hAnsi="Helvetica" w:cs="Helvetica"/>
                <w:b/>
                <w:bCs/>
                <w:color w:val="000000"/>
                <w:sz w:val="20"/>
                <w:szCs w:val="20"/>
              </w:rPr>
              <w:t>-6.21</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EACBF"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-3.59</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5E711"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-2.80</w:t>
            </w:r>
          </w:p>
        </w:tc>
        <w:tc>
          <w:tcPr>
            <w:tcW w:w="4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E3C30"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-1.84</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7BC14"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-2.61</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71F69"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-1.78</w:t>
            </w:r>
          </w:p>
        </w:tc>
        <w:tc>
          <w:tcPr>
            <w:tcW w:w="4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CD84E"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-1.82</w:t>
            </w:r>
          </w:p>
        </w:tc>
      </w:tr>
      <w:tr w:rsidR="002C293B" w:rsidRPr="00747380" w14:paraId="405D5E35" w14:textId="77777777" w:rsidTr="00A4282B">
        <w:trPr>
          <w:jc w:val="center"/>
        </w:trPr>
        <w:tc>
          <w:tcPr>
            <w:tcW w:w="9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73DCC"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White (%)</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A6691" w14:textId="77777777" w:rsidR="002C293B" w:rsidRPr="003849E5"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3849E5">
              <w:rPr>
                <w:rFonts w:ascii="Helvetica" w:eastAsia="Helvetica" w:hAnsi="Helvetica" w:cs="Helvetica"/>
                <w:b/>
                <w:bCs/>
                <w:color w:val="000000"/>
                <w:sz w:val="20"/>
                <w:szCs w:val="20"/>
              </w:rPr>
              <w:t>-25.34</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DB000"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-5.36</w:t>
            </w:r>
          </w:p>
        </w:tc>
        <w:tc>
          <w:tcPr>
            <w:tcW w:w="4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5DC58" w14:textId="77777777" w:rsidR="002C293B" w:rsidRPr="003849E5"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3849E5">
              <w:rPr>
                <w:rFonts w:ascii="Helvetica" w:eastAsia="Helvetica" w:hAnsi="Helvetica" w:cs="Helvetica"/>
                <w:b/>
                <w:bCs/>
                <w:color w:val="000000"/>
                <w:sz w:val="20"/>
                <w:szCs w:val="20"/>
              </w:rPr>
              <w:t>-22.13</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30ED7"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-0.57</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CECC0"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8.60</w:t>
            </w:r>
          </w:p>
        </w:tc>
        <w:tc>
          <w:tcPr>
            <w:tcW w:w="4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366C1" w14:textId="77777777" w:rsidR="002C293B" w:rsidRPr="003849E5"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3849E5">
              <w:rPr>
                <w:rFonts w:ascii="Helvetica" w:eastAsia="Helvetica" w:hAnsi="Helvetica" w:cs="Helvetica"/>
                <w:b/>
                <w:bCs/>
                <w:color w:val="000000"/>
                <w:sz w:val="20"/>
                <w:szCs w:val="20"/>
              </w:rPr>
              <w:t>11.17</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9E543"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0.80</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D0B71"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-1.67</w:t>
            </w:r>
          </w:p>
        </w:tc>
        <w:tc>
          <w:tcPr>
            <w:tcW w:w="4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CA832"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-1.98</w:t>
            </w:r>
          </w:p>
        </w:tc>
      </w:tr>
      <w:tr w:rsidR="002C293B" w:rsidRPr="00747380" w14:paraId="570616E1" w14:textId="77777777" w:rsidTr="00A4282B">
        <w:trPr>
          <w:jc w:val="center"/>
        </w:trPr>
        <w:tc>
          <w:tcPr>
            <w:tcW w:w="92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F3DB23"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Bachelor’s (%)</w:t>
            </w:r>
          </w:p>
        </w:tc>
        <w:tc>
          <w:tcPr>
            <w:tcW w:w="45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2ABD49" w14:textId="77777777" w:rsidR="002C293B" w:rsidRPr="003849E5"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3849E5">
              <w:rPr>
                <w:rFonts w:ascii="Helvetica" w:eastAsia="Helvetica" w:hAnsi="Helvetica" w:cs="Helvetica"/>
                <w:b/>
                <w:bCs/>
                <w:color w:val="000000"/>
                <w:sz w:val="20"/>
                <w:szCs w:val="20"/>
              </w:rPr>
              <w:t>-20.28</w:t>
            </w:r>
          </w:p>
        </w:tc>
        <w:tc>
          <w:tcPr>
            <w:tcW w:w="45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AC5EC0" w14:textId="77777777" w:rsidR="002C293B" w:rsidRPr="003849E5"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3849E5">
              <w:rPr>
                <w:rFonts w:ascii="Helvetica" w:eastAsia="Helvetica" w:hAnsi="Helvetica" w:cs="Helvetica"/>
                <w:b/>
                <w:bCs/>
                <w:color w:val="000000"/>
                <w:sz w:val="20"/>
                <w:szCs w:val="20"/>
              </w:rPr>
              <w:t>-13.41</w:t>
            </w:r>
          </w:p>
        </w:tc>
        <w:tc>
          <w:tcPr>
            <w:tcW w:w="45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BBE5A9" w14:textId="77777777" w:rsidR="002C293B" w:rsidRPr="003849E5"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bCs/>
                <w:color w:val="000000"/>
                <w:sz w:val="20"/>
                <w:szCs w:val="20"/>
              </w:rPr>
            </w:pPr>
            <w:r w:rsidRPr="003849E5">
              <w:rPr>
                <w:rFonts w:ascii="Helvetica" w:eastAsia="Helvetica" w:hAnsi="Helvetica" w:cs="Helvetica"/>
                <w:b/>
                <w:bCs/>
                <w:color w:val="000000"/>
                <w:sz w:val="20"/>
                <w:szCs w:val="20"/>
              </w:rPr>
              <w:t>-14.32</w:t>
            </w:r>
          </w:p>
        </w:tc>
        <w:tc>
          <w:tcPr>
            <w:tcW w:w="45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664C2D"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-4.99</w:t>
            </w:r>
          </w:p>
        </w:tc>
        <w:tc>
          <w:tcPr>
            <w:tcW w:w="45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8534A2"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0.40</w:t>
            </w:r>
          </w:p>
        </w:tc>
        <w:tc>
          <w:tcPr>
            <w:tcW w:w="45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412656"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2.30</w:t>
            </w:r>
          </w:p>
        </w:tc>
        <w:tc>
          <w:tcPr>
            <w:tcW w:w="45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6871E7"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-4.32</w:t>
            </w:r>
          </w:p>
        </w:tc>
        <w:tc>
          <w:tcPr>
            <w:tcW w:w="45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E6A1C2"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-3.77</w:t>
            </w:r>
          </w:p>
        </w:tc>
        <w:tc>
          <w:tcPr>
            <w:tcW w:w="45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D84619" w14:textId="77777777" w:rsidR="002C293B" w:rsidRPr="00747380" w:rsidRDefault="002C293B" w:rsidP="00A4282B">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sidRPr="00747380">
              <w:rPr>
                <w:rFonts w:ascii="Helvetica" w:eastAsia="Helvetica" w:hAnsi="Helvetica" w:cs="Helvetica"/>
                <w:color w:val="000000"/>
                <w:sz w:val="20"/>
                <w:szCs w:val="20"/>
              </w:rPr>
              <w:t>-4.29</w:t>
            </w:r>
          </w:p>
        </w:tc>
      </w:tr>
    </w:tbl>
    <w:p w14:paraId="1365736D" w14:textId="77777777" w:rsidR="002C293B" w:rsidRDefault="002C293B" w:rsidP="00840121">
      <w:pPr>
        <w:spacing w:line="360" w:lineRule="auto"/>
        <w:rPr>
          <w:rFonts w:ascii="Times New Roman" w:hAnsi="Times New Roman" w:cs="Times New Roman"/>
        </w:rPr>
      </w:pPr>
    </w:p>
    <w:p w14:paraId="5E36DAA5" w14:textId="3FAD2A27" w:rsidR="007B1833" w:rsidRDefault="007B1833" w:rsidP="00840121">
      <w:pPr>
        <w:spacing w:line="360" w:lineRule="auto"/>
        <w:rPr>
          <w:rFonts w:ascii="Times New Roman" w:hAnsi="Times New Roman" w:cs="Times New Roman"/>
        </w:rPr>
      </w:pPr>
      <w:r>
        <w:rPr>
          <w:rFonts w:ascii="Times New Roman" w:hAnsi="Times New Roman" w:cs="Times New Roman"/>
        </w:rPr>
        <w:tab/>
        <w:t>Both the plot and the table reveal several apparent patterns. The more naïve approaches (Rest of the county, distance, and planned) fail to achieve balance on most covariates, while matching techniques substantially improve comparability. Property-level matching strategies (</w:t>
      </w:r>
      <w:proofErr w:type="spellStart"/>
      <w:r>
        <w:rPr>
          <w:rFonts w:ascii="Times New Roman" w:hAnsi="Times New Roman" w:cs="Times New Roman"/>
        </w:rPr>
        <w:t>PSMprop</w:t>
      </w:r>
      <w:proofErr w:type="spellEnd"/>
      <w:r>
        <w:rPr>
          <w:rFonts w:ascii="Times New Roman" w:hAnsi="Times New Roman" w:cs="Times New Roman"/>
        </w:rPr>
        <w:t xml:space="preserve">, </w:t>
      </w:r>
      <w:proofErr w:type="spellStart"/>
      <w:r>
        <w:rPr>
          <w:rFonts w:ascii="Times New Roman" w:hAnsi="Times New Roman" w:cs="Times New Roman"/>
        </w:rPr>
        <w:t>CEMprop</w:t>
      </w:r>
      <w:proofErr w:type="spellEnd"/>
      <w:r>
        <w:rPr>
          <w:rFonts w:ascii="Times New Roman" w:hAnsi="Times New Roman" w:cs="Times New Roman"/>
        </w:rPr>
        <w:t xml:space="preserve">, </w:t>
      </w:r>
      <w:proofErr w:type="spellStart"/>
      <w:r>
        <w:rPr>
          <w:rFonts w:ascii="Times New Roman" w:hAnsi="Times New Roman" w:cs="Times New Roman"/>
        </w:rPr>
        <w:t>PSMboth</w:t>
      </w:r>
      <w:proofErr w:type="spellEnd"/>
      <w:r>
        <w:rPr>
          <w:rFonts w:ascii="Times New Roman" w:hAnsi="Times New Roman" w:cs="Times New Roman"/>
        </w:rPr>
        <w:t xml:space="preserve">) are generally concentrated along the 0.01 line, indicating a </w:t>
      </w:r>
      <w:r w:rsidR="00226B07">
        <w:rPr>
          <w:rFonts w:ascii="Times New Roman" w:hAnsi="Times New Roman" w:cs="Times New Roman"/>
        </w:rPr>
        <w:t xml:space="preserve">good </w:t>
      </w:r>
      <w:r>
        <w:rPr>
          <w:rFonts w:ascii="Times New Roman" w:hAnsi="Times New Roman" w:cs="Times New Roman"/>
        </w:rPr>
        <w:t xml:space="preserve">balance across </w:t>
      </w:r>
      <w:r w:rsidR="00A62F95">
        <w:rPr>
          <w:rFonts w:ascii="Times New Roman" w:hAnsi="Times New Roman" w:cs="Times New Roman"/>
        </w:rPr>
        <w:t>most</w:t>
      </w:r>
      <w:r>
        <w:rPr>
          <w:rFonts w:ascii="Times New Roman" w:hAnsi="Times New Roman" w:cs="Times New Roman"/>
        </w:rPr>
        <w:t xml:space="preserve"> variables. The tract-level matching approaches (</w:t>
      </w:r>
      <w:proofErr w:type="spellStart"/>
      <w:r>
        <w:rPr>
          <w:rFonts w:ascii="Times New Roman" w:hAnsi="Times New Roman" w:cs="Times New Roman"/>
        </w:rPr>
        <w:t>CEMneigh</w:t>
      </w:r>
      <w:proofErr w:type="spellEnd"/>
      <w:r>
        <w:rPr>
          <w:rFonts w:ascii="Times New Roman" w:hAnsi="Times New Roman" w:cs="Times New Roman"/>
        </w:rPr>
        <w:t xml:space="preserve">, </w:t>
      </w:r>
      <w:proofErr w:type="spellStart"/>
      <w:r>
        <w:rPr>
          <w:rFonts w:ascii="Times New Roman" w:hAnsi="Times New Roman" w:cs="Times New Roman"/>
        </w:rPr>
        <w:t>CEMboth</w:t>
      </w:r>
      <w:proofErr w:type="spellEnd"/>
      <w:r>
        <w:rPr>
          <w:rFonts w:ascii="Times New Roman" w:hAnsi="Times New Roman" w:cs="Times New Roman"/>
        </w:rPr>
        <w:t xml:space="preserve">), while balancing on some neighborhood characteristics, show persistent imbalances </w:t>
      </w:r>
      <w:r w:rsidR="00A14C70">
        <w:rPr>
          <w:rFonts w:ascii="Times New Roman" w:hAnsi="Times New Roman" w:cs="Times New Roman"/>
        </w:rPr>
        <w:t>i</w:t>
      </w:r>
      <w:r>
        <w:rPr>
          <w:rFonts w:ascii="Times New Roman" w:hAnsi="Times New Roman" w:cs="Times New Roman"/>
        </w:rPr>
        <w:t xml:space="preserve">n sociodemographic variables. This is reflective of the inherent tradeoff in their coarser matching method that prioritizes aggregate neighborhood similarity over precise comparisons. </w:t>
      </w:r>
      <w:r w:rsidR="00A14C70">
        <w:rPr>
          <w:rFonts w:ascii="Times New Roman" w:hAnsi="Times New Roman" w:cs="Times New Roman"/>
        </w:rPr>
        <w:t xml:space="preserve">This is also </w:t>
      </w:r>
      <w:r w:rsidR="00A14C70">
        <w:rPr>
          <w:rFonts w:ascii="Times New Roman" w:hAnsi="Times New Roman" w:cs="Times New Roman"/>
        </w:rPr>
        <w:lastRenderedPageBreak/>
        <w:t xml:space="preserve">reflected in the table – only the two property matching techniques show no significant differences in any of the variables. However, overall, </w:t>
      </w:r>
      <w:proofErr w:type="spellStart"/>
      <w:r w:rsidR="00A14C70">
        <w:rPr>
          <w:rFonts w:ascii="Times New Roman" w:hAnsi="Times New Roman" w:cs="Times New Roman"/>
        </w:rPr>
        <w:t>PSMprop</w:t>
      </w:r>
      <w:proofErr w:type="spellEnd"/>
      <w:r w:rsidR="00A14C70">
        <w:rPr>
          <w:rFonts w:ascii="Times New Roman" w:hAnsi="Times New Roman" w:cs="Times New Roman"/>
        </w:rPr>
        <w:t xml:space="preserve"> exhibits smaller differences in neighborhood characteristics than </w:t>
      </w:r>
      <w:proofErr w:type="spellStart"/>
      <w:r w:rsidR="00A14C70">
        <w:rPr>
          <w:rFonts w:ascii="Times New Roman" w:hAnsi="Times New Roman" w:cs="Times New Roman"/>
        </w:rPr>
        <w:t>CEMprop</w:t>
      </w:r>
      <w:proofErr w:type="spellEnd"/>
      <w:r w:rsidR="00A14C70">
        <w:rPr>
          <w:rFonts w:ascii="Times New Roman" w:hAnsi="Times New Roman" w:cs="Times New Roman"/>
        </w:rPr>
        <w:t>.</w:t>
      </w:r>
      <w:r>
        <w:rPr>
          <w:rFonts w:ascii="Times New Roman" w:hAnsi="Times New Roman" w:cs="Times New Roman"/>
        </w:rPr>
        <w:t xml:space="preserve"> </w:t>
      </w:r>
    </w:p>
    <w:p w14:paraId="0D492F95" w14:textId="2F782D44" w:rsidR="002C293B" w:rsidRDefault="00BC3956" w:rsidP="00A62F95">
      <w:pPr>
        <w:pStyle w:val="Caption"/>
        <w:keepNext/>
        <w:rPr>
          <w:rFonts w:ascii="Times New Roman" w:hAnsi="Times New Roman" w:cs="Times New Roman"/>
        </w:rPr>
      </w:pPr>
      <w:r>
        <w:t>[</w:t>
      </w:r>
      <w:r w:rsidR="00833020">
        <w:t>Figure 2</w:t>
      </w:r>
      <w:r w:rsidR="00A14C70">
        <w:t>. Absolute standardized mean differences by control selection strategy.</w:t>
      </w:r>
      <w:r>
        <w:t>]</w:t>
      </w:r>
      <w:r w:rsidDel="00BC3956">
        <w:t xml:space="preserve"> </w:t>
      </w:r>
    </w:p>
    <w:p w14:paraId="3260CEDA" w14:textId="1CEADBCA" w:rsidR="002C293B" w:rsidRPr="00A62F95" w:rsidRDefault="00510078" w:rsidP="00840121">
      <w:pPr>
        <w:spacing w:line="360" w:lineRule="auto"/>
        <w:rPr>
          <w:rFonts w:ascii="Times New Roman" w:hAnsi="Times New Roman" w:cs="Times New Roman"/>
          <w:b/>
          <w:bCs/>
        </w:rPr>
      </w:pPr>
      <w:r w:rsidRPr="00A62F95">
        <w:rPr>
          <w:rFonts w:ascii="Times New Roman" w:hAnsi="Times New Roman" w:cs="Times New Roman"/>
          <w:b/>
          <w:bCs/>
        </w:rPr>
        <w:t xml:space="preserve">3.2 </w:t>
      </w:r>
      <w:r w:rsidR="005D0554" w:rsidRPr="00A62F95">
        <w:rPr>
          <w:rFonts w:ascii="Times New Roman" w:hAnsi="Times New Roman" w:cs="Times New Roman"/>
          <w:b/>
          <w:bCs/>
        </w:rPr>
        <w:t>Assessing Parallel Trends</w:t>
      </w:r>
    </w:p>
    <w:p w14:paraId="34FAFDE8" w14:textId="08988965" w:rsidR="005D0554" w:rsidRDefault="005D0554" w:rsidP="00840121">
      <w:pPr>
        <w:spacing w:line="360" w:lineRule="auto"/>
        <w:rPr>
          <w:rFonts w:ascii="Times New Roman" w:hAnsi="Times New Roman" w:cs="Times New Roman"/>
        </w:rPr>
      </w:pPr>
      <w:r>
        <w:rPr>
          <w:rFonts w:ascii="Times New Roman" w:hAnsi="Times New Roman" w:cs="Times New Roman"/>
        </w:rPr>
        <w:tab/>
      </w:r>
      <w:r w:rsidR="0059331D">
        <w:rPr>
          <w:rFonts w:ascii="Times New Roman" w:hAnsi="Times New Roman" w:cs="Times New Roman"/>
        </w:rPr>
        <w:t xml:space="preserve">The validity of the difference-in-difference estimation hinges on the parallel </w:t>
      </w:r>
      <w:proofErr w:type="gramStart"/>
      <w:r w:rsidR="0059331D">
        <w:rPr>
          <w:rFonts w:ascii="Times New Roman" w:hAnsi="Times New Roman" w:cs="Times New Roman"/>
        </w:rPr>
        <w:t>trends</w:t>
      </w:r>
      <w:proofErr w:type="gramEnd"/>
      <w:r w:rsidR="0059331D">
        <w:rPr>
          <w:rFonts w:ascii="Times New Roman" w:hAnsi="Times New Roman" w:cs="Times New Roman"/>
        </w:rPr>
        <w:t xml:space="preserve"> assumption, which states that in the absence of treatment (the opening of the rail line), treated and control properties would have experienced similar changes in prices over time. While we cannot directly test this assumption because the rail line did open, we can assess its plausibility by examining whether the treatment and control groups followed parallel trajectories during the pre-treatment period (2004-2017).</w:t>
      </w:r>
    </w:p>
    <w:p w14:paraId="016426C4" w14:textId="4DF3EB25" w:rsidR="0059331D" w:rsidRDefault="0059331D" w:rsidP="00840121">
      <w:pPr>
        <w:spacing w:line="360" w:lineRule="auto"/>
        <w:rPr>
          <w:rFonts w:ascii="Times New Roman" w:hAnsi="Times New Roman" w:cs="Times New Roman"/>
        </w:rPr>
      </w:pPr>
      <w:r>
        <w:rPr>
          <w:rFonts w:ascii="Times New Roman" w:hAnsi="Times New Roman" w:cs="Times New Roman"/>
        </w:rPr>
        <w:tab/>
        <w:t xml:space="preserve">Figure </w:t>
      </w:r>
      <w:r w:rsidR="004F7661">
        <w:rPr>
          <w:rFonts w:ascii="Times New Roman" w:hAnsi="Times New Roman" w:cs="Times New Roman"/>
        </w:rPr>
        <w:t>3</w:t>
      </w:r>
      <w:r>
        <w:rPr>
          <w:rFonts w:ascii="Times New Roman" w:hAnsi="Times New Roman" w:cs="Times New Roman"/>
        </w:rPr>
        <w:t xml:space="preserve"> displays the average property prices by year for treatment and control groups across all nine control selection strategies. The vertical dotted line marks the March 2018 opening of the Blue Line Extension. If the parallel trends assumption holds, the gray (control) and pink (treatment) lines should track closely together prior to 2018, moving in tandem even if they start at different levels. Divergence in the pre-treatment period would suggest that treatment and control properties were already on different trajectories, which would undermine our ability to causally attribute post-2018 differences to the transit intervention. </w:t>
      </w:r>
    </w:p>
    <w:p w14:paraId="05DD1D48" w14:textId="3B00E0C7" w:rsidR="0059331D" w:rsidRDefault="0059331D" w:rsidP="00840121">
      <w:pPr>
        <w:spacing w:line="360" w:lineRule="auto"/>
        <w:rPr>
          <w:rFonts w:ascii="Times New Roman" w:hAnsi="Times New Roman" w:cs="Times New Roman"/>
        </w:rPr>
      </w:pPr>
      <w:r>
        <w:rPr>
          <w:rFonts w:ascii="Times New Roman" w:hAnsi="Times New Roman" w:cs="Times New Roman"/>
        </w:rPr>
        <w:tab/>
        <w:t xml:space="preserve">The results shown in the plots in Figure </w:t>
      </w:r>
      <w:r w:rsidR="004F7661">
        <w:rPr>
          <w:rFonts w:ascii="Times New Roman" w:hAnsi="Times New Roman" w:cs="Times New Roman"/>
        </w:rPr>
        <w:t>3</w:t>
      </w:r>
      <w:r>
        <w:rPr>
          <w:rFonts w:ascii="Times New Roman" w:hAnsi="Times New Roman" w:cs="Times New Roman"/>
        </w:rPr>
        <w:t xml:space="preserve"> largely align with our </w:t>
      </w:r>
      <w:r w:rsidR="00A62F95">
        <w:rPr>
          <w:rFonts w:ascii="Times New Roman" w:hAnsi="Times New Roman" w:cs="Times New Roman"/>
        </w:rPr>
        <w:t xml:space="preserve">previously described </w:t>
      </w:r>
      <w:r>
        <w:rPr>
          <w:rFonts w:ascii="Times New Roman" w:hAnsi="Times New Roman" w:cs="Times New Roman"/>
        </w:rPr>
        <w:t xml:space="preserve">balance assessment results. The top row, particularly the rest of the county plot, shows deviations in both the </w:t>
      </w:r>
      <w:r w:rsidR="00BA33B0">
        <w:rPr>
          <w:rFonts w:ascii="Times New Roman" w:hAnsi="Times New Roman" w:cs="Times New Roman"/>
        </w:rPr>
        <w:t xml:space="preserve">levels </w:t>
      </w:r>
      <w:r>
        <w:rPr>
          <w:rFonts w:ascii="Times New Roman" w:hAnsi="Times New Roman" w:cs="Times New Roman"/>
        </w:rPr>
        <w:t xml:space="preserve">(less of a concern for the validity of the model) </w:t>
      </w:r>
      <w:r w:rsidR="008C5526">
        <w:rPr>
          <w:rFonts w:ascii="Times New Roman" w:hAnsi="Times New Roman" w:cs="Times New Roman"/>
        </w:rPr>
        <w:t>and</w:t>
      </w:r>
      <w:r>
        <w:rPr>
          <w:rFonts w:ascii="Times New Roman" w:hAnsi="Times New Roman" w:cs="Times New Roman"/>
        </w:rPr>
        <w:t xml:space="preserve"> in the shape of the slope. </w:t>
      </w:r>
      <w:r w:rsidR="00C92A9D">
        <w:rPr>
          <w:rFonts w:ascii="Times New Roman" w:hAnsi="Times New Roman" w:cs="Times New Roman"/>
        </w:rPr>
        <w:t>Generally, properties in the treatment group are lower-priced homes that begin to show a steeper appreciation rate between 2010 and 2015, while the slope for properties in the remainder of the county is more muted – the treatment neighborhoods nearly reach the same level as the rest of the county properties at the start of the intervention – highlighting the need to look further back in time to evaluate pre-treatment trends.</w:t>
      </w:r>
    </w:p>
    <w:p w14:paraId="16D8A176" w14:textId="11E447B6" w:rsidR="0059331D" w:rsidRDefault="00C92A9D" w:rsidP="00840121">
      <w:pPr>
        <w:spacing w:line="360" w:lineRule="auto"/>
      </w:pPr>
      <w:r>
        <w:rPr>
          <w:rFonts w:ascii="Times New Roman" w:hAnsi="Times New Roman" w:cs="Times New Roman"/>
        </w:rPr>
        <w:tab/>
        <w:t xml:space="preserve">The remainder of the price trends generally adhere to the parallel </w:t>
      </w:r>
      <w:proofErr w:type="gramStart"/>
      <w:r>
        <w:rPr>
          <w:rFonts w:ascii="Times New Roman" w:hAnsi="Times New Roman" w:cs="Times New Roman"/>
        </w:rPr>
        <w:t>trends</w:t>
      </w:r>
      <w:proofErr w:type="gramEnd"/>
      <w:r>
        <w:rPr>
          <w:rFonts w:ascii="Times New Roman" w:hAnsi="Times New Roman" w:cs="Times New Roman"/>
        </w:rPr>
        <w:t xml:space="preserve"> assumption, with some performing better than others. Notably, the CEM approaches in the bottom row, particularly the </w:t>
      </w:r>
      <w:proofErr w:type="spellStart"/>
      <w:r>
        <w:rPr>
          <w:rFonts w:ascii="Times New Roman" w:hAnsi="Times New Roman" w:cs="Times New Roman"/>
        </w:rPr>
        <w:t>CEMneig</w:t>
      </w:r>
      <w:proofErr w:type="spellEnd"/>
      <w:r>
        <w:rPr>
          <w:rFonts w:ascii="Times New Roman" w:hAnsi="Times New Roman" w:cs="Times New Roman"/>
        </w:rPr>
        <w:t xml:space="preserve"> and </w:t>
      </w:r>
      <w:proofErr w:type="spellStart"/>
      <w:r>
        <w:rPr>
          <w:rFonts w:ascii="Times New Roman" w:hAnsi="Times New Roman" w:cs="Times New Roman"/>
        </w:rPr>
        <w:t>CEMboth</w:t>
      </w:r>
      <w:proofErr w:type="spellEnd"/>
      <w:r>
        <w:rPr>
          <w:rFonts w:ascii="Times New Roman" w:hAnsi="Times New Roman" w:cs="Times New Roman"/>
        </w:rPr>
        <w:t xml:space="preserve"> properties, exhibit nearly identical price trends, despite </w:t>
      </w:r>
      <w:r>
        <w:rPr>
          <w:rFonts w:ascii="Times New Roman" w:hAnsi="Times New Roman" w:cs="Times New Roman"/>
        </w:rPr>
        <w:lastRenderedPageBreak/>
        <w:t xml:space="preserve">the differences in other aggregate characteristics described above. For the </w:t>
      </w:r>
      <w:proofErr w:type="spellStart"/>
      <w:r>
        <w:rPr>
          <w:rFonts w:ascii="Times New Roman" w:hAnsi="Times New Roman" w:cs="Times New Roman"/>
        </w:rPr>
        <w:t>DiD</w:t>
      </w:r>
      <w:proofErr w:type="spellEnd"/>
      <w:r>
        <w:rPr>
          <w:rFonts w:ascii="Times New Roman" w:hAnsi="Times New Roman" w:cs="Times New Roman"/>
        </w:rPr>
        <w:t xml:space="preserve"> estimation, better adherence to these parallel trends should be the priority, as other differences in neighborhood and property characteristics can be controlled for in the model estimation.</w:t>
      </w:r>
      <w:r w:rsidR="0059331D">
        <w:rPr>
          <w:rFonts w:ascii="Times New Roman" w:hAnsi="Times New Roman" w:cs="Times New Roman"/>
        </w:rPr>
        <w:tab/>
      </w:r>
    </w:p>
    <w:p w14:paraId="2A0D7019" w14:textId="2185F58E" w:rsidR="0059331D" w:rsidRDefault="00BC3956" w:rsidP="008C5526">
      <w:pPr>
        <w:pStyle w:val="Caption"/>
        <w:keepNext/>
        <w:rPr>
          <w:rFonts w:ascii="Times New Roman" w:hAnsi="Times New Roman" w:cs="Times New Roman"/>
        </w:rPr>
      </w:pPr>
      <w:r>
        <w:t>[Figure 3</w:t>
      </w:r>
      <w:r w:rsidR="0059331D">
        <w:t>. Treatment and control trends in house prices 2005-2022 for each selection strategy tested. The dashed vertical line in each plot represents the opening date of the light rail line.</w:t>
      </w:r>
      <w:r>
        <w:t>]</w:t>
      </w:r>
      <w:r w:rsidDel="00BC3956">
        <w:t xml:space="preserve"> </w:t>
      </w:r>
    </w:p>
    <w:p w14:paraId="09B17912" w14:textId="3EE9F93D" w:rsidR="0099424C" w:rsidRPr="008C5526" w:rsidRDefault="00510078" w:rsidP="00510078">
      <w:pPr>
        <w:spacing w:line="360" w:lineRule="auto"/>
        <w:rPr>
          <w:rFonts w:ascii="Times New Roman" w:hAnsi="Times New Roman" w:cs="Times New Roman"/>
          <w:b/>
          <w:bCs/>
        </w:rPr>
      </w:pPr>
      <w:r w:rsidRPr="008C5526">
        <w:rPr>
          <w:rFonts w:ascii="Times New Roman" w:hAnsi="Times New Roman" w:cs="Times New Roman"/>
          <w:b/>
          <w:bCs/>
        </w:rPr>
        <w:t xml:space="preserve">3.3 </w:t>
      </w:r>
      <w:r w:rsidR="00211078" w:rsidRPr="008C5526">
        <w:rPr>
          <w:rFonts w:ascii="Times New Roman" w:hAnsi="Times New Roman" w:cs="Times New Roman"/>
          <w:b/>
          <w:bCs/>
        </w:rPr>
        <w:t>Difference-in-Differences Model Results</w:t>
      </w:r>
    </w:p>
    <w:p w14:paraId="39AFE90A" w14:textId="00E713B0" w:rsidR="0086594C" w:rsidRDefault="00895A57" w:rsidP="00840121">
      <w:pPr>
        <w:spacing w:line="360" w:lineRule="auto"/>
        <w:rPr>
          <w:rFonts w:ascii="Times New Roman" w:hAnsi="Times New Roman" w:cs="Times New Roman"/>
        </w:rPr>
      </w:pPr>
      <w:r>
        <w:rPr>
          <w:rFonts w:ascii="Times New Roman" w:hAnsi="Times New Roman" w:cs="Times New Roman"/>
        </w:rPr>
        <w:tab/>
        <w:t xml:space="preserve">Table </w:t>
      </w:r>
      <w:r w:rsidR="00C53E22">
        <w:rPr>
          <w:rFonts w:ascii="Times New Roman" w:hAnsi="Times New Roman" w:cs="Times New Roman"/>
        </w:rPr>
        <w:t>2</w:t>
      </w:r>
      <w:r>
        <w:rPr>
          <w:rFonts w:ascii="Times New Roman" w:hAnsi="Times New Roman" w:cs="Times New Roman"/>
        </w:rPr>
        <w:t xml:space="preserve"> presents the difference-in-differences estimation results across all nine treatment and control group selection strategies. The primary coefficient of interest is the interaction term between treatment status and the post-opening indicator (Treat*post)</w:t>
      </w:r>
      <w:r w:rsidR="00FE7906">
        <w:rPr>
          <w:rFonts w:ascii="Times New Roman" w:hAnsi="Times New Roman" w:cs="Times New Roman"/>
        </w:rPr>
        <w:t>, which captures the differential change in log property prices for treated properties (within 0.5 miles of Blue Line Extension stations) relative to control properties after the line opened in March 2018. Given the log-linear specification, these coefficients can be interpreted approximately as percentage changes in property values.</w:t>
      </w:r>
    </w:p>
    <w:p w14:paraId="2B1BE0A0" w14:textId="7D5CDADE" w:rsidR="00FE7906" w:rsidRDefault="00FE7906" w:rsidP="00840121">
      <w:pPr>
        <w:spacing w:line="360" w:lineRule="auto"/>
        <w:rPr>
          <w:rFonts w:ascii="Times New Roman" w:hAnsi="Times New Roman" w:cs="Times New Roman"/>
        </w:rPr>
      </w:pPr>
      <w:r>
        <w:rPr>
          <w:rFonts w:ascii="Times New Roman" w:hAnsi="Times New Roman" w:cs="Times New Roman"/>
        </w:rPr>
        <w:tab/>
        <w:t>The results show substantially different conclusions reached depending on the control group selection technique. The naïve geographic comparisons indicate the largest estimates: properties near Blue Line Extension stations experienced a 27% price premium relative to the rest of the county (</w:t>
      </w:r>
      <w:r>
        <w:rPr>
          <w:rFonts w:ascii="Times New Roman" w:hAnsi="Times New Roman" w:cs="Times New Roman"/>
          <w:i/>
          <w:iCs/>
        </w:rPr>
        <w:t>p</w:t>
      </w:r>
      <w:r>
        <w:rPr>
          <w:rFonts w:ascii="Times New Roman" w:hAnsi="Times New Roman" w:cs="Times New Roman"/>
        </w:rPr>
        <w:t xml:space="preserve"> &lt; 0.01), an 11% premium relative to properties 1.5-3 miles away (</w:t>
      </w:r>
      <w:r>
        <w:rPr>
          <w:rFonts w:ascii="Times New Roman" w:hAnsi="Times New Roman" w:cs="Times New Roman"/>
          <w:i/>
          <w:iCs/>
        </w:rPr>
        <w:t>p</w:t>
      </w:r>
      <w:r>
        <w:rPr>
          <w:rFonts w:ascii="Times New Roman" w:hAnsi="Times New Roman" w:cs="Times New Roman"/>
        </w:rPr>
        <w:t xml:space="preserve"> &lt; 0.01), and a 13% premium relative to properties near planned, but unbuilt stations (</w:t>
      </w:r>
      <w:r>
        <w:rPr>
          <w:rFonts w:ascii="Times New Roman" w:hAnsi="Times New Roman" w:cs="Times New Roman"/>
          <w:i/>
          <w:iCs/>
        </w:rPr>
        <w:t>p</w:t>
      </w:r>
      <w:r>
        <w:rPr>
          <w:rFonts w:ascii="Times New Roman" w:hAnsi="Times New Roman" w:cs="Times New Roman"/>
        </w:rPr>
        <w:t xml:space="preserve"> &lt; 0.01). These substantial and significant effects may lead researchers to conclude that the Blue Line Extension indeed cause</w:t>
      </w:r>
      <w:r w:rsidR="008C5526">
        <w:rPr>
          <w:rFonts w:ascii="Times New Roman" w:hAnsi="Times New Roman" w:cs="Times New Roman"/>
        </w:rPr>
        <w:t>d a</w:t>
      </w:r>
      <w:r>
        <w:rPr>
          <w:rFonts w:ascii="Times New Roman" w:hAnsi="Times New Roman" w:cs="Times New Roman"/>
        </w:rPr>
        <w:t xml:space="preserve"> substantial property value uplift.</w:t>
      </w:r>
    </w:p>
    <w:p w14:paraId="4121F7BE" w14:textId="6E45726D" w:rsidR="00FE7906" w:rsidRDefault="00FE7906" w:rsidP="00840121">
      <w:pPr>
        <w:spacing w:line="360" w:lineRule="auto"/>
        <w:rPr>
          <w:rFonts w:ascii="Times New Roman" w:hAnsi="Times New Roman" w:cs="Times New Roman"/>
        </w:rPr>
      </w:pPr>
      <w:r>
        <w:rPr>
          <w:rFonts w:ascii="Times New Roman" w:hAnsi="Times New Roman" w:cs="Times New Roman"/>
        </w:rPr>
        <w:tab/>
        <w:t>However, the balance and parallel trends assessment questions the credibility of these estimates. The rest of the county, distance, and planned specifications all demonstrated significant imbalances in observable characteristics, and the rest of the county approach suggested a violation of the parallel trend assumption. The resulting 27% premium from that specification, therefore, likely reflect</w:t>
      </w:r>
      <w:r w:rsidR="008C5526">
        <w:rPr>
          <w:rFonts w:ascii="Times New Roman" w:hAnsi="Times New Roman" w:cs="Times New Roman"/>
        </w:rPr>
        <w:t>s</w:t>
      </w:r>
      <w:r>
        <w:rPr>
          <w:rFonts w:ascii="Times New Roman" w:hAnsi="Times New Roman" w:cs="Times New Roman"/>
        </w:rPr>
        <w:t xml:space="preserve"> a broader continuation of long-standing differences between newly invested-in urban corridors and aging, more distant suburban neighborhoods </w:t>
      </w:r>
      <w:r w:rsidR="00C74FE6">
        <w:rPr>
          <w:rFonts w:ascii="Times New Roman" w:hAnsi="Times New Roman" w:cs="Times New Roman"/>
        </w:rPr>
        <w:t>throughout the county rather than the sole causal effect of the transit line itself. The treatment and control properties in these specifications were never comparable – they differed systematically in age, price, neighborhood composition, and price trajectories before the extension became operational.</w:t>
      </w:r>
    </w:p>
    <w:p w14:paraId="0C9DDAB2" w14:textId="59AAEFF8" w:rsidR="00C74FE6" w:rsidRDefault="00C74FE6" w:rsidP="00840121">
      <w:pPr>
        <w:spacing w:line="360" w:lineRule="auto"/>
        <w:rPr>
          <w:rFonts w:ascii="Times New Roman" w:hAnsi="Times New Roman" w:cs="Times New Roman"/>
        </w:rPr>
      </w:pPr>
      <w:r>
        <w:rPr>
          <w:rFonts w:ascii="Times New Roman" w:hAnsi="Times New Roman" w:cs="Times New Roman"/>
        </w:rPr>
        <w:lastRenderedPageBreak/>
        <w:tab/>
        <w:t>The Propensity Score Matching specifications tell an altogether different story. When matching on property characteristics only (</w:t>
      </w:r>
      <w:proofErr w:type="spellStart"/>
      <w:r>
        <w:rPr>
          <w:rFonts w:ascii="Times New Roman" w:hAnsi="Times New Roman" w:cs="Times New Roman"/>
        </w:rPr>
        <w:t>PSMprop</w:t>
      </w:r>
      <w:proofErr w:type="spellEnd"/>
      <w:r>
        <w:rPr>
          <w:rFonts w:ascii="Times New Roman" w:hAnsi="Times New Roman" w:cs="Times New Roman"/>
        </w:rPr>
        <w:t>), the estimated treatment effect shrinks to a statistically insignificant 0.6%. Matching o</w:t>
      </w:r>
      <w:r w:rsidR="00A94808">
        <w:rPr>
          <w:rFonts w:ascii="Times New Roman" w:hAnsi="Times New Roman" w:cs="Times New Roman"/>
        </w:rPr>
        <w:t>n</w:t>
      </w:r>
      <w:r>
        <w:rPr>
          <w:rFonts w:ascii="Times New Roman" w:hAnsi="Times New Roman" w:cs="Times New Roman"/>
        </w:rPr>
        <w:t xml:space="preserve"> neighborhood characteristics (</w:t>
      </w:r>
      <w:proofErr w:type="spellStart"/>
      <w:r>
        <w:rPr>
          <w:rFonts w:ascii="Times New Roman" w:hAnsi="Times New Roman" w:cs="Times New Roman"/>
        </w:rPr>
        <w:t>PSMneig</w:t>
      </w:r>
      <w:proofErr w:type="spellEnd"/>
      <w:r>
        <w:rPr>
          <w:rFonts w:ascii="Times New Roman" w:hAnsi="Times New Roman" w:cs="Times New Roman"/>
        </w:rPr>
        <w:t>) produces a negative but insignificant estimate of -1.5%. Combining the two (</w:t>
      </w:r>
      <w:proofErr w:type="spellStart"/>
      <w:r>
        <w:rPr>
          <w:rFonts w:ascii="Times New Roman" w:hAnsi="Times New Roman" w:cs="Times New Roman"/>
        </w:rPr>
        <w:t>PSMboth</w:t>
      </w:r>
      <w:proofErr w:type="spellEnd"/>
      <w:r>
        <w:rPr>
          <w:rFonts w:ascii="Times New Roman" w:hAnsi="Times New Roman" w:cs="Times New Roman"/>
        </w:rPr>
        <w:t>) yields an insignificant -2.5%. These near-zero estimates suggest that</w:t>
      </w:r>
      <w:r w:rsidR="00A94808">
        <w:rPr>
          <w:rFonts w:ascii="Times New Roman" w:hAnsi="Times New Roman" w:cs="Times New Roman"/>
        </w:rPr>
        <w:t>,</w:t>
      </w:r>
      <w:r>
        <w:rPr>
          <w:rFonts w:ascii="Times New Roman" w:hAnsi="Times New Roman" w:cs="Times New Roman"/>
        </w:rPr>
        <w:t xml:space="preserve"> once we compare properties that are truly similar on observable dimensions and exhibit similar pre-treatment price trends, the Blue Line Extension had </w:t>
      </w:r>
      <w:r w:rsidR="00A94808">
        <w:rPr>
          <w:rFonts w:ascii="Times New Roman" w:hAnsi="Times New Roman" w:cs="Times New Roman"/>
        </w:rPr>
        <w:t xml:space="preserve">a </w:t>
      </w:r>
      <w:r>
        <w:rPr>
          <w:rFonts w:ascii="Times New Roman" w:hAnsi="Times New Roman" w:cs="Times New Roman"/>
        </w:rPr>
        <w:t>minimal impact on property values.</w:t>
      </w:r>
    </w:p>
    <w:p w14:paraId="54F4AF4B" w14:textId="192C75D5" w:rsidR="00A94808" w:rsidRDefault="00A94808" w:rsidP="00840121">
      <w:pPr>
        <w:spacing w:line="360" w:lineRule="auto"/>
        <w:rPr>
          <w:rFonts w:ascii="Times New Roman" w:hAnsi="Times New Roman" w:cs="Times New Roman"/>
        </w:rPr>
      </w:pPr>
      <w:r>
        <w:rPr>
          <w:rFonts w:ascii="Times New Roman" w:hAnsi="Times New Roman" w:cs="Times New Roman"/>
        </w:rPr>
        <w:tab/>
        <w:t xml:space="preserve">The Coarsened Exact Matching specification produces intermediate results. The </w:t>
      </w:r>
      <w:proofErr w:type="spellStart"/>
      <w:r>
        <w:rPr>
          <w:rFonts w:ascii="Times New Roman" w:hAnsi="Times New Roman" w:cs="Times New Roman"/>
        </w:rPr>
        <w:t>CEMprop</w:t>
      </w:r>
      <w:proofErr w:type="spellEnd"/>
      <w:r>
        <w:rPr>
          <w:rFonts w:ascii="Times New Roman" w:hAnsi="Times New Roman" w:cs="Times New Roman"/>
        </w:rPr>
        <w:t xml:space="preserve"> specification, which achieved the best</w:t>
      </w:r>
      <w:r w:rsidR="008C5526">
        <w:rPr>
          <w:rFonts w:ascii="Times New Roman" w:hAnsi="Times New Roman" w:cs="Times New Roman"/>
        </w:rPr>
        <w:t xml:space="preserve"> property characteristics,</w:t>
      </w:r>
      <w:r>
        <w:rPr>
          <w:rFonts w:ascii="Times New Roman" w:hAnsi="Times New Roman" w:cs="Times New Roman"/>
        </w:rPr>
        <w:t xml:space="preserve"> covariate balance</w:t>
      </w:r>
      <w:r w:rsidR="008C5526">
        <w:rPr>
          <w:rFonts w:ascii="Times New Roman" w:hAnsi="Times New Roman" w:cs="Times New Roman"/>
        </w:rPr>
        <w:t>,</w:t>
      </w:r>
      <w:r>
        <w:rPr>
          <w:rFonts w:ascii="Times New Roman" w:hAnsi="Times New Roman" w:cs="Times New Roman"/>
        </w:rPr>
        <w:t xml:space="preserve"> and good parallel pre-treatment trends, estimates a 6.8% price increase (</w:t>
      </w:r>
      <w:r>
        <w:rPr>
          <w:rFonts w:ascii="Times New Roman" w:hAnsi="Times New Roman" w:cs="Times New Roman"/>
          <w:i/>
          <w:iCs/>
        </w:rPr>
        <w:t>p</w:t>
      </w:r>
      <w:r>
        <w:rPr>
          <w:rFonts w:ascii="Times New Roman" w:hAnsi="Times New Roman" w:cs="Times New Roman"/>
        </w:rPr>
        <w:t xml:space="preserve">&lt;0.10). The tract-level matching approaches, including </w:t>
      </w:r>
      <w:proofErr w:type="spellStart"/>
      <w:r>
        <w:rPr>
          <w:rFonts w:ascii="Times New Roman" w:hAnsi="Times New Roman" w:cs="Times New Roman"/>
        </w:rPr>
        <w:t>CEMneig</w:t>
      </w:r>
      <w:proofErr w:type="spellEnd"/>
      <w:r>
        <w:rPr>
          <w:rFonts w:ascii="Times New Roman" w:hAnsi="Times New Roman" w:cs="Times New Roman"/>
        </w:rPr>
        <w:t xml:space="preserve"> and </w:t>
      </w:r>
      <w:proofErr w:type="spellStart"/>
      <w:r>
        <w:rPr>
          <w:rFonts w:ascii="Times New Roman" w:hAnsi="Times New Roman" w:cs="Times New Roman"/>
        </w:rPr>
        <w:t>CEMboth</w:t>
      </w:r>
      <w:proofErr w:type="spellEnd"/>
      <w:r>
        <w:rPr>
          <w:rFonts w:ascii="Times New Roman" w:hAnsi="Times New Roman" w:cs="Times New Roman"/>
        </w:rPr>
        <w:t>, yield estimates of 7.2% (</w:t>
      </w:r>
      <w:r>
        <w:rPr>
          <w:rFonts w:ascii="Times New Roman" w:hAnsi="Times New Roman" w:cs="Times New Roman"/>
          <w:i/>
          <w:iCs/>
        </w:rPr>
        <w:t>p</w:t>
      </w:r>
      <w:r>
        <w:rPr>
          <w:rFonts w:ascii="Times New Roman" w:hAnsi="Times New Roman" w:cs="Times New Roman"/>
        </w:rPr>
        <w:t>&lt;0.05) and 8.5% (</w:t>
      </w:r>
      <w:r>
        <w:rPr>
          <w:rFonts w:ascii="Times New Roman" w:hAnsi="Times New Roman" w:cs="Times New Roman"/>
          <w:i/>
          <w:iCs/>
        </w:rPr>
        <w:t>p</w:t>
      </w:r>
      <w:r>
        <w:rPr>
          <w:rFonts w:ascii="Times New Roman" w:hAnsi="Times New Roman" w:cs="Times New Roman"/>
        </w:rPr>
        <w:t>&lt;0.10), respectively. While these effects are statistically significant and economically meaningful, they are dramatically smaller than the naïve geographic comparisons suggested.</w:t>
      </w:r>
    </w:p>
    <w:p w14:paraId="05788852" w14:textId="209CA00E" w:rsidR="00A94808" w:rsidRDefault="00A94808" w:rsidP="00840121">
      <w:pPr>
        <w:spacing w:line="360" w:lineRule="auto"/>
        <w:rPr>
          <w:rFonts w:ascii="Times New Roman" w:hAnsi="Times New Roman" w:cs="Times New Roman"/>
        </w:rPr>
      </w:pPr>
      <w:r>
        <w:rPr>
          <w:rFonts w:ascii="Times New Roman" w:hAnsi="Times New Roman" w:cs="Times New Roman"/>
        </w:rPr>
        <w:tab/>
        <w:t>Across all model specifications, the coefficients of the control variables generally behave as expected and remain stable across specifications. Larger lot sizes, more bathrooms, and greater square footage all increase property values, while property age decreases values (with a positive quadratic term capturing depreciation patterns). Distance to the city center exhibits the expected negative relationship with prices in most specifications. The consistency of these structural relationships across specifications increases confidence that the models are well-specified.</w:t>
      </w:r>
    </w:p>
    <w:p w14:paraId="42AFB646" w14:textId="7BAF439A" w:rsidR="00A94808" w:rsidRDefault="00A94808" w:rsidP="00840121">
      <w:pPr>
        <w:spacing w:line="360" w:lineRule="auto"/>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It should be pointed out that the</w:t>
      </w:r>
      <w:proofErr w:type="gramEnd"/>
      <w:r>
        <w:rPr>
          <w:rFonts w:ascii="Times New Roman" w:hAnsi="Times New Roman" w:cs="Times New Roman"/>
        </w:rPr>
        <w:t xml:space="preserve"> sample sizes vary considerably across specifications – from over 233,000 observations in the rest of the county comparison to just 1,058 in </w:t>
      </w:r>
      <w:proofErr w:type="spellStart"/>
      <w:r>
        <w:rPr>
          <w:rFonts w:ascii="Times New Roman" w:hAnsi="Times New Roman" w:cs="Times New Roman"/>
        </w:rPr>
        <w:t>CEMboth</w:t>
      </w:r>
      <w:proofErr w:type="spellEnd"/>
      <w:r>
        <w:rPr>
          <w:rFonts w:ascii="Times New Roman" w:hAnsi="Times New Roman" w:cs="Times New Roman"/>
        </w:rPr>
        <w:t xml:space="preserve">, </w:t>
      </w:r>
      <w:r w:rsidR="00787D6F">
        <w:rPr>
          <w:rFonts w:ascii="Times New Roman" w:hAnsi="Times New Roman" w:cs="Times New Roman"/>
        </w:rPr>
        <w:t>because of</w:t>
      </w:r>
      <w:r>
        <w:rPr>
          <w:rFonts w:ascii="Times New Roman" w:hAnsi="Times New Roman" w:cs="Times New Roman"/>
        </w:rPr>
        <w:t xml:space="preserve"> the stringent matching requirements. The PSM and CEM methods discard observations that cannot be adequately matched, trading sample size for comparability. The model fit statistics (Adjusted R-squared) are consistently high across specifications, ranging from 0.69 to 0.82, indicating that the model explains a substantial portion of price variation. </w:t>
      </w:r>
    </w:p>
    <w:p w14:paraId="251F18F0" w14:textId="59B12D91" w:rsidR="00A94808" w:rsidRPr="00A94808" w:rsidRDefault="00A94808" w:rsidP="00840121">
      <w:pPr>
        <w:spacing w:line="360" w:lineRule="auto"/>
        <w:rPr>
          <w:rFonts w:ascii="Times New Roman" w:hAnsi="Times New Roman" w:cs="Times New Roman"/>
        </w:rPr>
      </w:pPr>
      <w:r>
        <w:rPr>
          <w:rFonts w:ascii="Times New Roman" w:hAnsi="Times New Roman" w:cs="Times New Roman"/>
        </w:rPr>
        <w:tab/>
        <w:t>The inclusion of year fixed effects control</w:t>
      </w:r>
      <w:r w:rsidR="00787D6F">
        <w:rPr>
          <w:rFonts w:ascii="Times New Roman" w:hAnsi="Times New Roman" w:cs="Times New Roman"/>
        </w:rPr>
        <w:t>s</w:t>
      </w:r>
      <w:r>
        <w:rPr>
          <w:rFonts w:ascii="Times New Roman" w:hAnsi="Times New Roman" w:cs="Times New Roman"/>
        </w:rPr>
        <w:t xml:space="preserve"> for common temporal shocks affecting all properties, while census tract fixed effects absor</w:t>
      </w:r>
      <w:r w:rsidR="00787D6F">
        <w:rPr>
          <w:rFonts w:ascii="Times New Roman" w:hAnsi="Times New Roman" w:cs="Times New Roman"/>
        </w:rPr>
        <w:t>b</w:t>
      </w:r>
      <w:r>
        <w:rPr>
          <w:rFonts w:ascii="Times New Roman" w:hAnsi="Times New Roman" w:cs="Times New Roman"/>
        </w:rPr>
        <w:t xml:space="preserve"> time-invariant locational characteristics. These fixed effects are essential for id</w:t>
      </w:r>
      <w:r w:rsidR="00787D6F">
        <w:rPr>
          <w:rFonts w:ascii="Times New Roman" w:hAnsi="Times New Roman" w:cs="Times New Roman"/>
        </w:rPr>
        <w:t>ent</w:t>
      </w:r>
      <w:r>
        <w:rPr>
          <w:rFonts w:ascii="Times New Roman" w:hAnsi="Times New Roman" w:cs="Times New Roman"/>
        </w:rPr>
        <w:t>ification – without them</w:t>
      </w:r>
      <w:r w:rsidR="008C5526">
        <w:rPr>
          <w:rFonts w:ascii="Times New Roman" w:hAnsi="Times New Roman" w:cs="Times New Roman"/>
        </w:rPr>
        <w:t>,</w:t>
      </w:r>
      <w:r>
        <w:rPr>
          <w:rFonts w:ascii="Times New Roman" w:hAnsi="Times New Roman" w:cs="Times New Roman"/>
        </w:rPr>
        <w:t xml:space="preserve"> the Treat*post coefficient would </w:t>
      </w:r>
      <w:r>
        <w:rPr>
          <w:rFonts w:ascii="Times New Roman" w:hAnsi="Times New Roman" w:cs="Times New Roman"/>
        </w:rPr>
        <w:lastRenderedPageBreak/>
        <w:t>confound the effect of the Blue Line Extension with pre-existing price differences between treatment and control areas.</w:t>
      </w:r>
    </w:p>
    <w:p w14:paraId="168850C7" w14:textId="07E3D6CC" w:rsidR="009D368F" w:rsidRDefault="009D368F" w:rsidP="009D368F">
      <w:pPr>
        <w:pStyle w:val="Caption"/>
        <w:keepNext/>
      </w:pPr>
      <w:r>
        <w:t xml:space="preserve">Table </w:t>
      </w:r>
      <w:r w:rsidR="00C53E22">
        <w:t>2</w:t>
      </w:r>
      <w:r>
        <w:t>. Model results for each of the selection strategies</w:t>
      </w:r>
    </w:p>
    <w:tbl>
      <w:tblPr>
        <w:tblW w:w="11267" w:type="dxa"/>
        <w:jc w:val="center"/>
        <w:tblLayout w:type="fixed"/>
        <w:tblLook w:val="0420" w:firstRow="1" w:lastRow="0" w:firstColumn="0" w:lastColumn="0" w:noHBand="0" w:noVBand="1"/>
      </w:tblPr>
      <w:tblGrid>
        <w:gridCol w:w="1844"/>
        <w:gridCol w:w="1048"/>
        <w:gridCol w:w="1048"/>
        <w:gridCol w:w="1048"/>
        <w:gridCol w:w="1048"/>
        <w:gridCol w:w="1048"/>
        <w:gridCol w:w="1048"/>
        <w:gridCol w:w="1048"/>
        <w:gridCol w:w="1048"/>
        <w:gridCol w:w="1039"/>
      </w:tblGrid>
      <w:tr w:rsidR="009D368F" w:rsidRPr="000D6D7E" w14:paraId="4CDDD0F5" w14:textId="77777777" w:rsidTr="0086594C">
        <w:trPr>
          <w:trHeight w:val="397"/>
          <w:tblHeader/>
          <w:jc w:val="center"/>
        </w:trPr>
        <w:tc>
          <w:tcPr>
            <w:tcW w:w="18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C5E978"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p>
        </w:tc>
        <w:tc>
          <w:tcPr>
            <w:tcW w:w="10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9A5725"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Rest</w:t>
            </w:r>
          </w:p>
        </w:tc>
        <w:tc>
          <w:tcPr>
            <w:tcW w:w="10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0DE2E9"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Distance</w:t>
            </w:r>
          </w:p>
        </w:tc>
        <w:tc>
          <w:tcPr>
            <w:tcW w:w="10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C6CE86"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Planned</w:t>
            </w:r>
          </w:p>
        </w:tc>
        <w:tc>
          <w:tcPr>
            <w:tcW w:w="10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EDC843"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proofErr w:type="spellStart"/>
            <w:r w:rsidRPr="000D6D7E">
              <w:rPr>
                <w:rFonts w:ascii="Helvetica" w:eastAsia="Helvetica" w:hAnsi="Helvetica" w:cs="Helvetica"/>
                <w:color w:val="000000"/>
                <w:sz w:val="20"/>
                <w:szCs w:val="20"/>
              </w:rPr>
              <w:t>PSMprop</w:t>
            </w:r>
            <w:proofErr w:type="spellEnd"/>
          </w:p>
        </w:tc>
        <w:tc>
          <w:tcPr>
            <w:tcW w:w="10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28AD87"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proofErr w:type="spellStart"/>
            <w:r w:rsidRPr="000D6D7E">
              <w:rPr>
                <w:rFonts w:ascii="Helvetica" w:eastAsia="Helvetica" w:hAnsi="Helvetica" w:cs="Helvetica"/>
                <w:color w:val="000000"/>
                <w:sz w:val="20"/>
                <w:szCs w:val="20"/>
              </w:rPr>
              <w:t>PSMneig</w:t>
            </w:r>
            <w:proofErr w:type="spellEnd"/>
          </w:p>
        </w:tc>
        <w:tc>
          <w:tcPr>
            <w:tcW w:w="10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95B8D6"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proofErr w:type="spellStart"/>
            <w:r w:rsidRPr="000D6D7E">
              <w:rPr>
                <w:rFonts w:ascii="Helvetica" w:eastAsia="Helvetica" w:hAnsi="Helvetica" w:cs="Helvetica"/>
                <w:color w:val="000000"/>
                <w:sz w:val="20"/>
                <w:szCs w:val="20"/>
              </w:rPr>
              <w:t>PSMboth</w:t>
            </w:r>
            <w:proofErr w:type="spellEnd"/>
          </w:p>
        </w:tc>
        <w:tc>
          <w:tcPr>
            <w:tcW w:w="10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E0A456"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proofErr w:type="spellStart"/>
            <w:r w:rsidRPr="000D6D7E">
              <w:rPr>
                <w:rFonts w:ascii="Helvetica" w:eastAsia="Helvetica" w:hAnsi="Helvetica" w:cs="Helvetica"/>
                <w:color w:val="000000"/>
                <w:sz w:val="20"/>
                <w:szCs w:val="20"/>
              </w:rPr>
              <w:t>CEMprop</w:t>
            </w:r>
            <w:proofErr w:type="spellEnd"/>
          </w:p>
        </w:tc>
        <w:tc>
          <w:tcPr>
            <w:tcW w:w="10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0D52BC"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proofErr w:type="spellStart"/>
            <w:r w:rsidRPr="000D6D7E">
              <w:rPr>
                <w:rFonts w:ascii="Helvetica" w:eastAsia="Helvetica" w:hAnsi="Helvetica" w:cs="Helvetica"/>
                <w:color w:val="000000"/>
                <w:sz w:val="20"/>
                <w:szCs w:val="20"/>
              </w:rPr>
              <w:t>CEMneig</w:t>
            </w:r>
            <w:proofErr w:type="spellEnd"/>
          </w:p>
        </w:tc>
        <w:tc>
          <w:tcPr>
            <w:tcW w:w="10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2BA175"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proofErr w:type="spellStart"/>
            <w:r w:rsidRPr="000D6D7E">
              <w:rPr>
                <w:rFonts w:ascii="Helvetica" w:eastAsia="Helvetica" w:hAnsi="Helvetica" w:cs="Helvetica"/>
                <w:color w:val="000000"/>
                <w:sz w:val="20"/>
                <w:szCs w:val="20"/>
              </w:rPr>
              <w:t>CEMboth</w:t>
            </w:r>
            <w:proofErr w:type="spellEnd"/>
          </w:p>
        </w:tc>
      </w:tr>
      <w:tr w:rsidR="009D368F" w:rsidRPr="000D6D7E" w14:paraId="028A0BF5" w14:textId="77777777" w:rsidTr="0086594C">
        <w:trPr>
          <w:trHeight w:val="397"/>
          <w:jc w:val="center"/>
        </w:trPr>
        <w:tc>
          <w:tcPr>
            <w:tcW w:w="18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61D78"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T</w:t>
            </w:r>
            <w:r w:rsidRPr="000D6D7E">
              <w:rPr>
                <w:rFonts w:ascii="Helvetica" w:eastAsia="Helvetica" w:hAnsi="Helvetica" w:cs="Helvetica"/>
                <w:color w:val="000000"/>
                <w:sz w:val="20"/>
                <w:szCs w:val="20"/>
              </w:rPr>
              <w:t>reat</w:t>
            </w:r>
            <w:r>
              <w:rPr>
                <w:rFonts w:ascii="Helvetica" w:eastAsia="Helvetica" w:hAnsi="Helvetica" w:cs="Helvetica"/>
                <w:color w:val="000000"/>
                <w:sz w:val="20"/>
                <w:szCs w:val="20"/>
              </w:rPr>
              <w:t>*</w:t>
            </w:r>
            <w:r w:rsidRPr="000D6D7E">
              <w:rPr>
                <w:rFonts w:ascii="Helvetica" w:eastAsia="Helvetica" w:hAnsi="Helvetica" w:cs="Helvetica"/>
                <w:color w:val="000000"/>
                <w:sz w:val="20"/>
                <w:szCs w:val="20"/>
              </w:rPr>
              <w:t>post</w:t>
            </w:r>
          </w:p>
        </w:tc>
        <w:tc>
          <w:tcPr>
            <w:tcW w:w="10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575F6"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0.27***</w:t>
            </w:r>
          </w:p>
        </w:tc>
        <w:tc>
          <w:tcPr>
            <w:tcW w:w="10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B3176"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0.11***</w:t>
            </w:r>
          </w:p>
        </w:tc>
        <w:tc>
          <w:tcPr>
            <w:tcW w:w="10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56692"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0.126***</w:t>
            </w:r>
          </w:p>
        </w:tc>
        <w:tc>
          <w:tcPr>
            <w:tcW w:w="10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C9554"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0.006</w:t>
            </w:r>
          </w:p>
        </w:tc>
        <w:tc>
          <w:tcPr>
            <w:tcW w:w="10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98A63"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-0.015</w:t>
            </w:r>
          </w:p>
        </w:tc>
        <w:tc>
          <w:tcPr>
            <w:tcW w:w="10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ECDC3"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-0.025</w:t>
            </w:r>
          </w:p>
        </w:tc>
        <w:tc>
          <w:tcPr>
            <w:tcW w:w="10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8647E"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0.068*</w:t>
            </w:r>
          </w:p>
        </w:tc>
        <w:tc>
          <w:tcPr>
            <w:tcW w:w="10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40785"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0.072**</w:t>
            </w:r>
          </w:p>
        </w:tc>
        <w:tc>
          <w:tcPr>
            <w:tcW w:w="10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159AC"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0.085*</w:t>
            </w:r>
          </w:p>
        </w:tc>
      </w:tr>
      <w:tr w:rsidR="009D368F" w:rsidRPr="000D6D7E" w14:paraId="2FE4E879" w14:textId="77777777" w:rsidTr="0086594C">
        <w:trPr>
          <w:trHeight w:val="397"/>
          <w:jc w:val="center"/>
        </w:trPr>
        <w:tc>
          <w:tcPr>
            <w:tcW w:w="18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95BC6"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T</w:t>
            </w:r>
            <w:r w:rsidRPr="000D6D7E">
              <w:rPr>
                <w:rFonts w:ascii="Helvetica" w:eastAsia="Helvetica" w:hAnsi="Helvetica" w:cs="Helvetica"/>
                <w:color w:val="000000"/>
                <w:sz w:val="20"/>
                <w:szCs w:val="20"/>
              </w:rPr>
              <w:t>reat</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25D06"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0.092***</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79275"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0.134***</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A5844"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0.011</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8E04C"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0.181*</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1BB45"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0.363***</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A230E"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0.041</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F9385"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0.181*</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B4170"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0.125***</w:t>
            </w:r>
          </w:p>
        </w:tc>
        <w:tc>
          <w:tcPr>
            <w:tcW w:w="10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A43B8"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0.172***</w:t>
            </w:r>
          </w:p>
        </w:tc>
      </w:tr>
      <w:tr w:rsidR="009D368F" w:rsidRPr="000D6D7E" w14:paraId="0079DF6D" w14:textId="77777777" w:rsidTr="0086594C">
        <w:trPr>
          <w:trHeight w:val="397"/>
          <w:jc w:val="center"/>
        </w:trPr>
        <w:tc>
          <w:tcPr>
            <w:tcW w:w="18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742BE"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Post</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87C98"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0.982***</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09993"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1.174***</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08BBF"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1.194***</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DF513"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1.251***</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FE02C"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1.254***</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7E502"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1.279***</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93C38"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1.218***</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7F68D"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1.049***</w:t>
            </w:r>
          </w:p>
        </w:tc>
        <w:tc>
          <w:tcPr>
            <w:tcW w:w="10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A60A2"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0.987***</w:t>
            </w:r>
          </w:p>
        </w:tc>
      </w:tr>
      <w:tr w:rsidR="009D368F" w:rsidRPr="000D6D7E" w14:paraId="4A7DFB22" w14:textId="77777777" w:rsidTr="0086594C">
        <w:trPr>
          <w:trHeight w:val="397"/>
          <w:jc w:val="center"/>
        </w:trPr>
        <w:tc>
          <w:tcPr>
            <w:tcW w:w="18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D1164"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Lot size (acres)</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11D64"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0.038***</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1787E"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0.039***</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85AA8"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0.239***</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AB38D"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0.231***</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6FDDE"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0.101***</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5F8BB"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0.225***</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3D18F"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0.238***</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B3A8E"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0.151***</w:t>
            </w:r>
          </w:p>
        </w:tc>
        <w:tc>
          <w:tcPr>
            <w:tcW w:w="10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25119"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0.352***</w:t>
            </w:r>
          </w:p>
        </w:tc>
      </w:tr>
      <w:tr w:rsidR="009D368F" w:rsidRPr="000D6D7E" w14:paraId="2739B4DA" w14:textId="77777777" w:rsidTr="0086594C">
        <w:trPr>
          <w:trHeight w:val="397"/>
          <w:jc w:val="center"/>
        </w:trPr>
        <w:tc>
          <w:tcPr>
            <w:tcW w:w="18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81307"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A</w:t>
            </w:r>
            <w:r w:rsidRPr="000D6D7E">
              <w:rPr>
                <w:rFonts w:ascii="Helvetica" w:eastAsia="Helvetica" w:hAnsi="Helvetica" w:cs="Helvetica"/>
                <w:color w:val="000000"/>
                <w:sz w:val="20"/>
                <w:szCs w:val="20"/>
              </w:rPr>
              <w:t>ge</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EDEEA"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-0.004***</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A9C03"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-0.009***</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FF33C"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-0.009***</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31DF7"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-0.011***</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1460D"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-0.009***</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938D6"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-0.01***</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65AF6"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-0.013***</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C5473"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-0.006***</w:t>
            </w:r>
          </w:p>
        </w:tc>
        <w:tc>
          <w:tcPr>
            <w:tcW w:w="10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0ABC0"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w:t>
            </w:r>
          </w:p>
        </w:tc>
      </w:tr>
      <w:tr w:rsidR="009D368F" w:rsidRPr="000D6D7E" w14:paraId="76E63EBA" w14:textId="77777777" w:rsidTr="0086594C">
        <w:trPr>
          <w:trHeight w:val="397"/>
          <w:jc w:val="center"/>
        </w:trPr>
        <w:tc>
          <w:tcPr>
            <w:tcW w:w="18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BC956"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A</w:t>
            </w:r>
            <w:r w:rsidRPr="000D6D7E">
              <w:rPr>
                <w:rFonts w:ascii="Helvetica" w:eastAsia="Helvetica" w:hAnsi="Helvetica" w:cs="Helvetica"/>
                <w:color w:val="000000"/>
                <w:sz w:val="20"/>
                <w:szCs w:val="20"/>
              </w:rPr>
              <w:t>ge</w:t>
            </w:r>
            <w:r w:rsidRPr="007C0ED2">
              <w:rPr>
                <w:rFonts w:ascii="Helvetica" w:eastAsia="Helvetica" w:hAnsi="Helvetica" w:cs="Helvetica"/>
                <w:color w:val="000000"/>
                <w:sz w:val="20"/>
                <w:szCs w:val="20"/>
                <w:vertAlign w:val="superscript"/>
              </w:rPr>
              <w:t>2</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7E6A5"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83244"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D2AE0"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2BADA"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7111D"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87028"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39A94"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DF6C2"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w:t>
            </w:r>
          </w:p>
        </w:tc>
        <w:tc>
          <w:tcPr>
            <w:tcW w:w="10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045E5"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w:t>
            </w:r>
          </w:p>
        </w:tc>
      </w:tr>
      <w:tr w:rsidR="009D368F" w:rsidRPr="000D6D7E" w14:paraId="768AEDB9" w14:textId="77777777" w:rsidTr="0086594C">
        <w:trPr>
          <w:trHeight w:val="403"/>
          <w:jc w:val="center"/>
        </w:trPr>
        <w:tc>
          <w:tcPr>
            <w:tcW w:w="18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14BEB"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Square footage</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A7B39"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5EF21"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0.001***</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3B263"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0.001***</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F3AEE"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0.001***</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4BACA"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0.001***</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EBAAB"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0.001***</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BD916"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0.001***</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3E5DA"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0.001***</w:t>
            </w:r>
          </w:p>
        </w:tc>
        <w:tc>
          <w:tcPr>
            <w:tcW w:w="10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5B343"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0.001***</w:t>
            </w:r>
          </w:p>
        </w:tc>
      </w:tr>
      <w:tr w:rsidR="009D368F" w:rsidRPr="000D6D7E" w14:paraId="71B9A7C9" w14:textId="77777777" w:rsidTr="0086594C">
        <w:trPr>
          <w:trHeight w:val="397"/>
          <w:jc w:val="center"/>
        </w:trPr>
        <w:tc>
          <w:tcPr>
            <w:tcW w:w="18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ED0FC" w14:textId="77777777" w:rsidR="00211078" w:rsidRPr="007C0ED2"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vertAlign w:val="superscript"/>
              </w:rPr>
            </w:pPr>
            <w:r>
              <w:rPr>
                <w:rFonts w:ascii="Helvetica" w:eastAsia="Helvetica" w:hAnsi="Helvetica" w:cs="Helvetica"/>
                <w:color w:val="000000"/>
                <w:sz w:val="20"/>
                <w:szCs w:val="20"/>
              </w:rPr>
              <w:t>Square footage</w:t>
            </w:r>
            <w:r>
              <w:rPr>
                <w:rFonts w:ascii="Helvetica" w:eastAsia="Helvetica" w:hAnsi="Helvetica" w:cs="Helvetica"/>
                <w:color w:val="000000"/>
                <w:sz w:val="20"/>
                <w:szCs w:val="20"/>
                <w:vertAlign w:val="superscript"/>
              </w:rPr>
              <w:t>2</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43A45"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C6A65"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A6BCC"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65969"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0E4FD"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DA190"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C017B"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1A24E"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w:t>
            </w:r>
          </w:p>
        </w:tc>
        <w:tc>
          <w:tcPr>
            <w:tcW w:w="10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C3CEA"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w:t>
            </w:r>
          </w:p>
        </w:tc>
      </w:tr>
      <w:tr w:rsidR="009D368F" w:rsidRPr="000D6D7E" w14:paraId="7C1E938A" w14:textId="77777777" w:rsidTr="0086594C">
        <w:trPr>
          <w:trHeight w:val="397"/>
          <w:jc w:val="center"/>
        </w:trPr>
        <w:tc>
          <w:tcPr>
            <w:tcW w:w="18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6AE7F"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B</w:t>
            </w:r>
            <w:r w:rsidRPr="000D6D7E">
              <w:rPr>
                <w:rFonts w:ascii="Helvetica" w:eastAsia="Helvetica" w:hAnsi="Helvetica" w:cs="Helvetica"/>
                <w:color w:val="000000"/>
                <w:sz w:val="20"/>
                <w:szCs w:val="20"/>
              </w:rPr>
              <w:t>edrooms</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12E4E"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-0.018***</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A3D07"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-0.002</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41574"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0.001</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7C9CD"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-0.007</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57BF6"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-0.001</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178F2"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0.012</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98799"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-0.024</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3CE73"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0.014</w:t>
            </w:r>
          </w:p>
        </w:tc>
        <w:tc>
          <w:tcPr>
            <w:tcW w:w="10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3F1C2"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0.024</w:t>
            </w:r>
          </w:p>
        </w:tc>
      </w:tr>
      <w:tr w:rsidR="009D368F" w:rsidRPr="000D6D7E" w14:paraId="628CFC1A" w14:textId="77777777" w:rsidTr="0086594C">
        <w:trPr>
          <w:trHeight w:val="397"/>
          <w:jc w:val="center"/>
        </w:trPr>
        <w:tc>
          <w:tcPr>
            <w:tcW w:w="18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EFCD6"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F</w:t>
            </w:r>
            <w:r w:rsidRPr="000D6D7E">
              <w:rPr>
                <w:rFonts w:ascii="Helvetica" w:eastAsia="Helvetica" w:hAnsi="Helvetica" w:cs="Helvetica"/>
                <w:color w:val="000000"/>
                <w:sz w:val="20"/>
                <w:szCs w:val="20"/>
              </w:rPr>
              <w:t>ull</w:t>
            </w:r>
            <w:r>
              <w:rPr>
                <w:rFonts w:ascii="Helvetica" w:eastAsia="Helvetica" w:hAnsi="Helvetica" w:cs="Helvetica"/>
                <w:color w:val="000000"/>
                <w:sz w:val="20"/>
                <w:szCs w:val="20"/>
              </w:rPr>
              <w:t xml:space="preserve"> </w:t>
            </w:r>
            <w:r w:rsidRPr="000D6D7E">
              <w:rPr>
                <w:rFonts w:ascii="Helvetica" w:eastAsia="Helvetica" w:hAnsi="Helvetica" w:cs="Helvetica"/>
                <w:color w:val="000000"/>
                <w:sz w:val="20"/>
                <w:szCs w:val="20"/>
              </w:rPr>
              <w:t>baths</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66035"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0.072***</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58926"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0.099***</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B63FA"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0.095***</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73A40"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0.129***</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26737"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0.078***</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E8B23"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0.094***</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C959A"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0.194***</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4379F"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0.113***</w:t>
            </w:r>
          </w:p>
        </w:tc>
        <w:tc>
          <w:tcPr>
            <w:tcW w:w="10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6A036"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0.114**</w:t>
            </w:r>
          </w:p>
        </w:tc>
      </w:tr>
      <w:tr w:rsidR="009D368F" w:rsidRPr="000D6D7E" w14:paraId="43C1F0D7" w14:textId="77777777" w:rsidTr="0086594C">
        <w:trPr>
          <w:trHeight w:val="628"/>
          <w:jc w:val="center"/>
        </w:trPr>
        <w:tc>
          <w:tcPr>
            <w:tcW w:w="18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04C08"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Distance to city center (miles)</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1BFE5"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0.003</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BB119"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-0.526***</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5DE0D"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-0.306***</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48DFD"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-0.587***</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7E0A7"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-0.418***</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233EB"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-0.645***</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EA2A1"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-0.816***</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1AF51"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0.075*</w:t>
            </w:r>
          </w:p>
        </w:tc>
        <w:tc>
          <w:tcPr>
            <w:tcW w:w="10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F6C14"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-0.211*</w:t>
            </w:r>
          </w:p>
        </w:tc>
      </w:tr>
      <w:tr w:rsidR="009D368F" w:rsidRPr="000D6D7E" w14:paraId="58881C5C" w14:textId="77777777" w:rsidTr="0086594C">
        <w:trPr>
          <w:trHeight w:val="397"/>
          <w:jc w:val="center"/>
        </w:trPr>
        <w:tc>
          <w:tcPr>
            <w:tcW w:w="18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13D14" w14:textId="77777777" w:rsidR="00211078" w:rsidRPr="007C0ED2"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vertAlign w:val="superscript"/>
              </w:rPr>
            </w:pPr>
            <w:r>
              <w:rPr>
                <w:rFonts w:ascii="Helvetica" w:eastAsia="Helvetica" w:hAnsi="Helvetica" w:cs="Helvetica"/>
                <w:color w:val="000000"/>
                <w:sz w:val="20"/>
                <w:szCs w:val="20"/>
              </w:rPr>
              <w:t>Distance to city center</w:t>
            </w:r>
            <w:r>
              <w:rPr>
                <w:rFonts w:ascii="Helvetica" w:eastAsia="Helvetica" w:hAnsi="Helvetica" w:cs="Helvetica"/>
                <w:color w:val="000000"/>
                <w:sz w:val="20"/>
                <w:szCs w:val="20"/>
                <w:vertAlign w:val="superscript"/>
              </w:rPr>
              <w:t>2</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0DAFF"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0.001***</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E1AFE"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0.035***</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E4F27"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0.021***</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F4C94"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0.047***</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9B990"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0.038***</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07D17"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0.051***</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BA28A"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0.066***</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75C81"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0.001</w:t>
            </w:r>
          </w:p>
        </w:tc>
        <w:tc>
          <w:tcPr>
            <w:tcW w:w="10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48892"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0.021**</w:t>
            </w:r>
          </w:p>
        </w:tc>
      </w:tr>
      <w:tr w:rsidR="009D368F" w:rsidRPr="000D6D7E" w14:paraId="3AB61E45" w14:textId="77777777" w:rsidTr="0086594C">
        <w:trPr>
          <w:trHeight w:val="397"/>
          <w:jc w:val="center"/>
        </w:trPr>
        <w:tc>
          <w:tcPr>
            <w:tcW w:w="18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4CEA9"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Year FEs</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9100C"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Yes</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9705B"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Yes</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81E49"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Yes</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EBE73"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Yes</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CF2C9"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Yes</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AB48E"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Yes</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D7385"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Yes</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5772E"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Yes</w:t>
            </w:r>
          </w:p>
        </w:tc>
        <w:tc>
          <w:tcPr>
            <w:tcW w:w="10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9EC97"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Yes</w:t>
            </w:r>
          </w:p>
        </w:tc>
      </w:tr>
      <w:tr w:rsidR="009D368F" w:rsidRPr="000D6D7E" w14:paraId="6BBAF9A5" w14:textId="77777777" w:rsidTr="0086594C">
        <w:trPr>
          <w:trHeight w:val="397"/>
          <w:jc w:val="center"/>
        </w:trPr>
        <w:tc>
          <w:tcPr>
            <w:tcW w:w="18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4067E"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Tract FEs</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A1046"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Yes</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F3B0E"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Yes</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93199"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Yes</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08630"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Yes</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89D7A"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Yes</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E3A72"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Yes</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4FB42"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Yes</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7F6A1"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Yes</w:t>
            </w:r>
          </w:p>
        </w:tc>
        <w:tc>
          <w:tcPr>
            <w:tcW w:w="10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D6EA7"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Yes</w:t>
            </w:r>
          </w:p>
        </w:tc>
      </w:tr>
      <w:tr w:rsidR="009D368F" w:rsidRPr="000D6D7E" w14:paraId="5D96F323" w14:textId="77777777" w:rsidTr="0086594C">
        <w:trPr>
          <w:trHeight w:val="403"/>
          <w:jc w:val="center"/>
        </w:trPr>
        <w:tc>
          <w:tcPr>
            <w:tcW w:w="18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82E3E"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Intercept</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2F1BD"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11.208***</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0CB2E"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11.995***</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F96BB"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11.466***</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63071"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11.849***</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D34D7"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11.769***</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11B7C"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12.249***</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835CC"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11.825***</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48D1C"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10.058***</w:t>
            </w:r>
          </w:p>
        </w:tc>
        <w:tc>
          <w:tcPr>
            <w:tcW w:w="10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60EE9"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10.65***</w:t>
            </w:r>
          </w:p>
        </w:tc>
      </w:tr>
      <w:tr w:rsidR="009D368F" w:rsidRPr="000D6D7E" w14:paraId="7F7C0935" w14:textId="77777777" w:rsidTr="0086594C">
        <w:trPr>
          <w:trHeight w:val="397"/>
          <w:jc w:val="center"/>
        </w:trPr>
        <w:tc>
          <w:tcPr>
            <w:tcW w:w="18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A652D"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Adj R</w:t>
            </w:r>
            <w:r w:rsidRPr="007C0ED2">
              <w:rPr>
                <w:rFonts w:ascii="Helvetica" w:eastAsia="Helvetica" w:hAnsi="Helvetica" w:cs="Helvetica"/>
                <w:color w:val="000000"/>
                <w:sz w:val="20"/>
                <w:szCs w:val="20"/>
                <w:vertAlign w:val="superscript"/>
              </w:rPr>
              <w:t>2</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8328F"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0.822</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86F2B"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0.77</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D9F95"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0.752</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00499"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0.771</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D49E1"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0.816</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836F3"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0.791</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0C5A5"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0.727</w:t>
            </w:r>
          </w:p>
        </w:tc>
        <w:tc>
          <w:tcPr>
            <w:tcW w:w="10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B1BB6"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0.694</w:t>
            </w:r>
          </w:p>
        </w:tc>
        <w:tc>
          <w:tcPr>
            <w:tcW w:w="10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30DFA"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0.71</w:t>
            </w:r>
          </w:p>
        </w:tc>
      </w:tr>
      <w:tr w:rsidR="009D368F" w:rsidRPr="000D6D7E" w14:paraId="40D5CBE0" w14:textId="77777777" w:rsidTr="0086594C">
        <w:trPr>
          <w:trHeight w:val="397"/>
          <w:jc w:val="center"/>
        </w:trPr>
        <w:tc>
          <w:tcPr>
            <w:tcW w:w="18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7A2AD7"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N</w:t>
            </w:r>
          </w:p>
        </w:tc>
        <w:tc>
          <w:tcPr>
            <w:tcW w:w="10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CA6C38"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233</w:t>
            </w:r>
            <w:r>
              <w:rPr>
                <w:rFonts w:ascii="Helvetica" w:eastAsia="Helvetica" w:hAnsi="Helvetica" w:cs="Helvetica"/>
                <w:color w:val="000000"/>
                <w:sz w:val="20"/>
                <w:szCs w:val="20"/>
              </w:rPr>
              <w:t>,</w:t>
            </w:r>
            <w:r w:rsidRPr="000D6D7E">
              <w:rPr>
                <w:rFonts w:ascii="Helvetica" w:eastAsia="Helvetica" w:hAnsi="Helvetica" w:cs="Helvetica"/>
                <w:color w:val="000000"/>
                <w:sz w:val="20"/>
                <w:szCs w:val="20"/>
              </w:rPr>
              <w:t>267</w:t>
            </w:r>
          </w:p>
        </w:tc>
        <w:tc>
          <w:tcPr>
            <w:tcW w:w="10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A692B0"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9</w:t>
            </w:r>
            <w:r>
              <w:rPr>
                <w:rFonts w:ascii="Helvetica" w:eastAsia="Helvetica" w:hAnsi="Helvetica" w:cs="Helvetica"/>
                <w:color w:val="000000"/>
                <w:sz w:val="20"/>
                <w:szCs w:val="20"/>
              </w:rPr>
              <w:t>,</w:t>
            </w:r>
            <w:r w:rsidRPr="000D6D7E">
              <w:rPr>
                <w:rFonts w:ascii="Helvetica" w:eastAsia="Helvetica" w:hAnsi="Helvetica" w:cs="Helvetica"/>
                <w:color w:val="000000"/>
                <w:sz w:val="20"/>
                <w:szCs w:val="20"/>
              </w:rPr>
              <w:t>460</w:t>
            </w:r>
          </w:p>
        </w:tc>
        <w:tc>
          <w:tcPr>
            <w:tcW w:w="10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562475"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6</w:t>
            </w:r>
            <w:r>
              <w:rPr>
                <w:rFonts w:ascii="Helvetica" w:eastAsia="Helvetica" w:hAnsi="Helvetica" w:cs="Helvetica"/>
                <w:color w:val="000000"/>
                <w:sz w:val="20"/>
                <w:szCs w:val="20"/>
              </w:rPr>
              <w:t>,</w:t>
            </w:r>
            <w:r w:rsidRPr="000D6D7E">
              <w:rPr>
                <w:rFonts w:ascii="Helvetica" w:eastAsia="Helvetica" w:hAnsi="Helvetica" w:cs="Helvetica"/>
                <w:color w:val="000000"/>
                <w:sz w:val="20"/>
                <w:szCs w:val="20"/>
              </w:rPr>
              <w:t>976</w:t>
            </w:r>
          </w:p>
        </w:tc>
        <w:tc>
          <w:tcPr>
            <w:tcW w:w="10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C17106"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3</w:t>
            </w:r>
            <w:r>
              <w:rPr>
                <w:rFonts w:ascii="Helvetica" w:eastAsia="Helvetica" w:hAnsi="Helvetica" w:cs="Helvetica"/>
                <w:color w:val="000000"/>
                <w:sz w:val="20"/>
                <w:szCs w:val="20"/>
              </w:rPr>
              <w:t>,</w:t>
            </w:r>
            <w:r w:rsidRPr="000D6D7E">
              <w:rPr>
                <w:rFonts w:ascii="Helvetica" w:eastAsia="Helvetica" w:hAnsi="Helvetica" w:cs="Helvetica"/>
                <w:color w:val="000000"/>
                <w:sz w:val="20"/>
                <w:szCs w:val="20"/>
              </w:rPr>
              <w:t>832</w:t>
            </w:r>
          </w:p>
        </w:tc>
        <w:tc>
          <w:tcPr>
            <w:tcW w:w="10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19C8D3"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15</w:t>
            </w:r>
            <w:r>
              <w:rPr>
                <w:rFonts w:ascii="Helvetica" w:eastAsia="Helvetica" w:hAnsi="Helvetica" w:cs="Helvetica"/>
                <w:color w:val="000000"/>
                <w:sz w:val="20"/>
                <w:szCs w:val="20"/>
              </w:rPr>
              <w:t>,</w:t>
            </w:r>
            <w:r w:rsidRPr="000D6D7E">
              <w:rPr>
                <w:rFonts w:ascii="Helvetica" w:eastAsia="Helvetica" w:hAnsi="Helvetica" w:cs="Helvetica"/>
                <w:color w:val="000000"/>
                <w:sz w:val="20"/>
                <w:szCs w:val="20"/>
              </w:rPr>
              <w:t>981</w:t>
            </w:r>
          </w:p>
        </w:tc>
        <w:tc>
          <w:tcPr>
            <w:tcW w:w="10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3A11BB"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3</w:t>
            </w:r>
            <w:r>
              <w:rPr>
                <w:rFonts w:ascii="Helvetica" w:eastAsia="Helvetica" w:hAnsi="Helvetica" w:cs="Helvetica"/>
                <w:color w:val="000000"/>
                <w:sz w:val="20"/>
                <w:szCs w:val="20"/>
              </w:rPr>
              <w:t>,</w:t>
            </w:r>
            <w:r w:rsidRPr="000D6D7E">
              <w:rPr>
                <w:rFonts w:ascii="Helvetica" w:eastAsia="Helvetica" w:hAnsi="Helvetica" w:cs="Helvetica"/>
                <w:color w:val="000000"/>
                <w:sz w:val="20"/>
                <w:szCs w:val="20"/>
              </w:rPr>
              <w:t>832</w:t>
            </w:r>
          </w:p>
        </w:tc>
        <w:tc>
          <w:tcPr>
            <w:tcW w:w="10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C70CED"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2</w:t>
            </w:r>
            <w:r>
              <w:rPr>
                <w:rFonts w:ascii="Helvetica" w:eastAsia="Helvetica" w:hAnsi="Helvetica" w:cs="Helvetica"/>
                <w:color w:val="000000"/>
                <w:sz w:val="20"/>
                <w:szCs w:val="20"/>
              </w:rPr>
              <w:t>,</w:t>
            </w:r>
            <w:r w:rsidRPr="000D6D7E">
              <w:rPr>
                <w:rFonts w:ascii="Helvetica" w:eastAsia="Helvetica" w:hAnsi="Helvetica" w:cs="Helvetica"/>
                <w:color w:val="000000"/>
                <w:sz w:val="20"/>
                <w:szCs w:val="20"/>
              </w:rPr>
              <w:t>750</w:t>
            </w:r>
          </w:p>
        </w:tc>
        <w:tc>
          <w:tcPr>
            <w:tcW w:w="10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479959"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6</w:t>
            </w:r>
            <w:r>
              <w:rPr>
                <w:rFonts w:ascii="Helvetica" w:eastAsia="Helvetica" w:hAnsi="Helvetica" w:cs="Helvetica"/>
                <w:color w:val="000000"/>
                <w:sz w:val="20"/>
                <w:szCs w:val="20"/>
              </w:rPr>
              <w:t>,</w:t>
            </w:r>
            <w:r w:rsidRPr="000D6D7E">
              <w:rPr>
                <w:rFonts w:ascii="Helvetica" w:eastAsia="Helvetica" w:hAnsi="Helvetica" w:cs="Helvetica"/>
                <w:color w:val="000000"/>
                <w:sz w:val="20"/>
                <w:szCs w:val="20"/>
              </w:rPr>
              <w:t>002</w:t>
            </w:r>
          </w:p>
        </w:tc>
        <w:tc>
          <w:tcPr>
            <w:tcW w:w="10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D2961F" w14:textId="77777777" w:rsidR="00211078" w:rsidRPr="000D6D7E" w:rsidRDefault="00211078" w:rsidP="00A4282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sidRPr="000D6D7E">
              <w:rPr>
                <w:rFonts w:ascii="Helvetica" w:eastAsia="Helvetica" w:hAnsi="Helvetica" w:cs="Helvetica"/>
                <w:color w:val="000000"/>
                <w:sz w:val="20"/>
                <w:szCs w:val="20"/>
              </w:rPr>
              <w:t>1</w:t>
            </w:r>
            <w:r>
              <w:rPr>
                <w:rFonts w:ascii="Helvetica" w:eastAsia="Helvetica" w:hAnsi="Helvetica" w:cs="Helvetica"/>
                <w:color w:val="000000"/>
                <w:sz w:val="20"/>
                <w:szCs w:val="20"/>
              </w:rPr>
              <w:t>,</w:t>
            </w:r>
            <w:r w:rsidRPr="000D6D7E">
              <w:rPr>
                <w:rFonts w:ascii="Helvetica" w:eastAsia="Helvetica" w:hAnsi="Helvetica" w:cs="Helvetica"/>
                <w:color w:val="000000"/>
                <w:sz w:val="20"/>
                <w:szCs w:val="20"/>
              </w:rPr>
              <w:t>058</w:t>
            </w:r>
          </w:p>
        </w:tc>
      </w:tr>
    </w:tbl>
    <w:p w14:paraId="22CC4027" w14:textId="77777777" w:rsidR="00211078" w:rsidRDefault="00211078" w:rsidP="00840121">
      <w:pPr>
        <w:spacing w:line="360" w:lineRule="auto"/>
        <w:rPr>
          <w:rFonts w:ascii="Times New Roman" w:hAnsi="Times New Roman" w:cs="Times New Roman"/>
        </w:rPr>
      </w:pPr>
    </w:p>
    <w:p w14:paraId="1227A1BB" w14:textId="7075CBFF" w:rsidR="00162EAF" w:rsidRDefault="00510078" w:rsidP="00840121">
      <w:pPr>
        <w:spacing w:line="360" w:lineRule="auto"/>
        <w:rPr>
          <w:rFonts w:ascii="Times New Roman" w:hAnsi="Times New Roman" w:cs="Times New Roman"/>
          <w:b/>
          <w:bCs/>
        </w:rPr>
      </w:pPr>
      <w:r>
        <w:rPr>
          <w:rFonts w:ascii="Times New Roman" w:hAnsi="Times New Roman" w:cs="Times New Roman"/>
          <w:b/>
          <w:bCs/>
        </w:rPr>
        <w:t xml:space="preserve">4. </w:t>
      </w:r>
      <w:r w:rsidR="00162EAF">
        <w:rPr>
          <w:rFonts w:ascii="Times New Roman" w:hAnsi="Times New Roman" w:cs="Times New Roman"/>
          <w:b/>
          <w:bCs/>
        </w:rPr>
        <w:t>Conclusion</w:t>
      </w:r>
    </w:p>
    <w:p w14:paraId="55402511" w14:textId="6252CFD7" w:rsidR="00162EAF" w:rsidRDefault="00162EAF" w:rsidP="00840121">
      <w:pPr>
        <w:spacing w:line="36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Synthesizing across all specifications, what can we conclude about the </w:t>
      </w:r>
      <w:r w:rsidR="00304B95">
        <w:rPr>
          <w:rFonts w:ascii="Times New Roman" w:hAnsi="Times New Roman" w:cs="Times New Roman"/>
        </w:rPr>
        <w:t xml:space="preserve">impact of the </w:t>
      </w:r>
      <w:r>
        <w:rPr>
          <w:rFonts w:ascii="Times New Roman" w:hAnsi="Times New Roman" w:cs="Times New Roman"/>
        </w:rPr>
        <w:t xml:space="preserve">Blue Line Extension on property values? The most credible estimates come from the specifications that achieved good covariate balance and exhibited parallel pre-treatment trends, or those </w:t>
      </w:r>
      <w:r>
        <w:rPr>
          <w:rFonts w:ascii="Times New Roman" w:hAnsi="Times New Roman" w:cs="Times New Roman"/>
        </w:rPr>
        <w:lastRenderedPageBreak/>
        <w:t xml:space="preserve">primarily using the CEM methods. These findings suggest a modest positive effect in the range of 7.9%, which is considerably smaller than </w:t>
      </w:r>
      <w:r w:rsidR="008C5526">
        <w:rPr>
          <w:rFonts w:ascii="Times New Roman" w:hAnsi="Times New Roman" w:cs="Times New Roman"/>
        </w:rPr>
        <w:t xml:space="preserve">what the </w:t>
      </w:r>
      <w:r>
        <w:rPr>
          <w:rFonts w:ascii="Times New Roman" w:hAnsi="Times New Roman" w:cs="Times New Roman"/>
        </w:rPr>
        <w:t>naïve comparisons would indicate, but still economically meaningful. For a property initially valued at $200,000, a 7-9% increase represents an additional value of $14,000</w:t>
      </w:r>
      <w:r w:rsidR="008C5526">
        <w:rPr>
          <w:rFonts w:ascii="Times New Roman" w:hAnsi="Times New Roman" w:cs="Times New Roman"/>
        </w:rPr>
        <w:t xml:space="preserve"> to </w:t>
      </w:r>
      <w:r>
        <w:rPr>
          <w:rFonts w:ascii="Times New Roman" w:hAnsi="Times New Roman" w:cs="Times New Roman"/>
        </w:rPr>
        <w:t>$18,000. However, the PSM specifications that also achieved excellent balance yield null effects, leaving some ambiguity about the true magnitude of transit-caused capitalization.</w:t>
      </w:r>
      <w:r w:rsidR="00DA7497">
        <w:rPr>
          <w:rFonts w:ascii="Times New Roman" w:hAnsi="Times New Roman" w:cs="Times New Roman"/>
        </w:rPr>
        <w:t xml:space="preserve"> E</w:t>
      </w:r>
      <w:r>
        <w:rPr>
          <w:rFonts w:ascii="Times New Roman" w:hAnsi="Times New Roman" w:cs="Times New Roman"/>
        </w:rPr>
        <w:t>ven if we accept the CEM estimates as the most credible, they represent an average effect across all properties within a half-mile radius of the stations. These averages likely mask considerable heterogeneity, as properties immediately adjacent to stations or closer to the city center likely experienced larger effects than those at the periphery. The null PSM results could reflect true heterogeneity being averaged out, especially if PSM</w:t>
      </w:r>
      <w:r w:rsidR="008C5526">
        <w:rPr>
          <w:rFonts w:ascii="Times New Roman" w:hAnsi="Times New Roman" w:cs="Times New Roman"/>
        </w:rPr>
        <w:t>-</w:t>
      </w:r>
      <w:r>
        <w:rPr>
          <w:rFonts w:ascii="Times New Roman" w:hAnsi="Times New Roman" w:cs="Times New Roman"/>
        </w:rPr>
        <w:t xml:space="preserve">matched properties </w:t>
      </w:r>
      <w:r w:rsidR="00AA5FD0">
        <w:rPr>
          <w:rFonts w:ascii="Times New Roman" w:hAnsi="Times New Roman" w:cs="Times New Roman"/>
        </w:rPr>
        <w:t xml:space="preserve">are </w:t>
      </w:r>
      <w:r>
        <w:rPr>
          <w:rFonts w:ascii="Times New Roman" w:hAnsi="Times New Roman" w:cs="Times New Roman"/>
        </w:rPr>
        <w:t xml:space="preserve">in systematically different micro-locations than </w:t>
      </w:r>
      <w:r w:rsidR="008C5526">
        <w:rPr>
          <w:rFonts w:ascii="Times New Roman" w:hAnsi="Times New Roman" w:cs="Times New Roman"/>
        </w:rPr>
        <w:t xml:space="preserve">those of </w:t>
      </w:r>
      <w:r>
        <w:rPr>
          <w:rFonts w:ascii="Times New Roman" w:hAnsi="Times New Roman" w:cs="Times New Roman"/>
        </w:rPr>
        <w:t>CEM.</w:t>
      </w:r>
    </w:p>
    <w:p w14:paraId="3F17FE81" w14:textId="71FCB99D" w:rsidR="005A66D7" w:rsidRDefault="00DA7497" w:rsidP="00840121">
      <w:pPr>
        <w:spacing w:line="360" w:lineRule="auto"/>
        <w:rPr>
          <w:rFonts w:ascii="Times New Roman" w:hAnsi="Times New Roman" w:cs="Times New Roman"/>
        </w:rPr>
      </w:pPr>
      <w:r>
        <w:rPr>
          <w:rFonts w:ascii="Times New Roman" w:hAnsi="Times New Roman" w:cs="Times New Roman"/>
        </w:rPr>
        <w:tab/>
        <w:t>Given these modest-to-null impacts on property values, we now turn to the logic behind the original question at hand:</w:t>
      </w:r>
      <w:r w:rsidR="0092027B">
        <w:rPr>
          <w:rFonts w:ascii="Times New Roman" w:hAnsi="Times New Roman" w:cs="Times New Roman"/>
        </w:rPr>
        <w:t xml:space="preserve"> would a </w:t>
      </w:r>
      <w:r w:rsidR="005A66D7">
        <w:rPr>
          <w:rFonts w:ascii="Times New Roman" w:hAnsi="Times New Roman" w:cs="Times New Roman"/>
        </w:rPr>
        <w:t>7-9% increase in property values be sufficient to trigger the demographic displacement and neighborhood transformation that characterizes gentrification? The mechanism by which modest property value increases translate into neighborhood change is far from straightforward, and the evidence suggests a different pathway operates in TOD contexts that may be independent of the actual train.</w:t>
      </w:r>
    </w:p>
    <w:p w14:paraId="54B18F0E" w14:textId="108BE183" w:rsidR="00DA7497" w:rsidRDefault="00DA7497" w:rsidP="008C5526">
      <w:pPr>
        <w:spacing w:line="360" w:lineRule="auto"/>
        <w:ind w:firstLine="720"/>
        <w:rPr>
          <w:rFonts w:ascii="Times New Roman" w:hAnsi="Times New Roman" w:cs="Times New Roman"/>
        </w:rPr>
      </w:pPr>
      <w:r>
        <w:rPr>
          <w:rFonts w:ascii="Times New Roman" w:hAnsi="Times New Roman" w:cs="Times New Roman"/>
        </w:rPr>
        <w:t>For homeowners</w:t>
      </w:r>
      <w:r w:rsidR="008C5526">
        <w:rPr>
          <w:rFonts w:ascii="Times New Roman" w:hAnsi="Times New Roman" w:cs="Times New Roman"/>
        </w:rPr>
        <w:t xml:space="preserve"> of modestly priced properties</w:t>
      </w:r>
      <w:r>
        <w:rPr>
          <w:rFonts w:ascii="Times New Roman" w:hAnsi="Times New Roman" w:cs="Times New Roman"/>
        </w:rPr>
        <w:t xml:space="preserve">, </w:t>
      </w:r>
      <w:r w:rsidR="005A66D7">
        <w:rPr>
          <w:rFonts w:ascii="Times New Roman" w:hAnsi="Times New Roman" w:cs="Times New Roman"/>
        </w:rPr>
        <w:t>a $14,000</w:t>
      </w:r>
      <w:r w:rsidR="008C5526">
        <w:rPr>
          <w:rFonts w:ascii="Times New Roman" w:hAnsi="Times New Roman" w:cs="Times New Roman"/>
        </w:rPr>
        <w:t xml:space="preserve"> to </w:t>
      </w:r>
      <w:r w:rsidR="005A66D7">
        <w:rPr>
          <w:rFonts w:ascii="Times New Roman" w:hAnsi="Times New Roman" w:cs="Times New Roman"/>
        </w:rPr>
        <w:t xml:space="preserve">$18,000 increase in home value represents unrealized capital gains that only materialize upon sale or refinancing. While property tax assessment may increase accordingly, the magnitude is likely modest relative to the forces typically associated with rapid neighborhood change. Annual property tax increases in this instance may amount to up to $500 per year, depending on the effective tax rate, which, while not trivial, is unlikely to trigger widespread displacement on its own (especially considering moving costs). </w:t>
      </w:r>
      <w:r>
        <w:rPr>
          <w:rFonts w:ascii="Times New Roman" w:hAnsi="Times New Roman" w:cs="Times New Roman"/>
        </w:rPr>
        <w:t xml:space="preserve">Prior research has examined the extent to which property tax increases spur </w:t>
      </w:r>
      <w:r w:rsidR="00417A99">
        <w:rPr>
          <w:rFonts w:ascii="Times New Roman" w:hAnsi="Times New Roman" w:cs="Times New Roman"/>
        </w:rPr>
        <w:t xml:space="preserve">displacement </w:t>
      </w:r>
      <w:r w:rsidR="008C5526">
        <w:rPr>
          <w:rFonts w:ascii="Times New Roman" w:hAnsi="Times New Roman" w:cs="Times New Roman"/>
        </w:rPr>
        <w:t>and</w:t>
      </w:r>
      <w:r w:rsidR="00983D3D">
        <w:rPr>
          <w:rFonts w:ascii="Times New Roman" w:hAnsi="Times New Roman" w:cs="Times New Roman"/>
        </w:rPr>
        <w:t xml:space="preserve"> has yielded</w:t>
      </w:r>
      <w:r>
        <w:rPr>
          <w:rFonts w:ascii="Times New Roman" w:hAnsi="Times New Roman" w:cs="Times New Roman"/>
        </w:rPr>
        <w:t xml:space="preserve"> no supporting empirical evidence (Martin and Beck, 2018). </w:t>
      </w:r>
    </w:p>
    <w:p w14:paraId="600FD56A" w14:textId="6CDD93D7" w:rsidR="005A66D7" w:rsidRDefault="005A66D7" w:rsidP="00840121">
      <w:pPr>
        <w:spacing w:line="360" w:lineRule="auto"/>
        <w:rPr>
          <w:rFonts w:ascii="Times New Roman" w:hAnsi="Times New Roman" w:cs="Times New Roman"/>
        </w:rPr>
      </w:pPr>
      <w:r>
        <w:rPr>
          <w:rFonts w:ascii="Times New Roman" w:hAnsi="Times New Roman" w:cs="Times New Roman"/>
        </w:rPr>
        <w:tab/>
        <w:t>For renters, empirical research on the pass-through of property value increases to rents is similarly dubious (Nelson, 2017). For one, landlords do not instantly adjust rents for existing tenants; changes occur at lease renewal. Renters may value location attributes differently than owners, and rental markets have been shown to be more competitive</w:t>
      </w:r>
      <w:r w:rsidR="00983D3D">
        <w:rPr>
          <w:rFonts w:ascii="Times New Roman" w:hAnsi="Times New Roman" w:cs="Times New Roman"/>
        </w:rPr>
        <w:t>, with</w:t>
      </w:r>
      <w:r>
        <w:rPr>
          <w:rFonts w:ascii="Times New Roman" w:hAnsi="Times New Roman" w:cs="Times New Roman"/>
        </w:rPr>
        <w:t xml:space="preserve"> </w:t>
      </w:r>
      <w:r w:rsidR="008C5526">
        <w:rPr>
          <w:rFonts w:ascii="Times New Roman" w:hAnsi="Times New Roman" w:cs="Times New Roman"/>
        </w:rPr>
        <w:t>a greater number of</w:t>
      </w:r>
      <w:r>
        <w:rPr>
          <w:rFonts w:ascii="Times New Roman" w:hAnsi="Times New Roman" w:cs="Times New Roman"/>
        </w:rPr>
        <w:t xml:space="preserve"> substitutes available</w:t>
      </w:r>
      <w:r w:rsidR="000954B5">
        <w:rPr>
          <w:rFonts w:ascii="Times New Roman" w:hAnsi="Times New Roman" w:cs="Times New Roman"/>
        </w:rPr>
        <w:t xml:space="preserve"> (Arnott, 1987)</w:t>
      </w:r>
      <w:r>
        <w:rPr>
          <w:rFonts w:ascii="Times New Roman" w:hAnsi="Times New Roman" w:cs="Times New Roman"/>
        </w:rPr>
        <w:t xml:space="preserve">. </w:t>
      </w:r>
      <w:r w:rsidR="00983D3D">
        <w:rPr>
          <w:rFonts w:ascii="Times New Roman" w:hAnsi="Times New Roman" w:cs="Times New Roman"/>
        </w:rPr>
        <w:t xml:space="preserve">Like with property tax increases, the question of whether </w:t>
      </w:r>
      <w:r w:rsidR="00983D3D">
        <w:rPr>
          <w:rFonts w:ascii="Times New Roman" w:hAnsi="Times New Roman" w:cs="Times New Roman"/>
        </w:rPr>
        <w:lastRenderedPageBreak/>
        <w:t>renters are more likely to move out of a neighborhood following the opening of a new transit station has been studied using the national Panel Study on Income Dynamics, an individual mobility dataset. It also showed no heightened propensity to move (Delmelle and Nilsson, 2020).</w:t>
      </w:r>
    </w:p>
    <w:p w14:paraId="41D0CC36" w14:textId="77777777" w:rsidR="0027424F" w:rsidRDefault="003F0FEB" w:rsidP="00840121">
      <w:pPr>
        <w:spacing w:line="360" w:lineRule="auto"/>
        <w:rPr>
          <w:rFonts w:ascii="Times New Roman" w:hAnsi="Times New Roman" w:cs="Times New Roman"/>
        </w:rPr>
      </w:pPr>
      <w:r>
        <w:rPr>
          <w:rFonts w:ascii="Times New Roman" w:hAnsi="Times New Roman" w:cs="Times New Roman"/>
        </w:rPr>
        <w:tab/>
        <w:t xml:space="preserve">Given all of this, the more plausible pathway for observable aggregate-scale neighborhood characteristics to change following the opening of a new rail line is </w:t>
      </w:r>
      <w:proofErr w:type="gramStart"/>
      <w:r>
        <w:rPr>
          <w:rFonts w:ascii="Times New Roman" w:hAnsi="Times New Roman" w:cs="Times New Roman"/>
        </w:rPr>
        <w:t>actually independent</w:t>
      </w:r>
      <w:proofErr w:type="gramEnd"/>
      <w:r>
        <w:rPr>
          <w:rFonts w:ascii="Times New Roman" w:hAnsi="Times New Roman" w:cs="Times New Roman"/>
        </w:rPr>
        <w:t xml:space="preserve"> of the train itself, but more related to the associated permissive zoning regulations and developer incentives in TOD areas immediately surrounding transit stations. Aggregate studies on neighborhood change have noted that an increase in multi-family housing and an influx of younger, educated, and sometimes wealthier residents </w:t>
      </w:r>
      <w:r w:rsidR="0027424F">
        <w:rPr>
          <w:rFonts w:ascii="Times New Roman" w:hAnsi="Times New Roman" w:cs="Times New Roman"/>
        </w:rPr>
        <w:t>are hallmarks</w:t>
      </w:r>
      <w:r w:rsidR="00212270">
        <w:rPr>
          <w:rFonts w:ascii="Times New Roman" w:hAnsi="Times New Roman" w:cs="Times New Roman"/>
        </w:rPr>
        <w:t xml:space="preserve"> of transit-induced neighborhood change (Nilsson and Delmelle, 2018)</w:t>
      </w:r>
      <w:r w:rsidR="0027424F">
        <w:rPr>
          <w:rFonts w:ascii="Times New Roman" w:hAnsi="Times New Roman" w:cs="Times New Roman"/>
        </w:rPr>
        <w:t xml:space="preserve">. Thus, the evidence to date suggests that new developments, often concentrated in the immediate vicinity of a station, are the largest neighborhood-scale by-product of TOD investments. These developments are also a response to a nationwide demand for more urban and walkable living environments. The development of a transit line, in many cases, and especially in Charlotte, can facilitate the construction of denser developments in otherwise car-dependent cities. </w:t>
      </w:r>
    </w:p>
    <w:p w14:paraId="29A6E9AB" w14:textId="39D3D483" w:rsidR="003F0FEB" w:rsidRDefault="0027424F" w:rsidP="00840121">
      <w:pPr>
        <w:spacing w:line="360" w:lineRule="auto"/>
        <w:rPr>
          <w:rFonts w:ascii="Times New Roman" w:hAnsi="Times New Roman" w:cs="Times New Roman"/>
        </w:rPr>
      </w:pPr>
      <w:r>
        <w:rPr>
          <w:rFonts w:ascii="Times New Roman" w:hAnsi="Times New Roman" w:cs="Times New Roman"/>
        </w:rPr>
        <w:tab/>
        <w:t xml:space="preserve">The new housing supply accompanying TOD </w:t>
      </w:r>
      <w:r w:rsidR="007D4DDF">
        <w:rPr>
          <w:rFonts w:ascii="Times New Roman" w:hAnsi="Times New Roman" w:cs="Times New Roman"/>
        </w:rPr>
        <w:t>could theoretically</w:t>
      </w:r>
      <w:r>
        <w:rPr>
          <w:rFonts w:ascii="Times New Roman" w:hAnsi="Times New Roman" w:cs="Times New Roman"/>
        </w:rPr>
        <w:t xml:space="preserve"> moderate displacement pressures by increasing the overall availability of housing. However, demographic changes and more visible alterations to a neighborhood’s character may fundamentally alter the character and feel of a place, prompting former residents to relocate. It is </w:t>
      </w:r>
      <w:r w:rsidR="00417A99">
        <w:rPr>
          <w:rFonts w:ascii="Times New Roman" w:hAnsi="Times New Roman" w:cs="Times New Roman"/>
        </w:rPr>
        <w:t>essential</w:t>
      </w:r>
      <w:r>
        <w:rPr>
          <w:rFonts w:ascii="Times New Roman" w:hAnsi="Times New Roman" w:cs="Times New Roman"/>
        </w:rPr>
        <w:t xml:space="preserve"> to note, </w:t>
      </w:r>
      <w:r w:rsidR="00417A99">
        <w:rPr>
          <w:rFonts w:ascii="Times New Roman" w:hAnsi="Times New Roman" w:cs="Times New Roman"/>
        </w:rPr>
        <w:t>however</w:t>
      </w:r>
      <w:r>
        <w:rPr>
          <w:rFonts w:ascii="Times New Roman" w:hAnsi="Times New Roman" w:cs="Times New Roman"/>
        </w:rPr>
        <w:t xml:space="preserve">, that this scenario is not solely the result of the train, but </w:t>
      </w:r>
      <w:r w:rsidR="00417A99">
        <w:rPr>
          <w:rFonts w:ascii="Times New Roman" w:hAnsi="Times New Roman" w:cs="Times New Roman"/>
        </w:rPr>
        <w:t>rather</w:t>
      </w:r>
      <w:r>
        <w:rPr>
          <w:rFonts w:ascii="Times New Roman" w:hAnsi="Times New Roman" w:cs="Times New Roman"/>
        </w:rPr>
        <w:t xml:space="preserve"> the combined and deliberate plans to transform a corridor. As was illustrated in this case study, the value capitalization from transit accessibility (the “T”) may be insufficient to trigger large-scale changes. But the coordinate development strategy (the “OD”) creates the conditions for new construction that reshapes neighborhoods.</w:t>
      </w:r>
    </w:p>
    <w:p w14:paraId="370D0F80" w14:textId="1F5E0D66" w:rsidR="00304B95" w:rsidRDefault="00304B95" w:rsidP="00840121">
      <w:pPr>
        <w:spacing w:line="360" w:lineRule="auto"/>
        <w:rPr>
          <w:rFonts w:ascii="Times New Roman" w:hAnsi="Times New Roman" w:cs="Times New Roman"/>
        </w:rPr>
      </w:pPr>
      <w:r>
        <w:rPr>
          <w:rFonts w:ascii="Times New Roman" w:hAnsi="Times New Roman" w:cs="Times New Roman"/>
        </w:rPr>
        <w:tab/>
        <w:t xml:space="preserve">The broader methodological issue </w:t>
      </w:r>
      <w:r w:rsidR="0027424F">
        <w:rPr>
          <w:rFonts w:ascii="Times New Roman" w:hAnsi="Times New Roman" w:cs="Times New Roman"/>
        </w:rPr>
        <w:t xml:space="preserve">demonstrated in this chapter </w:t>
      </w:r>
      <w:r>
        <w:rPr>
          <w:rFonts w:ascii="Times New Roman" w:hAnsi="Times New Roman" w:cs="Times New Roman"/>
        </w:rPr>
        <w:t xml:space="preserve">is less ambiguous: conclusions about transit-induced property value capitalization are highly sensitive to the selection of the control group. Researchers relying on naïve geographic comparison would report large, significant effects and might conclude that the Blue Line Extension generated substantial private value capture. Researchers employing rigorous matching methods would report much smaller effects or </w:t>
      </w:r>
      <w:proofErr w:type="gramStart"/>
      <w:r>
        <w:rPr>
          <w:rFonts w:ascii="Times New Roman" w:hAnsi="Times New Roman" w:cs="Times New Roman"/>
        </w:rPr>
        <w:t>none at all</w:t>
      </w:r>
      <w:proofErr w:type="gramEnd"/>
      <w:r>
        <w:rPr>
          <w:rFonts w:ascii="Times New Roman" w:hAnsi="Times New Roman" w:cs="Times New Roman"/>
        </w:rPr>
        <w:t xml:space="preserve"> and reach more cautious conclusions about transit’s role in </w:t>
      </w:r>
      <w:r>
        <w:rPr>
          <w:rFonts w:ascii="Times New Roman" w:hAnsi="Times New Roman" w:cs="Times New Roman"/>
        </w:rPr>
        <w:lastRenderedPageBreak/>
        <w:t>neighborhood change. This sensitivity extends beyond point estimates to policy recommendations: overestimating the impact of transit on property values might lead to overly optimistic projections of tax increment financing revenue or to the misplaced belief that transit alone can catalyze neighborhood revitalization without complementary investments in housing, economic development, and community stabilization.</w:t>
      </w:r>
    </w:p>
    <w:p w14:paraId="6D076DF7" w14:textId="0B60C05F" w:rsidR="00736734" w:rsidRDefault="00736734" w:rsidP="00840121">
      <w:pPr>
        <w:spacing w:line="360" w:lineRule="auto"/>
        <w:rPr>
          <w:rFonts w:ascii="Times New Roman" w:hAnsi="Times New Roman" w:cs="Times New Roman"/>
        </w:rPr>
      </w:pPr>
      <w:r>
        <w:rPr>
          <w:rFonts w:ascii="Times New Roman" w:hAnsi="Times New Roman" w:cs="Times New Roman"/>
          <w:b/>
          <w:bCs/>
        </w:rPr>
        <w:t>Reproducibility:</w:t>
      </w:r>
      <w:r>
        <w:rPr>
          <w:rFonts w:ascii="Times New Roman" w:hAnsi="Times New Roman" w:cs="Times New Roman"/>
        </w:rPr>
        <w:t xml:space="preserve"> All data and code to run this analysis are available at: </w:t>
      </w:r>
      <w:hyperlink r:id="rId8" w:history="1">
        <w:r w:rsidRPr="00335173">
          <w:rPr>
            <w:rStyle w:val="Hyperlink"/>
            <w:rFonts w:ascii="Times New Roman" w:hAnsi="Times New Roman" w:cs="Times New Roman"/>
          </w:rPr>
          <w:t>https://github.com/ECDelmelle/TODBookChapter</w:t>
        </w:r>
      </w:hyperlink>
    </w:p>
    <w:p w14:paraId="78A481EA" w14:textId="225565BA" w:rsidR="00736734" w:rsidRPr="0088495B" w:rsidRDefault="0088495B" w:rsidP="00840121">
      <w:pPr>
        <w:spacing w:line="360" w:lineRule="auto"/>
        <w:rPr>
          <w:rFonts w:ascii="Times New Roman" w:hAnsi="Times New Roman" w:cs="Times New Roman"/>
        </w:rPr>
      </w:pPr>
      <w:r>
        <w:rPr>
          <w:rFonts w:ascii="Times New Roman" w:hAnsi="Times New Roman" w:cs="Times New Roman"/>
          <w:b/>
          <w:bCs/>
        </w:rPr>
        <w:t>Acknowledgements:</w:t>
      </w:r>
      <w:r>
        <w:rPr>
          <w:rFonts w:ascii="Times New Roman" w:hAnsi="Times New Roman" w:cs="Times New Roman"/>
        </w:rPr>
        <w:t xml:space="preserve"> The authors would like to acknowledge the contributions from </w:t>
      </w:r>
      <w:r w:rsidRPr="0088495B">
        <w:rPr>
          <w:rFonts w:ascii="Times New Roman" w:hAnsi="Times New Roman" w:cs="Times New Roman"/>
        </w:rPr>
        <w:t>Ji Jin (Jack) Chen</w:t>
      </w:r>
      <w:r>
        <w:rPr>
          <w:rFonts w:ascii="Times New Roman" w:hAnsi="Times New Roman" w:cs="Times New Roman"/>
        </w:rPr>
        <w:t xml:space="preserve"> and Hayden Chu for their work in data cleaning and initial analyses for their semester-long practicum project at the University of Pennsylvania’s Master of Urban Spatial Analytics Program, spring 2025.</w:t>
      </w:r>
    </w:p>
    <w:p w14:paraId="51F84F31" w14:textId="77777777" w:rsidR="00FA2C9D" w:rsidRPr="00FA2C9D" w:rsidRDefault="00FA2C9D" w:rsidP="00FA2C9D">
      <w:pPr>
        <w:spacing w:line="360" w:lineRule="auto"/>
        <w:rPr>
          <w:rFonts w:ascii="Times New Roman" w:hAnsi="Times New Roman" w:cs="Times New Roman"/>
          <w:b/>
          <w:bCs/>
        </w:rPr>
      </w:pPr>
      <w:r w:rsidRPr="00FA2C9D">
        <w:rPr>
          <w:rFonts w:ascii="Times New Roman" w:hAnsi="Times New Roman" w:cs="Times New Roman"/>
          <w:b/>
          <w:bCs/>
        </w:rPr>
        <w:t>References</w:t>
      </w:r>
    </w:p>
    <w:p w14:paraId="3E02E5D7" w14:textId="77777777" w:rsidR="00FA2C9D" w:rsidRPr="00FA2C9D" w:rsidRDefault="00FA2C9D" w:rsidP="00FA2C9D">
      <w:pPr>
        <w:spacing w:line="360" w:lineRule="auto"/>
        <w:rPr>
          <w:rFonts w:ascii="Times New Roman" w:hAnsi="Times New Roman" w:cs="Times New Roman"/>
        </w:rPr>
      </w:pPr>
      <w:r w:rsidRPr="00FA2C9D">
        <w:rPr>
          <w:rFonts w:ascii="Times New Roman" w:hAnsi="Times New Roman" w:cs="Times New Roman"/>
        </w:rPr>
        <w:t>Alonso, W. (1964). Location and land use. Toward a general theory of land rent. Location and land use. Toward a general theory of land rent.</w:t>
      </w:r>
    </w:p>
    <w:p w14:paraId="1038372F" w14:textId="77777777" w:rsidR="00FA2C9D" w:rsidRPr="00FA2C9D" w:rsidRDefault="00FA2C9D" w:rsidP="00FA2C9D">
      <w:pPr>
        <w:spacing w:line="360" w:lineRule="auto"/>
        <w:rPr>
          <w:rFonts w:ascii="Times New Roman" w:hAnsi="Times New Roman" w:cs="Times New Roman"/>
        </w:rPr>
      </w:pPr>
      <w:r w:rsidRPr="00FA2C9D">
        <w:rPr>
          <w:rFonts w:ascii="Times New Roman" w:hAnsi="Times New Roman" w:cs="Times New Roman"/>
        </w:rPr>
        <w:t xml:space="preserve">Andersson, F., Haltiwanger, J. C., </w:t>
      </w:r>
      <w:proofErr w:type="spellStart"/>
      <w:r w:rsidRPr="00FA2C9D">
        <w:rPr>
          <w:rFonts w:ascii="Times New Roman" w:hAnsi="Times New Roman" w:cs="Times New Roman"/>
        </w:rPr>
        <w:t>Kutzbach</w:t>
      </w:r>
      <w:proofErr w:type="spellEnd"/>
      <w:r w:rsidRPr="00FA2C9D">
        <w:rPr>
          <w:rFonts w:ascii="Times New Roman" w:hAnsi="Times New Roman" w:cs="Times New Roman"/>
        </w:rPr>
        <w:t xml:space="preserve">, M. J., </w:t>
      </w:r>
      <w:proofErr w:type="spellStart"/>
      <w:r w:rsidRPr="00FA2C9D">
        <w:rPr>
          <w:rFonts w:ascii="Times New Roman" w:hAnsi="Times New Roman" w:cs="Times New Roman"/>
        </w:rPr>
        <w:t>Pollakowski</w:t>
      </w:r>
      <w:proofErr w:type="spellEnd"/>
      <w:r w:rsidRPr="00FA2C9D">
        <w:rPr>
          <w:rFonts w:ascii="Times New Roman" w:hAnsi="Times New Roman" w:cs="Times New Roman"/>
        </w:rPr>
        <w:t>, H. O., &amp; Weinberg, D. H. (2018). Job displacement and the duration of joblessness: The role of spatial mismatch. </w:t>
      </w:r>
      <w:r w:rsidRPr="00FA2C9D">
        <w:rPr>
          <w:rFonts w:ascii="Times New Roman" w:hAnsi="Times New Roman" w:cs="Times New Roman"/>
          <w:i/>
          <w:iCs/>
        </w:rPr>
        <w:t>Review of Economics and Statistics</w:t>
      </w:r>
      <w:r w:rsidRPr="00FA2C9D">
        <w:rPr>
          <w:rFonts w:ascii="Times New Roman" w:hAnsi="Times New Roman" w:cs="Times New Roman"/>
        </w:rPr>
        <w:t>, </w:t>
      </w:r>
      <w:r w:rsidRPr="00FA2C9D">
        <w:rPr>
          <w:rFonts w:ascii="Times New Roman" w:hAnsi="Times New Roman" w:cs="Times New Roman"/>
          <w:i/>
          <w:iCs/>
        </w:rPr>
        <w:t>100</w:t>
      </w:r>
      <w:r w:rsidRPr="00FA2C9D">
        <w:rPr>
          <w:rFonts w:ascii="Times New Roman" w:hAnsi="Times New Roman" w:cs="Times New Roman"/>
        </w:rPr>
        <w:t>(2), 203-218.</w:t>
      </w:r>
    </w:p>
    <w:p w14:paraId="57A9C3E4" w14:textId="77777777" w:rsidR="00FA2C9D" w:rsidRPr="00FA2C9D" w:rsidRDefault="00FA2C9D" w:rsidP="00FA2C9D">
      <w:pPr>
        <w:spacing w:line="360" w:lineRule="auto"/>
        <w:rPr>
          <w:rFonts w:ascii="Times New Roman" w:hAnsi="Times New Roman" w:cs="Times New Roman"/>
        </w:rPr>
      </w:pPr>
      <w:r w:rsidRPr="00FA2C9D">
        <w:rPr>
          <w:rFonts w:ascii="Times New Roman" w:hAnsi="Times New Roman" w:cs="Times New Roman"/>
        </w:rPr>
        <w:t>Arnott, R. (1987). Economic theory and housing. In </w:t>
      </w:r>
      <w:r w:rsidRPr="00FA2C9D">
        <w:rPr>
          <w:rFonts w:ascii="Times New Roman" w:hAnsi="Times New Roman" w:cs="Times New Roman"/>
          <w:i/>
          <w:iCs/>
        </w:rPr>
        <w:t>Handbook of regional and urban economics</w:t>
      </w:r>
      <w:r w:rsidRPr="00FA2C9D">
        <w:rPr>
          <w:rFonts w:ascii="Times New Roman" w:hAnsi="Times New Roman" w:cs="Times New Roman"/>
        </w:rPr>
        <w:t> (Vol. 2, pp. 959-988). Elsevier.</w:t>
      </w:r>
    </w:p>
    <w:p w14:paraId="26CCD60D" w14:textId="77777777" w:rsidR="00FA2C9D" w:rsidRPr="00FA2C9D" w:rsidRDefault="00FA2C9D" w:rsidP="00FA2C9D">
      <w:pPr>
        <w:spacing w:line="360" w:lineRule="auto"/>
        <w:rPr>
          <w:rFonts w:ascii="Times New Roman" w:hAnsi="Times New Roman" w:cs="Times New Roman"/>
        </w:rPr>
      </w:pPr>
      <w:r w:rsidRPr="00FA2C9D">
        <w:rPr>
          <w:rFonts w:ascii="Times New Roman" w:hAnsi="Times New Roman" w:cs="Times New Roman"/>
        </w:rPr>
        <w:t>Bartholomew, K., &amp; Ewing, R. (2011). Hedonic price effects of pedestrian-and transit-oriented development. </w:t>
      </w:r>
      <w:r w:rsidRPr="00FA2C9D">
        <w:rPr>
          <w:rFonts w:ascii="Times New Roman" w:hAnsi="Times New Roman" w:cs="Times New Roman"/>
          <w:i/>
          <w:iCs/>
        </w:rPr>
        <w:t>Journal of Planning Literature</w:t>
      </w:r>
      <w:r w:rsidRPr="00FA2C9D">
        <w:rPr>
          <w:rFonts w:ascii="Times New Roman" w:hAnsi="Times New Roman" w:cs="Times New Roman"/>
        </w:rPr>
        <w:t>, </w:t>
      </w:r>
      <w:r w:rsidRPr="00FA2C9D">
        <w:rPr>
          <w:rFonts w:ascii="Times New Roman" w:hAnsi="Times New Roman" w:cs="Times New Roman"/>
          <w:i/>
          <w:iCs/>
        </w:rPr>
        <w:t>26</w:t>
      </w:r>
      <w:r w:rsidRPr="00FA2C9D">
        <w:rPr>
          <w:rFonts w:ascii="Times New Roman" w:hAnsi="Times New Roman" w:cs="Times New Roman"/>
        </w:rPr>
        <w:t>(1), 18-34.</w:t>
      </w:r>
    </w:p>
    <w:p w14:paraId="1B3C6A7F" w14:textId="77777777" w:rsidR="00FA2C9D" w:rsidRPr="00FA2C9D" w:rsidRDefault="00FA2C9D" w:rsidP="00FA2C9D">
      <w:pPr>
        <w:spacing w:line="360" w:lineRule="auto"/>
        <w:rPr>
          <w:rFonts w:ascii="Times New Roman" w:hAnsi="Times New Roman" w:cs="Times New Roman"/>
        </w:rPr>
      </w:pPr>
      <w:r w:rsidRPr="00FA2C9D">
        <w:rPr>
          <w:rFonts w:ascii="Times New Roman" w:hAnsi="Times New Roman" w:cs="Times New Roman"/>
        </w:rPr>
        <w:t>Billings, S. B. (2011). Estimating the value of a new transit option. </w:t>
      </w:r>
      <w:r w:rsidRPr="00FA2C9D">
        <w:rPr>
          <w:rFonts w:ascii="Times New Roman" w:hAnsi="Times New Roman" w:cs="Times New Roman"/>
          <w:i/>
          <w:iCs/>
        </w:rPr>
        <w:t>Regional Science and Urban Economics</w:t>
      </w:r>
      <w:r w:rsidRPr="00FA2C9D">
        <w:rPr>
          <w:rFonts w:ascii="Times New Roman" w:hAnsi="Times New Roman" w:cs="Times New Roman"/>
        </w:rPr>
        <w:t>, </w:t>
      </w:r>
      <w:r w:rsidRPr="00FA2C9D">
        <w:rPr>
          <w:rFonts w:ascii="Times New Roman" w:hAnsi="Times New Roman" w:cs="Times New Roman"/>
          <w:i/>
          <w:iCs/>
        </w:rPr>
        <w:t>41</w:t>
      </w:r>
      <w:r w:rsidRPr="00FA2C9D">
        <w:rPr>
          <w:rFonts w:ascii="Times New Roman" w:hAnsi="Times New Roman" w:cs="Times New Roman"/>
        </w:rPr>
        <w:t>(6), 525-536.</w:t>
      </w:r>
    </w:p>
    <w:p w14:paraId="77CE3F55" w14:textId="77777777" w:rsidR="00FA2C9D" w:rsidRPr="00FA2C9D" w:rsidRDefault="00FA2C9D" w:rsidP="00FA2C9D">
      <w:pPr>
        <w:spacing w:line="360" w:lineRule="auto"/>
        <w:rPr>
          <w:rFonts w:ascii="Times New Roman" w:hAnsi="Times New Roman" w:cs="Times New Roman"/>
        </w:rPr>
      </w:pPr>
      <w:r w:rsidRPr="00FA2C9D">
        <w:rPr>
          <w:rFonts w:ascii="Times New Roman" w:hAnsi="Times New Roman" w:cs="Times New Roman"/>
        </w:rPr>
        <w:t xml:space="preserve">Bowes, D. R., &amp; </w:t>
      </w:r>
      <w:proofErr w:type="spellStart"/>
      <w:r w:rsidRPr="00FA2C9D">
        <w:rPr>
          <w:rFonts w:ascii="Times New Roman" w:hAnsi="Times New Roman" w:cs="Times New Roman"/>
        </w:rPr>
        <w:t>Ihlanfeldt</w:t>
      </w:r>
      <w:proofErr w:type="spellEnd"/>
      <w:r w:rsidRPr="00FA2C9D">
        <w:rPr>
          <w:rFonts w:ascii="Times New Roman" w:hAnsi="Times New Roman" w:cs="Times New Roman"/>
        </w:rPr>
        <w:t>, K. R. (2001). Identifying the impacts of rail transit stations on residential property values. </w:t>
      </w:r>
      <w:r w:rsidRPr="00FA2C9D">
        <w:rPr>
          <w:rFonts w:ascii="Times New Roman" w:hAnsi="Times New Roman" w:cs="Times New Roman"/>
          <w:i/>
          <w:iCs/>
        </w:rPr>
        <w:t>Journal of urban Economics</w:t>
      </w:r>
      <w:r w:rsidRPr="00FA2C9D">
        <w:rPr>
          <w:rFonts w:ascii="Times New Roman" w:hAnsi="Times New Roman" w:cs="Times New Roman"/>
        </w:rPr>
        <w:t>, </w:t>
      </w:r>
      <w:r w:rsidRPr="00FA2C9D">
        <w:rPr>
          <w:rFonts w:ascii="Times New Roman" w:hAnsi="Times New Roman" w:cs="Times New Roman"/>
          <w:i/>
          <w:iCs/>
        </w:rPr>
        <w:t>50</w:t>
      </w:r>
      <w:r w:rsidRPr="00FA2C9D">
        <w:rPr>
          <w:rFonts w:ascii="Times New Roman" w:hAnsi="Times New Roman" w:cs="Times New Roman"/>
        </w:rPr>
        <w:t>(1), 1-25.</w:t>
      </w:r>
    </w:p>
    <w:p w14:paraId="4C17466D" w14:textId="7E934B53" w:rsidR="00DA6221" w:rsidRDefault="00DA6221" w:rsidP="00FA2C9D">
      <w:pPr>
        <w:spacing w:line="360" w:lineRule="auto"/>
        <w:rPr>
          <w:rFonts w:ascii="Times New Roman" w:hAnsi="Times New Roman" w:cs="Times New Roman"/>
        </w:rPr>
      </w:pPr>
      <w:r w:rsidRPr="00DA6221">
        <w:rPr>
          <w:rFonts w:ascii="Times New Roman" w:hAnsi="Times New Roman" w:cs="Times New Roman"/>
        </w:rPr>
        <w:t>Calthorpe, P. (1993). </w:t>
      </w:r>
      <w:r w:rsidRPr="00DA6221">
        <w:rPr>
          <w:rFonts w:ascii="Times New Roman" w:hAnsi="Times New Roman" w:cs="Times New Roman"/>
          <w:i/>
          <w:iCs/>
        </w:rPr>
        <w:t>The next American metropolis</w:t>
      </w:r>
      <w:r w:rsidRPr="00DA6221">
        <w:rPr>
          <w:rFonts w:ascii="Times New Roman" w:hAnsi="Times New Roman" w:cs="Times New Roman"/>
        </w:rPr>
        <w:t> (Vol. 23). New York: Princeton Architectural Press.</w:t>
      </w:r>
    </w:p>
    <w:p w14:paraId="3E609EBC" w14:textId="61A32D8C" w:rsidR="00FA2C9D" w:rsidRPr="00FA2C9D" w:rsidRDefault="00FA2C9D" w:rsidP="00FA2C9D">
      <w:pPr>
        <w:spacing w:line="360" w:lineRule="auto"/>
        <w:rPr>
          <w:rFonts w:ascii="Times New Roman" w:hAnsi="Times New Roman" w:cs="Times New Roman"/>
        </w:rPr>
      </w:pPr>
      <w:r w:rsidRPr="00FA2C9D">
        <w:rPr>
          <w:rFonts w:ascii="Times New Roman" w:hAnsi="Times New Roman" w:cs="Times New Roman"/>
        </w:rPr>
        <w:lastRenderedPageBreak/>
        <w:t>Chatman, D. G. (2013). Does TOD need the T? On the importance of factors other than rail access. </w:t>
      </w:r>
      <w:r w:rsidRPr="00FA2C9D">
        <w:rPr>
          <w:rFonts w:ascii="Times New Roman" w:hAnsi="Times New Roman" w:cs="Times New Roman"/>
          <w:i/>
          <w:iCs/>
        </w:rPr>
        <w:t>Journal of the American Planning Association</w:t>
      </w:r>
      <w:r w:rsidRPr="00FA2C9D">
        <w:rPr>
          <w:rFonts w:ascii="Times New Roman" w:hAnsi="Times New Roman" w:cs="Times New Roman"/>
        </w:rPr>
        <w:t>, </w:t>
      </w:r>
      <w:r w:rsidRPr="00FA2C9D">
        <w:rPr>
          <w:rFonts w:ascii="Times New Roman" w:hAnsi="Times New Roman" w:cs="Times New Roman"/>
          <w:i/>
          <w:iCs/>
        </w:rPr>
        <w:t>79</w:t>
      </w:r>
      <w:r w:rsidRPr="00FA2C9D">
        <w:rPr>
          <w:rFonts w:ascii="Times New Roman" w:hAnsi="Times New Roman" w:cs="Times New Roman"/>
        </w:rPr>
        <w:t>(1), 17-31.</w:t>
      </w:r>
    </w:p>
    <w:p w14:paraId="1BB659B5" w14:textId="77777777" w:rsidR="00FA2C9D" w:rsidRPr="00FA2C9D" w:rsidRDefault="00FA2C9D" w:rsidP="00FA2C9D">
      <w:pPr>
        <w:spacing w:line="360" w:lineRule="auto"/>
        <w:rPr>
          <w:rFonts w:ascii="Times New Roman" w:hAnsi="Times New Roman" w:cs="Times New Roman"/>
        </w:rPr>
      </w:pPr>
      <w:r w:rsidRPr="00FA2C9D">
        <w:rPr>
          <w:rFonts w:ascii="Times New Roman" w:hAnsi="Times New Roman" w:cs="Times New Roman"/>
        </w:rPr>
        <w:t>Chava, J., &amp; Renne, J. L. (2022). Transit-induced gentrification or vice versa? A study of neighborhoods around light rail stations from 1970–2010. </w:t>
      </w:r>
      <w:r w:rsidRPr="00FA2C9D">
        <w:rPr>
          <w:rFonts w:ascii="Times New Roman" w:hAnsi="Times New Roman" w:cs="Times New Roman"/>
          <w:i/>
          <w:iCs/>
        </w:rPr>
        <w:t>Journal of the American Planning Association</w:t>
      </w:r>
      <w:r w:rsidRPr="00FA2C9D">
        <w:rPr>
          <w:rFonts w:ascii="Times New Roman" w:hAnsi="Times New Roman" w:cs="Times New Roman"/>
        </w:rPr>
        <w:t>, </w:t>
      </w:r>
      <w:r w:rsidRPr="00FA2C9D">
        <w:rPr>
          <w:rFonts w:ascii="Times New Roman" w:hAnsi="Times New Roman" w:cs="Times New Roman"/>
          <w:i/>
          <w:iCs/>
        </w:rPr>
        <w:t>88</w:t>
      </w:r>
      <w:r w:rsidRPr="00FA2C9D">
        <w:rPr>
          <w:rFonts w:ascii="Times New Roman" w:hAnsi="Times New Roman" w:cs="Times New Roman"/>
        </w:rPr>
        <w:t>(1), 44-54.</w:t>
      </w:r>
    </w:p>
    <w:p w14:paraId="3D9C2C34" w14:textId="77777777" w:rsidR="00FA2C9D" w:rsidRPr="00FA2C9D" w:rsidRDefault="00FA2C9D" w:rsidP="00FA2C9D">
      <w:pPr>
        <w:spacing w:line="360" w:lineRule="auto"/>
        <w:rPr>
          <w:rFonts w:ascii="Times New Roman" w:hAnsi="Times New Roman" w:cs="Times New Roman"/>
        </w:rPr>
      </w:pPr>
      <w:r w:rsidRPr="00FA2C9D">
        <w:rPr>
          <w:rFonts w:ascii="Times New Roman" w:hAnsi="Times New Roman" w:cs="Times New Roman"/>
        </w:rPr>
        <w:t>Danley, S., &amp; Weaver, R. (2018). “They’re not building it for us”: displacement pressure, unwelcomeness, and protesting neighborhood investment. </w:t>
      </w:r>
      <w:r w:rsidRPr="00FA2C9D">
        <w:rPr>
          <w:rFonts w:ascii="Times New Roman" w:hAnsi="Times New Roman" w:cs="Times New Roman"/>
          <w:i/>
          <w:iCs/>
        </w:rPr>
        <w:t>Societies</w:t>
      </w:r>
      <w:r w:rsidRPr="00FA2C9D">
        <w:rPr>
          <w:rFonts w:ascii="Times New Roman" w:hAnsi="Times New Roman" w:cs="Times New Roman"/>
        </w:rPr>
        <w:t>, </w:t>
      </w:r>
      <w:r w:rsidRPr="00FA2C9D">
        <w:rPr>
          <w:rFonts w:ascii="Times New Roman" w:hAnsi="Times New Roman" w:cs="Times New Roman"/>
          <w:i/>
          <w:iCs/>
        </w:rPr>
        <w:t>8</w:t>
      </w:r>
      <w:r w:rsidRPr="00FA2C9D">
        <w:rPr>
          <w:rFonts w:ascii="Times New Roman" w:hAnsi="Times New Roman" w:cs="Times New Roman"/>
        </w:rPr>
        <w:t>(3), 74.</w:t>
      </w:r>
    </w:p>
    <w:p w14:paraId="2B588A41" w14:textId="77777777" w:rsidR="00FA2C9D" w:rsidRPr="00FA2C9D" w:rsidRDefault="00FA2C9D" w:rsidP="00FA2C9D">
      <w:pPr>
        <w:spacing w:line="360" w:lineRule="auto"/>
        <w:rPr>
          <w:rFonts w:ascii="Times New Roman" w:hAnsi="Times New Roman" w:cs="Times New Roman"/>
        </w:rPr>
      </w:pPr>
      <w:r w:rsidRPr="00FA2C9D">
        <w:rPr>
          <w:rFonts w:ascii="Times New Roman" w:hAnsi="Times New Roman" w:cs="Times New Roman"/>
        </w:rPr>
        <w:t>Delmelle, E. C. (2021). Transit-induced gentrification and displacement: The state of the debate. In </w:t>
      </w:r>
      <w:r w:rsidRPr="00FA2C9D">
        <w:rPr>
          <w:rFonts w:ascii="Times New Roman" w:hAnsi="Times New Roman" w:cs="Times New Roman"/>
          <w:i/>
          <w:iCs/>
        </w:rPr>
        <w:t>Advances in transport policy and planning</w:t>
      </w:r>
      <w:r w:rsidRPr="00FA2C9D">
        <w:rPr>
          <w:rFonts w:ascii="Times New Roman" w:hAnsi="Times New Roman" w:cs="Times New Roman"/>
        </w:rPr>
        <w:t> (Vol. 8, pp. 173-190). Academic Press.</w:t>
      </w:r>
    </w:p>
    <w:p w14:paraId="1890E303" w14:textId="3A4137AB" w:rsidR="00AD5B49" w:rsidRDefault="00AD5B49" w:rsidP="00FA2C9D">
      <w:pPr>
        <w:spacing w:line="360" w:lineRule="auto"/>
        <w:rPr>
          <w:rFonts w:ascii="Times New Roman" w:hAnsi="Times New Roman" w:cs="Times New Roman"/>
        </w:rPr>
      </w:pPr>
      <w:r w:rsidRPr="00AD5B49">
        <w:rPr>
          <w:rFonts w:ascii="Times New Roman" w:hAnsi="Times New Roman" w:cs="Times New Roman"/>
        </w:rPr>
        <w:t>Delmelle, E., &amp; Nilsson, I. (2020). New rail transit stations and the out-migration of low-income residents. </w:t>
      </w:r>
      <w:r w:rsidRPr="00AD5B49">
        <w:rPr>
          <w:rFonts w:ascii="Times New Roman" w:hAnsi="Times New Roman" w:cs="Times New Roman"/>
          <w:i/>
          <w:iCs/>
        </w:rPr>
        <w:t>Urban Studies</w:t>
      </w:r>
      <w:r w:rsidRPr="00AD5B49">
        <w:rPr>
          <w:rFonts w:ascii="Times New Roman" w:hAnsi="Times New Roman" w:cs="Times New Roman"/>
        </w:rPr>
        <w:t>, </w:t>
      </w:r>
      <w:r w:rsidRPr="00AD5B49">
        <w:rPr>
          <w:rFonts w:ascii="Times New Roman" w:hAnsi="Times New Roman" w:cs="Times New Roman"/>
          <w:i/>
          <w:iCs/>
        </w:rPr>
        <w:t>57</w:t>
      </w:r>
      <w:r w:rsidRPr="00AD5B49">
        <w:rPr>
          <w:rFonts w:ascii="Times New Roman" w:hAnsi="Times New Roman" w:cs="Times New Roman"/>
        </w:rPr>
        <w:t>(1), 134-151.</w:t>
      </w:r>
    </w:p>
    <w:p w14:paraId="7EBC9E66" w14:textId="682CC510" w:rsidR="00FA2C9D" w:rsidRPr="00FA2C9D" w:rsidRDefault="00FA2C9D" w:rsidP="00FA2C9D">
      <w:pPr>
        <w:spacing w:line="360" w:lineRule="auto"/>
        <w:rPr>
          <w:rFonts w:ascii="Times New Roman" w:hAnsi="Times New Roman" w:cs="Times New Roman"/>
        </w:rPr>
      </w:pPr>
      <w:r w:rsidRPr="00FA2C9D">
        <w:rPr>
          <w:rFonts w:ascii="Times New Roman" w:hAnsi="Times New Roman" w:cs="Times New Roman"/>
        </w:rPr>
        <w:t>Duncan, M. (2011). The impact of transit-oriented development on housing prices in San Diego, CA. </w:t>
      </w:r>
      <w:r w:rsidRPr="00FA2C9D">
        <w:rPr>
          <w:rFonts w:ascii="Times New Roman" w:hAnsi="Times New Roman" w:cs="Times New Roman"/>
          <w:i/>
          <w:iCs/>
        </w:rPr>
        <w:t>Urban studies</w:t>
      </w:r>
      <w:r w:rsidRPr="00FA2C9D">
        <w:rPr>
          <w:rFonts w:ascii="Times New Roman" w:hAnsi="Times New Roman" w:cs="Times New Roman"/>
        </w:rPr>
        <w:t>, </w:t>
      </w:r>
      <w:r w:rsidRPr="00FA2C9D">
        <w:rPr>
          <w:rFonts w:ascii="Times New Roman" w:hAnsi="Times New Roman" w:cs="Times New Roman"/>
          <w:i/>
          <w:iCs/>
        </w:rPr>
        <w:t>48</w:t>
      </w:r>
      <w:r w:rsidRPr="00FA2C9D">
        <w:rPr>
          <w:rFonts w:ascii="Times New Roman" w:hAnsi="Times New Roman" w:cs="Times New Roman"/>
        </w:rPr>
        <w:t>(1), 101-127.</w:t>
      </w:r>
    </w:p>
    <w:p w14:paraId="2515B780" w14:textId="77777777" w:rsidR="00FA2C9D" w:rsidRPr="00FA2C9D" w:rsidRDefault="00FA2C9D" w:rsidP="00FA2C9D">
      <w:pPr>
        <w:spacing w:line="360" w:lineRule="auto"/>
        <w:rPr>
          <w:rFonts w:ascii="Times New Roman" w:hAnsi="Times New Roman" w:cs="Times New Roman"/>
        </w:rPr>
      </w:pPr>
      <w:r w:rsidRPr="00FA2C9D">
        <w:rPr>
          <w:rFonts w:ascii="Times New Roman" w:hAnsi="Times New Roman" w:cs="Times New Roman"/>
        </w:rPr>
        <w:t>Duncan, M. (2011). The synergistic influence of light rail stations and zoning on home prices. </w:t>
      </w:r>
      <w:r w:rsidRPr="00FA2C9D">
        <w:rPr>
          <w:rFonts w:ascii="Times New Roman" w:hAnsi="Times New Roman" w:cs="Times New Roman"/>
          <w:i/>
          <w:iCs/>
        </w:rPr>
        <w:t>Environment and Planning A: Economy and Space</w:t>
      </w:r>
      <w:r w:rsidRPr="00FA2C9D">
        <w:rPr>
          <w:rFonts w:ascii="Times New Roman" w:hAnsi="Times New Roman" w:cs="Times New Roman"/>
        </w:rPr>
        <w:t>, </w:t>
      </w:r>
      <w:r w:rsidRPr="00FA2C9D">
        <w:rPr>
          <w:rFonts w:ascii="Times New Roman" w:hAnsi="Times New Roman" w:cs="Times New Roman"/>
          <w:i/>
          <w:iCs/>
        </w:rPr>
        <w:t>43</w:t>
      </w:r>
      <w:r w:rsidRPr="00FA2C9D">
        <w:rPr>
          <w:rFonts w:ascii="Times New Roman" w:hAnsi="Times New Roman" w:cs="Times New Roman"/>
        </w:rPr>
        <w:t>(9), 2125-2142.</w:t>
      </w:r>
    </w:p>
    <w:p w14:paraId="2F0A1B8D" w14:textId="553EFF40" w:rsidR="00DC4212" w:rsidRDefault="00DC4212" w:rsidP="00FA2C9D">
      <w:pPr>
        <w:spacing w:line="360" w:lineRule="auto"/>
        <w:rPr>
          <w:rFonts w:ascii="Times New Roman" w:hAnsi="Times New Roman" w:cs="Times New Roman"/>
        </w:rPr>
      </w:pPr>
      <w:r>
        <w:rPr>
          <w:rFonts w:ascii="Times New Roman" w:hAnsi="Times New Roman" w:cs="Times New Roman"/>
        </w:rPr>
        <w:t>Dunn, A. (2019) “</w:t>
      </w:r>
      <w:r w:rsidRPr="00DC4212">
        <w:rPr>
          <w:rFonts w:ascii="Times New Roman" w:hAnsi="Times New Roman" w:cs="Times New Roman"/>
        </w:rPr>
        <w:t>With 58 million riders and $3.5 billion in development, the Blue Line is one of Charlotte’s biggest success stories</w:t>
      </w:r>
      <w:r>
        <w:rPr>
          <w:rFonts w:ascii="Times New Roman" w:hAnsi="Times New Roman" w:cs="Times New Roman"/>
        </w:rPr>
        <w:t xml:space="preserve">” </w:t>
      </w:r>
      <w:r>
        <w:rPr>
          <w:rFonts w:ascii="Times New Roman" w:hAnsi="Times New Roman" w:cs="Times New Roman"/>
          <w:i/>
          <w:iCs/>
        </w:rPr>
        <w:t>Axios Charlotte</w:t>
      </w:r>
      <w:r>
        <w:rPr>
          <w:rFonts w:ascii="Times New Roman" w:hAnsi="Times New Roman" w:cs="Times New Roman"/>
        </w:rPr>
        <w:t xml:space="preserve">. Retrieved from: </w:t>
      </w:r>
      <w:hyperlink r:id="rId9" w:history="1">
        <w:r w:rsidRPr="00335173">
          <w:rPr>
            <w:rStyle w:val="Hyperlink"/>
            <w:rFonts w:ascii="Times New Roman" w:hAnsi="Times New Roman" w:cs="Times New Roman"/>
          </w:rPr>
          <w:t>https://www.axios.com/local/charlotte/2019/04/09/with-58-million-riders-and-3-5-billion-in-development-the-blue-line-is-one-of-charlottes-biggest-success-stories-162599</w:t>
        </w:r>
      </w:hyperlink>
      <w:r>
        <w:rPr>
          <w:rFonts w:ascii="Times New Roman" w:hAnsi="Times New Roman" w:cs="Times New Roman"/>
        </w:rPr>
        <w:t xml:space="preserve"> (last accessed 11/17/2025).</w:t>
      </w:r>
    </w:p>
    <w:p w14:paraId="4D2D7A7F" w14:textId="6B7CD527" w:rsidR="00FA2C9D" w:rsidRPr="00FA2C9D" w:rsidRDefault="00FA2C9D" w:rsidP="00FA2C9D">
      <w:pPr>
        <w:spacing w:line="360" w:lineRule="auto"/>
        <w:rPr>
          <w:rFonts w:ascii="Times New Roman" w:hAnsi="Times New Roman" w:cs="Times New Roman"/>
        </w:rPr>
      </w:pPr>
      <w:r w:rsidRPr="00FA2C9D">
        <w:rPr>
          <w:rFonts w:ascii="Times New Roman" w:hAnsi="Times New Roman" w:cs="Times New Roman"/>
        </w:rPr>
        <w:t>Hamidi, S., Kittrell, K., &amp; Ewing, R. (2016). Value of transit as reflected in US single-family home premiums: A meta-analysis. </w:t>
      </w:r>
      <w:r w:rsidRPr="00FA2C9D">
        <w:rPr>
          <w:rFonts w:ascii="Times New Roman" w:hAnsi="Times New Roman" w:cs="Times New Roman"/>
          <w:i/>
          <w:iCs/>
        </w:rPr>
        <w:t>Transportation Research Record</w:t>
      </w:r>
      <w:r w:rsidRPr="00FA2C9D">
        <w:rPr>
          <w:rFonts w:ascii="Times New Roman" w:hAnsi="Times New Roman" w:cs="Times New Roman"/>
        </w:rPr>
        <w:t>, </w:t>
      </w:r>
      <w:r w:rsidRPr="00FA2C9D">
        <w:rPr>
          <w:rFonts w:ascii="Times New Roman" w:hAnsi="Times New Roman" w:cs="Times New Roman"/>
          <w:i/>
          <w:iCs/>
        </w:rPr>
        <w:t>2543</w:t>
      </w:r>
      <w:r w:rsidRPr="00FA2C9D">
        <w:rPr>
          <w:rFonts w:ascii="Times New Roman" w:hAnsi="Times New Roman" w:cs="Times New Roman"/>
        </w:rPr>
        <w:t>(1), 108-115.</w:t>
      </w:r>
    </w:p>
    <w:p w14:paraId="682301B8" w14:textId="4A34A199" w:rsidR="00AD5B49" w:rsidRDefault="00AD5B49" w:rsidP="00FA2C9D">
      <w:pPr>
        <w:spacing w:line="360" w:lineRule="auto"/>
        <w:rPr>
          <w:rFonts w:ascii="Times New Roman" w:hAnsi="Times New Roman" w:cs="Times New Roman"/>
        </w:rPr>
      </w:pPr>
      <w:proofErr w:type="spellStart"/>
      <w:r w:rsidRPr="00AD5B49">
        <w:rPr>
          <w:rFonts w:ascii="Times New Roman" w:hAnsi="Times New Roman" w:cs="Times New Roman"/>
        </w:rPr>
        <w:t>Iacus</w:t>
      </w:r>
      <w:proofErr w:type="spellEnd"/>
      <w:r w:rsidRPr="00AD5B49">
        <w:rPr>
          <w:rFonts w:ascii="Times New Roman" w:hAnsi="Times New Roman" w:cs="Times New Roman"/>
        </w:rPr>
        <w:t>, S. M., King, G., &amp; Porro, G. (2012). Causal inference without balance checking: Coarsened exact matching. </w:t>
      </w:r>
      <w:r w:rsidRPr="00AD5B49">
        <w:rPr>
          <w:rFonts w:ascii="Times New Roman" w:hAnsi="Times New Roman" w:cs="Times New Roman"/>
          <w:i/>
          <w:iCs/>
        </w:rPr>
        <w:t>Political analysis</w:t>
      </w:r>
      <w:r w:rsidRPr="00AD5B49">
        <w:rPr>
          <w:rFonts w:ascii="Times New Roman" w:hAnsi="Times New Roman" w:cs="Times New Roman"/>
        </w:rPr>
        <w:t>, </w:t>
      </w:r>
      <w:r w:rsidRPr="00AD5B49">
        <w:rPr>
          <w:rFonts w:ascii="Times New Roman" w:hAnsi="Times New Roman" w:cs="Times New Roman"/>
          <w:i/>
          <w:iCs/>
        </w:rPr>
        <w:t>20</w:t>
      </w:r>
      <w:r w:rsidRPr="00AD5B49">
        <w:rPr>
          <w:rFonts w:ascii="Times New Roman" w:hAnsi="Times New Roman" w:cs="Times New Roman"/>
        </w:rPr>
        <w:t>(1), 1-24.</w:t>
      </w:r>
    </w:p>
    <w:p w14:paraId="64FC1815" w14:textId="37BCFC2C" w:rsidR="00FA2C9D" w:rsidRDefault="00FA2C9D" w:rsidP="00FA2C9D">
      <w:pPr>
        <w:spacing w:line="360" w:lineRule="auto"/>
        <w:rPr>
          <w:rFonts w:ascii="Times New Roman" w:hAnsi="Times New Roman" w:cs="Times New Roman"/>
        </w:rPr>
      </w:pPr>
      <w:r w:rsidRPr="00FA2C9D">
        <w:rPr>
          <w:rFonts w:ascii="Times New Roman" w:hAnsi="Times New Roman" w:cs="Times New Roman"/>
        </w:rPr>
        <w:t xml:space="preserve">Jin, J., &amp; Paulsen, K. (2018). Does accessibility matter? Understanding the effect of job accessibility on </w:t>
      </w:r>
      <w:proofErr w:type="spellStart"/>
      <w:r w:rsidRPr="00FA2C9D">
        <w:rPr>
          <w:rFonts w:ascii="Times New Roman" w:hAnsi="Times New Roman" w:cs="Times New Roman"/>
        </w:rPr>
        <w:t>labour</w:t>
      </w:r>
      <w:proofErr w:type="spellEnd"/>
      <w:r w:rsidRPr="00FA2C9D">
        <w:rPr>
          <w:rFonts w:ascii="Times New Roman" w:hAnsi="Times New Roman" w:cs="Times New Roman"/>
        </w:rPr>
        <w:t xml:space="preserve"> market outcomes. </w:t>
      </w:r>
      <w:r w:rsidRPr="00FA2C9D">
        <w:rPr>
          <w:rFonts w:ascii="Times New Roman" w:hAnsi="Times New Roman" w:cs="Times New Roman"/>
          <w:i/>
          <w:iCs/>
        </w:rPr>
        <w:t>Urban Studies</w:t>
      </w:r>
      <w:r w:rsidRPr="00FA2C9D">
        <w:rPr>
          <w:rFonts w:ascii="Times New Roman" w:hAnsi="Times New Roman" w:cs="Times New Roman"/>
        </w:rPr>
        <w:t>, </w:t>
      </w:r>
      <w:r w:rsidRPr="00FA2C9D">
        <w:rPr>
          <w:rFonts w:ascii="Times New Roman" w:hAnsi="Times New Roman" w:cs="Times New Roman"/>
          <w:i/>
          <w:iCs/>
        </w:rPr>
        <w:t>55</w:t>
      </w:r>
      <w:r w:rsidRPr="00FA2C9D">
        <w:rPr>
          <w:rFonts w:ascii="Times New Roman" w:hAnsi="Times New Roman" w:cs="Times New Roman"/>
        </w:rPr>
        <w:t>(1), 91-115.</w:t>
      </w:r>
    </w:p>
    <w:p w14:paraId="6254C057" w14:textId="7467FC5C" w:rsidR="00043657" w:rsidRPr="00FA2C9D" w:rsidRDefault="00043657" w:rsidP="00FA2C9D">
      <w:pPr>
        <w:spacing w:line="360" w:lineRule="auto"/>
        <w:rPr>
          <w:rFonts w:ascii="Times New Roman" w:hAnsi="Times New Roman" w:cs="Times New Roman"/>
        </w:rPr>
      </w:pPr>
      <w:r w:rsidRPr="00043657">
        <w:rPr>
          <w:rFonts w:ascii="Times New Roman" w:hAnsi="Times New Roman" w:cs="Times New Roman"/>
        </w:rPr>
        <w:lastRenderedPageBreak/>
        <w:t xml:space="preserve">Ke, Y., &amp; </w:t>
      </w:r>
      <w:proofErr w:type="spellStart"/>
      <w:r w:rsidRPr="00043657">
        <w:rPr>
          <w:rFonts w:ascii="Times New Roman" w:hAnsi="Times New Roman" w:cs="Times New Roman"/>
        </w:rPr>
        <w:t>Gkritza</w:t>
      </w:r>
      <w:proofErr w:type="spellEnd"/>
      <w:r w:rsidRPr="00043657">
        <w:rPr>
          <w:rFonts w:ascii="Times New Roman" w:hAnsi="Times New Roman" w:cs="Times New Roman"/>
        </w:rPr>
        <w:t>, K. (2019). Light rail transit and housing markets in Charlotte-Mecklenburg County, North Carolina: Announcement and operations effects using quasi-experimental methods. </w:t>
      </w:r>
      <w:r w:rsidRPr="00043657">
        <w:rPr>
          <w:rFonts w:ascii="Times New Roman" w:hAnsi="Times New Roman" w:cs="Times New Roman"/>
          <w:i/>
          <w:iCs/>
        </w:rPr>
        <w:t>Journal of Transport Geography</w:t>
      </w:r>
      <w:r w:rsidRPr="00043657">
        <w:rPr>
          <w:rFonts w:ascii="Times New Roman" w:hAnsi="Times New Roman" w:cs="Times New Roman"/>
        </w:rPr>
        <w:t>, </w:t>
      </w:r>
      <w:r w:rsidRPr="00043657">
        <w:rPr>
          <w:rFonts w:ascii="Times New Roman" w:hAnsi="Times New Roman" w:cs="Times New Roman"/>
          <w:i/>
          <w:iCs/>
        </w:rPr>
        <w:t>76</w:t>
      </w:r>
      <w:r w:rsidRPr="00043657">
        <w:rPr>
          <w:rFonts w:ascii="Times New Roman" w:hAnsi="Times New Roman" w:cs="Times New Roman"/>
        </w:rPr>
        <w:t>, 212-220.</w:t>
      </w:r>
    </w:p>
    <w:p w14:paraId="3634CC60" w14:textId="77777777" w:rsidR="00FA2C9D" w:rsidRPr="00FA2C9D" w:rsidRDefault="00FA2C9D" w:rsidP="00FA2C9D">
      <w:pPr>
        <w:spacing w:line="360" w:lineRule="auto"/>
        <w:rPr>
          <w:rFonts w:ascii="Times New Roman" w:hAnsi="Times New Roman" w:cs="Times New Roman"/>
        </w:rPr>
      </w:pPr>
      <w:r w:rsidRPr="00FA2C9D">
        <w:rPr>
          <w:rFonts w:ascii="Times New Roman" w:hAnsi="Times New Roman" w:cs="Times New Roman"/>
        </w:rPr>
        <w:t>Martin, I. W., &amp; Beck, K. (2018). Gentrification, property tax limitation, and displacement. </w:t>
      </w:r>
      <w:r w:rsidRPr="00FA2C9D">
        <w:rPr>
          <w:rFonts w:ascii="Times New Roman" w:hAnsi="Times New Roman" w:cs="Times New Roman"/>
          <w:i/>
          <w:iCs/>
        </w:rPr>
        <w:t>Urban Affairs Review</w:t>
      </w:r>
      <w:r w:rsidRPr="00FA2C9D">
        <w:rPr>
          <w:rFonts w:ascii="Times New Roman" w:hAnsi="Times New Roman" w:cs="Times New Roman"/>
        </w:rPr>
        <w:t>, </w:t>
      </w:r>
      <w:r w:rsidRPr="00FA2C9D">
        <w:rPr>
          <w:rFonts w:ascii="Times New Roman" w:hAnsi="Times New Roman" w:cs="Times New Roman"/>
          <w:i/>
          <w:iCs/>
        </w:rPr>
        <w:t>54</w:t>
      </w:r>
      <w:r w:rsidRPr="00FA2C9D">
        <w:rPr>
          <w:rFonts w:ascii="Times New Roman" w:hAnsi="Times New Roman" w:cs="Times New Roman"/>
        </w:rPr>
        <w:t>(1), 33-73.</w:t>
      </w:r>
    </w:p>
    <w:p w14:paraId="22914430" w14:textId="77777777" w:rsidR="00FA2C9D" w:rsidRPr="00FA2C9D" w:rsidRDefault="00FA2C9D" w:rsidP="00FA2C9D">
      <w:pPr>
        <w:spacing w:line="360" w:lineRule="auto"/>
        <w:rPr>
          <w:rFonts w:ascii="Times New Roman" w:hAnsi="Times New Roman" w:cs="Times New Roman"/>
        </w:rPr>
      </w:pPr>
      <w:r w:rsidRPr="00FA2C9D">
        <w:rPr>
          <w:rFonts w:ascii="Times New Roman" w:hAnsi="Times New Roman" w:cs="Times New Roman"/>
        </w:rPr>
        <w:t>Muth, R. F. (1969). CITIES AND HOUSING: THE SPATIAL PATTERN OF URBAN RESIDENTIAL LAND USE.</w:t>
      </w:r>
    </w:p>
    <w:p w14:paraId="39F19997" w14:textId="77777777" w:rsidR="00FA2C9D" w:rsidRPr="00FA2C9D" w:rsidRDefault="00FA2C9D" w:rsidP="00FA2C9D">
      <w:pPr>
        <w:spacing w:line="360" w:lineRule="auto"/>
        <w:rPr>
          <w:rFonts w:ascii="Times New Roman" w:hAnsi="Times New Roman" w:cs="Times New Roman"/>
        </w:rPr>
      </w:pPr>
      <w:r w:rsidRPr="00FA2C9D">
        <w:rPr>
          <w:rFonts w:ascii="Times New Roman" w:hAnsi="Times New Roman" w:cs="Times New Roman"/>
        </w:rPr>
        <w:t>Nilsson, I., Delmelle, E. C., &amp; James, M. P. (2025). When the Train Never Comes: Property Value Impacts from the Announcement and Cancellation of a Light Rail Project. </w:t>
      </w:r>
      <w:r w:rsidRPr="00FA2C9D">
        <w:rPr>
          <w:rFonts w:ascii="Times New Roman" w:hAnsi="Times New Roman" w:cs="Times New Roman"/>
          <w:i/>
          <w:iCs/>
        </w:rPr>
        <w:t>The Professional Geographer</w:t>
      </w:r>
      <w:r w:rsidRPr="00FA2C9D">
        <w:rPr>
          <w:rFonts w:ascii="Times New Roman" w:hAnsi="Times New Roman" w:cs="Times New Roman"/>
        </w:rPr>
        <w:t>, 1-13.</w:t>
      </w:r>
    </w:p>
    <w:p w14:paraId="049DF985" w14:textId="77777777" w:rsidR="00FA2C9D" w:rsidRPr="00FA2C9D" w:rsidRDefault="00FA2C9D" w:rsidP="00FA2C9D">
      <w:pPr>
        <w:spacing w:line="360" w:lineRule="auto"/>
        <w:rPr>
          <w:rFonts w:ascii="Times New Roman" w:hAnsi="Times New Roman" w:cs="Times New Roman"/>
        </w:rPr>
      </w:pPr>
      <w:r w:rsidRPr="00FA2C9D">
        <w:rPr>
          <w:rFonts w:ascii="Times New Roman" w:hAnsi="Times New Roman" w:cs="Times New Roman"/>
        </w:rPr>
        <w:t>Nilsson I, Delmelle EC (2018) Transit investments and neighborhood change: On the likelihood of change. </w:t>
      </w:r>
      <w:r w:rsidRPr="00FA2C9D">
        <w:rPr>
          <w:rFonts w:ascii="Times New Roman" w:hAnsi="Times New Roman" w:cs="Times New Roman"/>
          <w:i/>
          <w:iCs/>
        </w:rPr>
        <w:t>Journal of Transport Geography</w:t>
      </w:r>
      <w:r w:rsidRPr="00FA2C9D">
        <w:rPr>
          <w:rFonts w:ascii="Times New Roman" w:hAnsi="Times New Roman" w:cs="Times New Roman"/>
        </w:rPr>
        <w:t> 66: 167–179.</w:t>
      </w:r>
    </w:p>
    <w:p w14:paraId="3B7A179E" w14:textId="77777777" w:rsidR="00FA2C9D" w:rsidRPr="00FA2C9D" w:rsidRDefault="00FA2C9D" w:rsidP="00FA2C9D">
      <w:pPr>
        <w:spacing w:line="360" w:lineRule="auto"/>
        <w:rPr>
          <w:rFonts w:ascii="Times New Roman" w:hAnsi="Times New Roman" w:cs="Times New Roman"/>
        </w:rPr>
      </w:pPr>
      <w:r w:rsidRPr="00FA2C9D">
        <w:rPr>
          <w:rFonts w:ascii="Times New Roman" w:hAnsi="Times New Roman" w:cs="Times New Roman"/>
        </w:rPr>
        <w:t>Nelson, A. C. (2017). Transit and real estate rents. </w:t>
      </w:r>
      <w:r w:rsidRPr="00FA2C9D">
        <w:rPr>
          <w:rFonts w:ascii="Times New Roman" w:hAnsi="Times New Roman" w:cs="Times New Roman"/>
          <w:i/>
          <w:iCs/>
        </w:rPr>
        <w:t>Transportation Research Record</w:t>
      </w:r>
      <w:r w:rsidRPr="00FA2C9D">
        <w:rPr>
          <w:rFonts w:ascii="Times New Roman" w:hAnsi="Times New Roman" w:cs="Times New Roman"/>
        </w:rPr>
        <w:t>, </w:t>
      </w:r>
      <w:r w:rsidRPr="00FA2C9D">
        <w:rPr>
          <w:rFonts w:ascii="Times New Roman" w:hAnsi="Times New Roman" w:cs="Times New Roman"/>
          <w:i/>
          <w:iCs/>
        </w:rPr>
        <w:t>2651</w:t>
      </w:r>
      <w:r w:rsidRPr="00FA2C9D">
        <w:rPr>
          <w:rFonts w:ascii="Times New Roman" w:hAnsi="Times New Roman" w:cs="Times New Roman"/>
        </w:rPr>
        <w:t>(1), 22-30.</w:t>
      </w:r>
    </w:p>
    <w:p w14:paraId="55E8D9FF" w14:textId="77777777" w:rsidR="00FA2C9D" w:rsidRPr="00FA2C9D" w:rsidRDefault="00FA2C9D" w:rsidP="00FA2C9D">
      <w:pPr>
        <w:spacing w:line="360" w:lineRule="auto"/>
        <w:rPr>
          <w:rFonts w:ascii="Times New Roman" w:hAnsi="Times New Roman" w:cs="Times New Roman"/>
        </w:rPr>
      </w:pPr>
      <w:r w:rsidRPr="00FA2C9D">
        <w:rPr>
          <w:rFonts w:ascii="Times New Roman" w:hAnsi="Times New Roman" w:cs="Times New Roman"/>
        </w:rPr>
        <w:t>Qi, Y. (2024). Transit-induced gentrification and neighborhood upgrading in the United States. </w:t>
      </w:r>
      <w:r w:rsidRPr="00FA2C9D">
        <w:rPr>
          <w:rFonts w:ascii="Times New Roman" w:hAnsi="Times New Roman" w:cs="Times New Roman"/>
          <w:i/>
          <w:iCs/>
        </w:rPr>
        <w:t>Journal of Planning Education and Research</w:t>
      </w:r>
      <w:r w:rsidRPr="00FA2C9D">
        <w:rPr>
          <w:rFonts w:ascii="Times New Roman" w:hAnsi="Times New Roman" w:cs="Times New Roman"/>
        </w:rPr>
        <w:t>, </w:t>
      </w:r>
      <w:r w:rsidRPr="00FA2C9D">
        <w:rPr>
          <w:rFonts w:ascii="Times New Roman" w:hAnsi="Times New Roman" w:cs="Times New Roman"/>
          <w:i/>
          <w:iCs/>
        </w:rPr>
        <w:t>44</w:t>
      </w:r>
      <w:r w:rsidRPr="00FA2C9D">
        <w:rPr>
          <w:rFonts w:ascii="Times New Roman" w:hAnsi="Times New Roman" w:cs="Times New Roman"/>
        </w:rPr>
        <w:t>(4), 2214-2230.</w:t>
      </w:r>
    </w:p>
    <w:p w14:paraId="60FFDE0E" w14:textId="77777777" w:rsidR="00FA2C9D" w:rsidRPr="00FA2C9D" w:rsidRDefault="00FA2C9D" w:rsidP="00FA2C9D">
      <w:pPr>
        <w:spacing w:line="360" w:lineRule="auto"/>
        <w:rPr>
          <w:rFonts w:ascii="Times New Roman" w:hAnsi="Times New Roman" w:cs="Times New Roman"/>
        </w:rPr>
      </w:pPr>
      <w:r w:rsidRPr="00FA2C9D">
        <w:rPr>
          <w:rFonts w:ascii="Times New Roman" w:hAnsi="Times New Roman" w:cs="Times New Roman"/>
        </w:rPr>
        <w:t>Renzy, R., &amp; Artzer, M. C. (2025). Using synthetic control to assess the impact of light rail transit on neighborhood demographics: A case study of Charlotte’s South End. </w:t>
      </w:r>
      <w:r w:rsidRPr="00FA2C9D">
        <w:rPr>
          <w:rFonts w:ascii="Times New Roman" w:hAnsi="Times New Roman" w:cs="Times New Roman"/>
          <w:i/>
          <w:iCs/>
        </w:rPr>
        <w:t>Case Studies on Transport Policy</w:t>
      </w:r>
      <w:r w:rsidRPr="00FA2C9D">
        <w:rPr>
          <w:rFonts w:ascii="Times New Roman" w:hAnsi="Times New Roman" w:cs="Times New Roman"/>
        </w:rPr>
        <w:t>, 101532.</w:t>
      </w:r>
    </w:p>
    <w:p w14:paraId="52F6B7CB" w14:textId="77777777" w:rsidR="00FA2C9D" w:rsidRPr="00FA2C9D" w:rsidRDefault="00FA2C9D" w:rsidP="00FA2C9D">
      <w:pPr>
        <w:spacing w:line="360" w:lineRule="auto"/>
        <w:rPr>
          <w:rFonts w:ascii="Times New Roman" w:hAnsi="Times New Roman" w:cs="Times New Roman"/>
        </w:rPr>
      </w:pPr>
      <w:r w:rsidRPr="00FA2C9D">
        <w:rPr>
          <w:rFonts w:ascii="Times New Roman" w:hAnsi="Times New Roman" w:cs="Times New Roman"/>
        </w:rPr>
        <w:t>Rayle, L. (2015). Investigating the connection between transit-oriented development and displacement: Four hypotheses. </w:t>
      </w:r>
      <w:r w:rsidRPr="00FA2C9D">
        <w:rPr>
          <w:rFonts w:ascii="Times New Roman" w:hAnsi="Times New Roman" w:cs="Times New Roman"/>
          <w:i/>
          <w:iCs/>
        </w:rPr>
        <w:t>Housing Policy Debate</w:t>
      </w:r>
      <w:r w:rsidRPr="00FA2C9D">
        <w:rPr>
          <w:rFonts w:ascii="Times New Roman" w:hAnsi="Times New Roman" w:cs="Times New Roman"/>
        </w:rPr>
        <w:t>, </w:t>
      </w:r>
      <w:r w:rsidRPr="00FA2C9D">
        <w:rPr>
          <w:rFonts w:ascii="Times New Roman" w:hAnsi="Times New Roman" w:cs="Times New Roman"/>
          <w:i/>
          <w:iCs/>
        </w:rPr>
        <w:t>25</w:t>
      </w:r>
      <w:r w:rsidRPr="00FA2C9D">
        <w:rPr>
          <w:rFonts w:ascii="Times New Roman" w:hAnsi="Times New Roman" w:cs="Times New Roman"/>
        </w:rPr>
        <w:t>(3), 531-548.</w:t>
      </w:r>
    </w:p>
    <w:p w14:paraId="5DF5D87C" w14:textId="77777777" w:rsidR="00FA2C9D" w:rsidRPr="00FA2C9D" w:rsidRDefault="00FA2C9D" w:rsidP="00FA2C9D">
      <w:pPr>
        <w:spacing w:line="360" w:lineRule="auto"/>
        <w:rPr>
          <w:rFonts w:ascii="Times New Roman" w:hAnsi="Times New Roman" w:cs="Times New Roman"/>
        </w:rPr>
      </w:pPr>
      <w:r w:rsidRPr="00FA2C9D">
        <w:rPr>
          <w:rFonts w:ascii="Times New Roman" w:hAnsi="Times New Roman" w:cs="Times New Roman"/>
        </w:rPr>
        <w:t>Rennert, L. 2022. A meta-analysis of the impact of rail stations on property values: Applying a transit planning lens. </w:t>
      </w:r>
      <w:r w:rsidRPr="00FA2C9D">
        <w:rPr>
          <w:rFonts w:ascii="Times New Roman" w:hAnsi="Times New Roman" w:cs="Times New Roman"/>
          <w:i/>
          <w:iCs/>
        </w:rPr>
        <w:t>Transportation Research Part A: Policy and Practice</w:t>
      </w:r>
      <w:r w:rsidRPr="00FA2C9D">
        <w:rPr>
          <w:rFonts w:ascii="Times New Roman" w:hAnsi="Times New Roman" w:cs="Times New Roman"/>
        </w:rPr>
        <w:t> 163:165–80. </w:t>
      </w:r>
    </w:p>
    <w:p w14:paraId="6CF32E0C" w14:textId="60AB287B" w:rsidR="00AD5B49" w:rsidRDefault="00AD5B49" w:rsidP="00FA2C9D">
      <w:pPr>
        <w:spacing w:line="360" w:lineRule="auto"/>
        <w:rPr>
          <w:rFonts w:ascii="Times New Roman" w:hAnsi="Times New Roman" w:cs="Times New Roman"/>
        </w:rPr>
      </w:pPr>
      <w:r w:rsidRPr="00AD5B49">
        <w:rPr>
          <w:rFonts w:ascii="Times New Roman" w:hAnsi="Times New Roman" w:cs="Times New Roman"/>
        </w:rPr>
        <w:t>Redfearn, C. L. (2009). How informative are average effects? Hedonic regression and amenity capitalization in complex urban housing markets. </w:t>
      </w:r>
      <w:r w:rsidRPr="00AD5B49">
        <w:rPr>
          <w:rFonts w:ascii="Times New Roman" w:hAnsi="Times New Roman" w:cs="Times New Roman"/>
          <w:i/>
          <w:iCs/>
        </w:rPr>
        <w:t>Regional Science and Urban Economics</w:t>
      </w:r>
      <w:r w:rsidRPr="00AD5B49">
        <w:rPr>
          <w:rFonts w:ascii="Times New Roman" w:hAnsi="Times New Roman" w:cs="Times New Roman"/>
        </w:rPr>
        <w:t>, </w:t>
      </w:r>
      <w:r w:rsidRPr="00AD5B49">
        <w:rPr>
          <w:rFonts w:ascii="Times New Roman" w:hAnsi="Times New Roman" w:cs="Times New Roman"/>
          <w:i/>
          <w:iCs/>
        </w:rPr>
        <w:t>39</w:t>
      </w:r>
      <w:r w:rsidRPr="00AD5B49">
        <w:rPr>
          <w:rFonts w:ascii="Times New Roman" w:hAnsi="Times New Roman" w:cs="Times New Roman"/>
        </w:rPr>
        <w:t>(3), 297-306.</w:t>
      </w:r>
    </w:p>
    <w:p w14:paraId="4CDFAC22" w14:textId="2E50CDC8" w:rsidR="00043657" w:rsidRDefault="00043657" w:rsidP="00FA2C9D">
      <w:pPr>
        <w:spacing w:line="360" w:lineRule="auto"/>
        <w:rPr>
          <w:rFonts w:ascii="Times New Roman" w:hAnsi="Times New Roman" w:cs="Times New Roman"/>
        </w:rPr>
      </w:pPr>
      <w:r w:rsidRPr="00043657">
        <w:rPr>
          <w:rFonts w:ascii="Times New Roman" w:hAnsi="Times New Roman" w:cs="Times New Roman"/>
        </w:rPr>
        <w:lastRenderedPageBreak/>
        <w:t>Rosenbaum, P. R., &amp; Rubin, D. B. (1983). The central role of the propensity score in observational studies for causal effects. </w:t>
      </w:r>
      <w:proofErr w:type="spellStart"/>
      <w:r w:rsidRPr="00043657">
        <w:rPr>
          <w:rFonts w:ascii="Times New Roman" w:hAnsi="Times New Roman" w:cs="Times New Roman"/>
          <w:i/>
          <w:iCs/>
        </w:rPr>
        <w:t>Biometrika</w:t>
      </w:r>
      <w:proofErr w:type="spellEnd"/>
      <w:r w:rsidRPr="00043657">
        <w:rPr>
          <w:rFonts w:ascii="Times New Roman" w:hAnsi="Times New Roman" w:cs="Times New Roman"/>
        </w:rPr>
        <w:t>, </w:t>
      </w:r>
      <w:r w:rsidRPr="00043657">
        <w:rPr>
          <w:rFonts w:ascii="Times New Roman" w:hAnsi="Times New Roman" w:cs="Times New Roman"/>
          <w:i/>
          <w:iCs/>
        </w:rPr>
        <w:t>70</w:t>
      </w:r>
      <w:r w:rsidRPr="00043657">
        <w:rPr>
          <w:rFonts w:ascii="Times New Roman" w:hAnsi="Times New Roman" w:cs="Times New Roman"/>
        </w:rPr>
        <w:t>(1), 41-55.</w:t>
      </w:r>
    </w:p>
    <w:p w14:paraId="129F73C6" w14:textId="7596DC1F" w:rsidR="00FA2C9D" w:rsidRDefault="00DC4212" w:rsidP="00FA2C9D">
      <w:pPr>
        <w:spacing w:line="360" w:lineRule="auto"/>
        <w:rPr>
          <w:rFonts w:ascii="Times New Roman" w:hAnsi="Times New Roman" w:cs="Times New Roman"/>
        </w:rPr>
      </w:pPr>
      <w:r w:rsidRPr="00DC4212">
        <w:rPr>
          <w:rFonts w:ascii="Times New Roman" w:hAnsi="Times New Roman" w:cs="Times New Roman"/>
        </w:rPr>
        <w:t>Smith, H., &amp; Graves, W. (2003). The corporate (re) construction of a New South City: Great banks need great cities. </w:t>
      </w:r>
      <w:r w:rsidRPr="00DC4212">
        <w:rPr>
          <w:rFonts w:ascii="Times New Roman" w:hAnsi="Times New Roman" w:cs="Times New Roman"/>
          <w:i/>
          <w:iCs/>
        </w:rPr>
        <w:t>Southeastern Geographer</w:t>
      </w:r>
      <w:r w:rsidRPr="00DC4212">
        <w:rPr>
          <w:rFonts w:ascii="Times New Roman" w:hAnsi="Times New Roman" w:cs="Times New Roman"/>
        </w:rPr>
        <w:t>, </w:t>
      </w:r>
      <w:r w:rsidRPr="00DC4212">
        <w:rPr>
          <w:rFonts w:ascii="Times New Roman" w:hAnsi="Times New Roman" w:cs="Times New Roman"/>
          <w:i/>
          <w:iCs/>
        </w:rPr>
        <w:t>43</w:t>
      </w:r>
      <w:r w:rsidRPr="00DC4212">
        <w:rPr>
          <w:rFonts w:ascii="Times New Roman" w:hAnsi="Times New Roman" w:cs="Times New Roman"/>
        </w:rPr>
        <w:t>(2), 213-234.</w:t>
      </w:r>
    </w:p>
    <w:p w14:paraId="54473B4C" w14:textId="0BA81CA7" w:rsidR="00DC4212" w:rsidRPr="00FA2C9D" w:rsidRDefault="00DC4212" w:rsidP="00FA2C9D">
      <w:pPr>
        <w:spacing w:line="360" w:lineRule="auto"/>
        <w:rPr>
          <w:rFonts w:ascii="Times New Roman" w:hAnsi="Times New Roman" w:cs="Times New Roman"/>
        </w:rPr>
      </w:pPr>
      <w:r w:rsidRPr="00DC4212">
        <w:rPr>
          <w:rFonts w:ascii="Times New Roman" w:hAnsi="Times New Roman" w:cs="Times New Roman"/>
        </w:rPr>
        <w:t>Smith, H., &amp; Graves, W. (2005). Gentrification as corporate growth strategy: The strange case of Charlotte, North Carolina and the Bank of America. </w:t>
      </w:r>
      <w:r w:rsidRPr="00DC4212">
        <w:rPr>
          <w:rFonts w:ascii="Times New Roman" w:hAnsi="Times New Roman" w:cs="Times New Roman"/>
          <w:i/>
          <w:iCs/>
        </w:rPr>
        <w:t>Journal of Urban Affairs</w:t>
      </w:r>
      <w:r w:rsidRPr="00DC4212">
        <w:rPr>
          <w:rFonts w:ascii="Times New Roman" w:hAnsi="Times New Roman" w:cs="Times New Roman"/>
        </w:rPr>
        <w:t>, </w:t>
      </w:r>
      <w:r w:rsidRPr="00DC4212">
        <w:rPr>
          <w:rFonts w:ascii="Times New Roman" w:hAnsi="Times New Roman" w:cs="Times New Roman"/>
          <w:i/>
          <w:iCs/>
        </w:rPr>
        <w:t>27</w:t>
      </w:r>
      <w:r w:rsidRPr="00DC4212">
        <w:rPr>
          <w:rFonts w:ascii="Times New Roman" w:hAnsi="Times New Roman" w:cs="Times New Roman"/>
        </w:rPr>
        <w:t>(4), 403-418.</w:t>
      </w:r>
    </w:p>
    <w:p w14:paraId="243592C6" w14:textId="11C861EE" w:rsidR="00FA2C9D" w:rsidRPr="00FA2C9D" w:rsidRDefault="00DD1895" w:rsidP="00840121">
      <w:pPr>
        <w:spacing w:line="360" w:lineRule="auto"/>
        <w:rPr>
          <w:rFonts w:ascii="Times New Roman" w:hAnsi="Times New Roman" w:cs="Times New Roman"/>
        </w:rPr>
      </w:pPr>
      <w:r w:rsidRPr="00DD1895">
        <w:rPr>
          <w:rFonts w:ascii="Times New Roman" w:hAnsi="Times New Roman" w:cs="Times New Roman"/>
        </w:rPr>
        <w:t>Wagner, G. A., Komarek, T., &amp; Martin, J. (2017). Is the light rail “Tide” lifting property values? Evidence from Hampton Roads, VA. </w:t>
      </w:r>
      <w:r w:rsidRPr="00DD1895">
        <w:rPr>
          <w:rFonts w:ascii="Times New Roman" w:hAnsi="Times New Roman" w:cs="Times New Roman"/>
          <w:i/>
          <w:iCs/>
        </w:rPr>
        <w:t>Regional Science and Urban Economics</w:t>
      </w:r>
      <w:r w:rsidRPr="00DD1895">
        <w:rPr>
          <w:rFonts w:ascii="Times New Roman" w:hAnsi="Times New Roman" w:cs="Times New Roman"/>
        </w:rPr>
        <w:t>, </w:t>
      </w:r>
      <w:r w:rsidRPr="00DD1895">
        <w:rPr>
          <w:rFonts w:ascii="Times New Roman" w:hAnsi="Times New Roman" w:cs="Times New Roman"/>
          <w:i/>
          <w:iCs/>
        </w:rPr>
        <w:t>65</w:t>
      </w:r>
      <w:r w:rsidRPr="00DD1895">
        <w:rPr>
          <w:rFonts w:ascii="Times New Roman" w:hAnsi="Times New Roman" w:cs="Times New Roman"/>
        </w:rPr>
        <w:t>, 25-37.</w:t>
      </w:r>
    </w:p>
    <w:sectPr w:rsidR="00FA2C9D" w:rsidRPr="00FA2C9D">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4062E" w14:textId="77777777" w:rsidR="008132A2" w:rsidRDefault="008132A2" w:rsidP="0015119B">
      <w:pPr>
        <w:spacing w:after="0" w:line="240" w:lineRule="auto"/>
      </w:pPr>
      <w:r>
        <w:separator/>
      </w:r>
    </w:p>
  </w:endnote>
  <w:endnote w:type="continuationSeparator" w:id="0">
    <w:p w14:paraId="3402F37B" w14:textId="77777777" w:rsidR="008132A2" w:rsidRDefault="008132A2" w:rsidP="00151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56952680"/>
      <w:docPartObj>
        <w:docPartGallery w:val="Page Numbers (Bottom of Page)"/>
        <w:docPartUnique/>
      </w:docPartObj>
    </w:sdtPr>
    <w:sdtContent>
      <w:p w14:paraId="4B857F10" w14:textId="4F91C759" w:rsidR="0015119B" w:rsidRDefault="0015119B" w:rsidP="00F410A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1F9E9A6" w14:textId="77777777" w:rsidR="0015119B" w:rsidRDefault="0015119B" w:rsidP="001511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2385917"/>
      <w:docPartObj>
        <w:docPartGallery w:val="Page Numbers (Bottom of Page)"/>
        <w:docPartUnique/>
      </w:docPartObj>
    </w:sdtPr>
    <w:sdtContent>
      <w:p w14:paraId="439F54E6" w14:textId="005B1973" w:rsidR="0015119B" w:rsidRDefault="0015119B" w:rsidP="00F410A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E3C1FDD" w14:textId="77777777" w:rsidR="0015119B" w:rsidRDefault="0015119B" w:rsidP="001511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429DD" w14:textId="77777777" w:rsidR="008132A2" w:rsidRDefault="008132A2" w:rsidP="0015119B">
      <w:pPr>
        <w:spacing w:after="0" w:line="240" w:lineRule="auto"/>
      </w:pPr>
      <w:r>
        <w:separator/>
      </w:r>
    </w:p>
  </w:footnote>
  <w:footnote w:type="continuationSeparator" w:id="0">
    <w:p w14:paraId="2D1914EA" w14:textId="77777777" w:rsidR="008132A2" w:rsidRDefault="008132A2" w:rsidP="001511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C11C8"/>
    <w:multiLevelType w:val="hybridMultilevel"/>
    <w:tmpl w:val="B67C6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D60606"/>
    <w:multiLevelType w:val="hybridMultilevel"/>
    <w:tmpl w:val="111C9AFE"/>
    <w:lvl w:ilvl="0" w:tplc="8B0234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9581316"/>
    <w:multiLevelType w:val="hybridMultilevel"/>
    <w:tmpl w:val="8268704E"/>
    <w:lvl w:ilvl="0" w:tplc="0E7E3C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33058FE"/>
    <w:multiLevelType w:val="multilevel"/>
    <w:tmpl w:val="986C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510FC3"/>
    <w:multiLevelType w:val="hybridMultilevel"/>
    <w:tmpl w:val="02F02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777934"/>
    <w:multiLevelType w:val="hybridMultilevel"/>
    <w:tmpl w:val="03D8A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9C58CC"/>
    <w:multiLevelType w:val="hybridMultilevel"/>
    <w:tmpl w:val="800002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C7B4C88"/>
    <w:multiLevelType w:val="multilevel"/>
    <w:tmpl w:val="F69A15F0"/>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i/>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num w:numId="1" w16cid:durableId="504439236">
    <w:abstractNumId w:val="4"/>
  </w:num>
  <w:num w:numId="2" w16cid:durableId="1569460479">
    <w:abstractNumId w:val="1"/>
  </w:num>
  <w:num w:numId="3" w16cid:durableId="1310012549">
    <w:abstractNumId w:val="7"/>
  </w:num>
  <w:num w:numId="4" w16cid:durableId="1595166927">
    <w:abstractNumId w:val="6"/>
  </w:num>
  <w:num w:numId="5" w16cid:durableId="1996295635">
    <w:abstractNumId w:val="3"/>
  </w:num>
  <w:num w:numId="6" w16cid:durableId="70852942">
    <w:abstractNumId w:val="5"/>
  </w:num>
  <w:num w:numId="7" w16cid:durableId="1316184427">
    <w:abstractNumId w:val="2"/>
  </w:num>
  <w:num w:numId="8" w16cid:durableId="2096975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DF3"/>
    <w:rsid w:val="00041E26"/>
    <w:rsid w:val="00043657"/>
    <w:rsid w:val="00046323"/>
    <w:rsid w:val="00070751"/>
    <w:rsid w:val="000707A9"/>
    <w:rsid w:val="00071E10"/>
    <w:rsid w:val="000954B5"/>
    <w:rsid w:val="000A30A7"/>
    <w:rsid w:val="000A4175"/>
    <w:rsid w:val="000A538A"/>
    <w:rsid w:val="000B1CF2"/>
    <w:rsid w:val="000C713B"/>
    <w:rsid w:val="000E5FF3"/>
    <w:rsid w:val="000F2F2F"/>
    <w:rsid w:val="00110D4B"/>
    <w:rsid w:val="00116E79"/>
    <w:rsid w:val="0015119B"/>
    <w:rsid w:val="00160A66"/>
    <w:rsid w:val="00162EAF"/>
    <w:rsid w:val="001730AE"/>
    <w:rsid w:val="00190F80"/>
    <w:rsid w:val="001C668B"/>
    <w:rsid w:val="001E6020"/>
    <w:rsid w:val="001F6030"/>
    <w:rsid w:val="002044CF"/>
    <w:rsid w:val="00211078"/>
    <w:rsid w:val="00212270"/>
    <w:rsid w:val="0021407E"/>
    <w:rsid w:val="00224C95"/>
    <w:rsid w:val="00226B07"/>
    <w:rsid w:val="00231BBD"/>
    <w:rsid w:val="0027424F"/>
    <w:rsid w:val="00285C90"/>
    <w:rsid w:val="0028611A"/>
    <w:rsid w:val="002B03B2"/>
    <w:rsid w:val="002B0B63"/>
    <w:rsid w:val="002C293B"/>
    <w:rsid w:val="002D51AC"/>
    <w:rsid w:val="002D679B"/>
    <w:rsid w:val="002F2412"/>
    <w:rsid w:val="002F3F20"/>
    <w:rsid w:val="00303A72"/>
    <w:rsid w:val="00304B95"/>
    <w:rsid w:val="00306F3E"/>
    <w:rsid w:val="0031451E"/>
    <w:rsid w:val="0031538E"/>
    <w:rsid w:val="0032274D"/>
    <w:rsid w:val="0033748E"/>
    <w:rsid w:val="00346B40"/>
    <w:rsid w:val="00386595"/>
    <w:rsid w:val="003A0DE7"/>
    <w:rsid w:val="003B29DF"/>
    <w:rsid w:val="003B3336"/>
    <w:rsid w:val="003D4DDF"/>
    <w:rsid w:val="003E16BA"/>
    <w:rsid w:val="003F0FEB"/>
    <w:rsid w:val="00403490"/>
    <w:rsid w:val="0041616A"/>
    <w:rsid w:val="00417A99"/>
    <w:rsid w:val="0042690F"/>
    <w:rsid w:val="00435B02"/>
    <w:rsid w:val="00450987"/>
    <w:rsid w:val="0045720D"/>
    <w:rsid w:val="00463F27"/>
    <w:rsid w:val="004F7661"/>
    <w:rsid w:val="00504146"/>
    <w:rsid w:val="0050703F"/>
    <w:rsid w:val="00510078"/>
    <w:rsid w:val="00515DF5"/>
    <w:rsid w:val="00536A24"/>
    <w:rsid w:val="00546BA0"/>
    <w:rsid w:val="005517EF"/>
    <w:rsid w:val="0056722C"/>
    <w:rsid w:val="0059331D"/>
    <w:rsid w:val="005A66D7"/>
    <w:rsid w:val="005B656C"/>
    <w:rsid w:val="005C427E"/>
    <w:rsid w:val="005C46CD"/>
    <w:rsid w:val="005C77FA"/>
    <w:rsid w:val="005D0554"/>
    <w:rsid w:val="005D2B8B"/>
    <w:rsid w:val="005E3617"/>
    <w:rsid w:val="005F7694"/>
    <w:rsid w:val="00602E64"/>
    <w:rsid w:val="00612E30"/>
    <w:rsid w:val="00613B3A"/>
    <w:rsid w:val="0064609D"/>
    <w:rsid w:val="00646C77"/>
    <w:rsid w:val="0066322F"/>
    <w:rsid w:val="00670889"/>
    <w:rsid w:val="006D4395"/>
    <w:rsid w:val="006F1275"/>
    <w:rsid w:val="006F35B9"/>
    <w:rsid w:val="006F442D"/>
    <w:rsid w:val="00706A4C"/>
    <w:rsid w:val="0071115F"/>
    <w:rsid w:val="00712B49"/>
    <w:rsid w:val="007176C7"/>
    <w:rsid w:val="00732E66"/>
    <w:rsid w:val="00736734"/>
    <w:rsid w:val="00775217"/>
    <w:rsid w:val="007838DA"/>
    <w:rsid w:val="00786B8F"/>
    <w:rsid w:val="00787D6F"/>
    <w:rsid w:val="007B1833"/>
    <w:rsid w:val="007B4828"/>
    <w:rsid w:val="007C28C3"/>
    <w:rsid w:val="007D4307"/>
    <w:rsid w:val="007D4DDF"/>
    <w:rsid w:val="007F7144"/>
    <w:rsid w:val="008118D8"/>
    <w:rsid w:val="008132A2"/>
    <w:rsid w:val="00817FD0"/>
    <w:rsid w:val="00825404"/>
    <w:rsid w:val="00832456"/>
    <w:rsid w:val="00833020"/>
    <w:rsid w:val="00840121"/>
    <w:rsid w:val="0086594C"/>
    <w:rsid w:val="00865D11"/>
    <w:rsid w:val="0088495B"/>
    <w:rsid w:val="00895A57"/>
    <w:rsid w:val="008C5526"/>
    <w:rsid w:val="008C5EC8"/>
    <w:rsid w:val="008E47FA"/>
    <w:rsid w:val="008F4D01"/>
    <w:rsid w:val="008F554D"/>
    <w:rsid w:val="0092027B"/>
    <w:rsid w:val="00921611"/>
    <w:rsid w:val="00930FCB"/>
    <w:rsid w:val="0097383F"/>
    <w:rsid w:val="0097516E"/>
    <w:rsid w:val="00981B45"/>
    <w:rsid w:val="00983D3D"/>
    <w:rsid w:val="00991A5D"/>
    <w:rsid w:val="0099424C"/>
    <w:rsid w:val="009C01C3"/>
    <w:rsid w:val="009D368F"/>
    <w:rsid w:val="009D6B54"/>
    <w:rsid w:val="009E44AC"/>
    <w:rsid w:val="009F2C6B"/>
    <w:rsid w:val="009F5FAF"/>
    <w:rsid w:val="00A14C70"/>
    <w:rsid w:val="00A21C36"/>
    <w:rsid w:val="00A62F95"/>
    <w:rsid w:val="00A70F6C"/>
    <w:rsid w:val="00A77D60"/>
    <w:rsid w:val="00A94808"/>
    <w:rsid w:val="00A94B73"/>
    <w:rsid w:val="00AA4DB2"/>
    <w:rsid w:val="00AA5FD0"/>
    <w:rsid w:val="00AB3615"/>
    <w:rsid w:val="00AD3F8F"/>
    <w:rsid w:val="00AD5B49"/>
    <w:rsid w:val="00AE4823"/>
    <w:rsid w:val="00AF3C69"/>
    <w:rsid w:val="00B21547"/>
    <w:rsid w:val="00B228DB"/>
    <w:rsid w:val="00B61D56"/>
    <w:rsid w:val="00B76DF3"/>
    <w:rsid w:val="00B93B8B"/>
    <w:rsid w:val="00BA33B0"/>
    <w:rsid w:val="00BC134A"/>
    <w:rsid w:val="00BC3956"/>
    <w:rsid w:val="00C04CA6"/>
    <w:rsid w:val="00C1156D"/>
    <w:rsid w:val="00C11C5F"/>
    <w:rsid w:val="00C13529"/>
    <w:rsid w:val="00C3777D"/>
    <w:rsid w:val="00C52329"/>
    <w:rsid w:val="00C53E22"/>
    <w:rsid w:val="00C6311A"/>
    <w:rsid w:val="00C712C6"/>
    <w:rsid w:val="00C74FE6"/>
    <w:rsid w:val="00C75D10"/>
    <w:rsid w:val="00C92A9D"/>
    <w:rsid w:val="00CE5E9E"/>
    <w:rsid w:val="00D35207"/>
    <w:rsid w:val="00D8480C"/>
    <w:rsid w:val="00DA5E1B"/>
    <w:rsid w:val="00DA6221"/>
    <w:rsid w:val="00DA7497"/>
    <w:rsid w:val="00DC4212"/>
    <w:rsid w:val="00DD1895"/>
    <w:rsid w:val="00E337A7"/>
    <w:rsid w:val="00E37212"/>
    <w:rsid w:val="00E436B6"/>
    <w:rsid w:val="00E56634"/>
    <w:rsid w:val="00E72760"/>
    <w:rsid w:val="00E86763"/>
    <w:rsid w:val="00EC5BAE"/>
    <w:rsid w:val="00ED112C"/>
    <w:rsid w:val="00EF0812"/>
    <w:rsid w:val="00EF5B0C"/>
    <w:rsid w:val="00F01227"/>
    <w:rsid w:val="00F410A0"/>
    <w:rsid w:val="00F50949"/>
    <w:rsid w:val="00FA2C9D"/>
    <w:rsid w:val="00FA78B9"/>
    <w:rsid w:val="00FB65E2"/>
    <w:rsid w:val="00FB71AB"/>
    <w:rsid w:val="00FE7906"/>
    <w:rsid w:val="00FF4030"/>
    <w:rsid w:val="00FF5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D25BF"/>
  <w15:chartTrackingRefBased/>
  <w15:docId w15:val="{A11BB490-BF37-F848-85A8-FD560D979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D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6D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6D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6D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6D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6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D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6D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6D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6D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6D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6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DF3"/>
    <w:rPr>
      <w:rFonts w:eastAsiaTheme="majorEastAsia" w:cstheme="majorBidi"/>
      <w:color w:val="272727" w:themeColor="text1" w:themeTint="D8"/>
    </w:rPr>
  </w:style>
  <w:style w:type="paragraph" w:styleId="Title">
    <w:name w:val="Title"/>
    <w:basedOn w:val="Normal"/>
    <w:next w:val="Normal"/>
    <w:link w:val="TitleChar"/>
    <w:uiPriority w:val="10"/>
    <w:qFormat/>
    <w:rsid w:val="00B76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DF3"/>
    <w:pPr>
      <w:spacing w:before="160"/>
      <w:jc w:val="center"/>
    </w:pPr>
    <w:rPr>
      <w:i/>
      <w:iCs/>
      <w:color w:val="404040" w:themeColor="text1" w:themeTint="BF"/>
    </w:rPr>
  </w:style>
  <w:style w:type="character" w:customStyle="1" w:styleId="QuoteChar">
    <w:name w:val="Quote Char"/>
    <w:basedOn w:val="DefaultParagraphFont"/>
    <w:link w:val="Quote"/>
    <w:uiPriority w:val="29"/>
    <w:rsid w:val="00B76DF3"/>
    <w:rPr>
      <w:i/>
      <w:iCs/>
      <w:color w:val="404040" w:themeColor="text1" w:themeTint="BF"/>
    </w:rPr>
  </w:style>
  <w:style w:type="paragraph" w:styleId="ListParagraph">
    <w:name w:val="List Paragraph"/>
    <w:basedOn w:val="Normal"/>
    <w:uiPriority w:val="34"/>
    <w:qFormat/>
    <w:rsid w:val="00B76DF3"/>
    <w:pPr>
      <w:ind w:left="720"/>
      <w:contextualSpacing/>
    </w:pPr>
  </w:style>
  <w:style w:type="character" w:styleId="IntenseEmphasis">
    <w:name w:val="Intense Emphasis"/>
    <w:basedOn w:val="DefaultParagraphFont"/>
    <w:uiPriority w:val="21"/>
    <w:qFormat/>
    <w:rsid w:val="00B76DF3"/>
    <w:rPr>
      <w:i/>
      <w:iCs/>
      <w:color w:val="0F4761" w:themeColor="accent1" w:themeShade="BF"/>
    </w:rPr>
  </w:style>
  <w:style w:type="paragraph" w:styleId="IntenseQuote">
    <w:name w:val="Intense Quote"/>
    <w:basedOn w:val="Normal"/>
    <w:next w:val="Normal"/>
    <w:link w:val="IntenseQuoteChar"/>
    <w:uiPriority w:val="30"/>
    <w:qFormat/>
    <w:rsid w:val="00B76D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6DF3"/>
    <w:rPr>
      <w:i/>
      <w:iCs/>
      <w:color w:val="0F4761" w:themeColor="accent1" w:themeShade="BF"/>
    </w:rPr>
  </w:style>
  <w:style w:type="character" w:styleId="IntenseReference">
    <w:name w:val="Intense Reference"/>
    <w:basedOn w:val="DefaultParagraphFont"/>
    <w:uiPriority w:val="32"/>
    <w:qFormat/>
    <w:rsid w:val="00B76DF3"/>
    <w:rPr>
      <w:b/>
      <w:bCs/>
      <w:smallCaps/>
      <w:color w:val="0F4761" w:themeColor="accent1" w:themeShade="BF"/>
      <w:spacing w:val="5"/>
    </w:rPr>
  </w:style>
  <w:style w:type="paragraph" w:styleId="Footer">
    <w:name w:val="footer"/>
    <w:basedOn w:val="Normal"/>
    <w:link w:val="FooterChar"/>
    <w:uiPriority w:val="99"/>
    <w:unhideWhenUsed/>
    <w:rsid w:val="001511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119B"/>
  </w:style>
  <w:style w:type="character" w:styleId="PageNumber">
    <w:name w:val="page number"/>
    <w:basedOn w:val="DefaultParagraphFont"/>
    <w:uiPriority w:val="99"/>
    <w:semiHidden/>
    <w:unhideWhenUsed/>
    <w:rsid w:val="0015119B"/>
  </w:style>
  <w:style w:type="paragraph" w:styleId="Caption">
    <w:name w:val="caption"/>
    <w:basedOn w:val="Normal"/>
    <w:next w:val="Normal"/>
    <w:uiPriority w:val="35"/>
    <w:unhideWhenUsed/>
    <w:qFormat/>
    <w:rsid w:val="002C293B"/>
    <w:pPr>
      <w:spacing w:after="200" w:line="240" w:lineRule="auto"/>
    </w:pPr>
    <w:rPr>
      <w:i/>
      <w:iCs/>
      <w:color w:val="0E2841" w:themeColor="text2"/>
      <w:sz w:val="18"/>
      <w:szCs w:val="18"/>
    </w:rPr>
  </w:style>
  <w:style w:type="paragraph" w:styleId="Revision">
    <w:name w:val="Revision"/>
    <w:hidden/>
    <w:uiPriority w:val="99"/>
    <w:semiHidden/>
    <w:rsid w:val="00C04CA6"/>
    <w:pPr>
      <w:spacing w:after="0" w:line="240" w:lineRule="auto"/>
    </w:pPr>
  </w:style>
  <w:style w:type="character" w:styleId="CommentReference">
    <w:name w:val="annotation reference"/>
    <w:basedOn w:val="DefaultParagraphFont"/>
    <w:uiPriority w:val="99"/>
    <w:semiHidden/>
    <w:unhideWhenUsed/>
    <w:rsid w:val="005C46CD"/>
    <w:rPr>
      <w:sz w:val="16"/>
      <w:szCs w:val="16"/>
    </w:rPr>
  </w:style>
  <w:style w:type="paragraph" w:styleId="CommentText">
    <w:name w:val="annotation text"/>
    <w:basedOn w:val="Normal"/>
    <w:link w:val="CommentTextChar"/>
    <w:uiPriority w:val="99"/>
    <w:semiHidden/>
    <w:unhideWhenUsed/>
    <w:rsid w:val="005C46CD"/>
    <w:pPr>
      <w:spacing w:line="240" w:lineRule="auto"/>
    </w:pPr>
    <w:rPr>
      <w:sz w:val="20"/>
      <w:szCs w:val="20"/>
    </w:rPr>
  </w:style>
  <w:style w:type="character" w:customStyle="1" w:styleId="CommentTextChar">
    <w:name w:val="Comment Text Char"/>
    <w:basedOn w:val="DefaultParagraphFont"/>
    <w:link w:val="CommentText"/>
    <w:uiPriority w:val="99"/>
    <w:semiHidden/>
    <w:rsid w:val="005C46CD"/>
    <w:rPr>
      <w:sz w:val="20"/>
      <w:szCs w:val="20"/>
    </w:rPr>
  </w:style>
  <w:style w:type="paragraph" w:styleId="CommentSubject">
    <w:name w:val="annotation subject"/>
    <w:basedOn w:val="CommentText"/>
    <w:next w:val="CommentText"/>
    <w:link w:val="CommentSubjectChar"/>
    <w:uiPriority w:val="99"/>
    <w:semiHidden/>
    <w:unhideWhenUsed/>
    <w:rsid w:val="005C46CD"/>
    <w:rPr>
      <w:b/>
      <w:bCs/>
    </w:rPr>
  </w:style>
  <w:style w:type="character" w:customStyle="1" w:styleId="CommentSubjectChar">
    <w:name w:val="Comment Subject Char"/>
    <w:basedOn w:val="CommentTextChar"/>
    <w:link w:val="CommentSubject"/>
    <w:uiPriority w:val="99"/>
    <w:semiHidden/>
    <w:rsid w:val="005C46CD"/>
    <w:rPr>
      <w:b/>
      <w:bCs/>
      <w:sz w:val="20"/>
      <w:szCs w:val="20"/>
    </w:rPr>
  </w:style>
  <w:style w:type="character" w:styleId="Hyperlink">
    <w:name w:val="Hyperlink"/>
    <w:basedOn w:val="DefaultParagraphFont"/>
    <w:uiPriority w:val="99"/>
    <w:unhideWhenUsed/>
    <w:rsid w:val="00736734"/>
    <w:rPr>
      <w:color w:val="467886" w:themeColor="hyperlink"/>
      <w:u w:val="single"/>
    </w:rPr>
  </w:style>
  <w:style w:type="character" w:styleId="UnresolvedMention">
    <w:name w:val="Unresolved Mention"/>
    <w:basedOn w:val="DefaultParagraphFont"/>
    <w:uiPriority w:val="99"/>
    <w:semiHidden/>
    <w:unhideWhenUsed/>
    <w:rsid w:val="007367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CDelmelle/TODBookChapte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axios.com/local/charlotte/2019/04/09/with-58-million-riders-and-3-5-billion-in-development-the-blue-line-is-one-of-charlottes-biggest-success-stories-1625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C57FBC-C808-1E42-87A4-C8E5E1A36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25</Pages>
  <Words>8393</Words>
  <Characters>47844</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Delmelle, Elizabeth</dc:creator>
  <cp:keywords/>
  <dc:description/>
  <cp:lastModifiedBy>Delmelle, Elizabeth</cp:lastModifiedBy>
  <cp:revision>15</cp:revision>
  <dcterms:created xsi:type="dcterms:W3CDTF">2025-11-17T19:18:00Z</dcterms:created>
  <dcterms:modified xsi:type="dcterms:W3CDTF">2025-11-17T22:53:00Z</dcterms:modified>
</cp:coreProperties>
</file>