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627" w:rsidRPr="00C92EAD" w:rsidRDefault="00C84627" w:rsidP="00C84627">
      <w:pPr>
        <w:rPr>
          <w:rFonts w:ascii="Times New Roman" w:hAnsi="Times New Roman" w:cs="Times New Roman"/>
          <w:sz w:val="24"/>
          <w:szCs w:val="24"/>
        </w:rPr>
      </w:pPr>
      <w:r>
        <w:rPr>
          <w:rFonts w:ascii="Times New Roman" w:hAnsi="Times New Roman" w:cs="Times New Roman"/>
          <w:b/>
          <w:sz w:val="24"/>
          <w:szCs w:val="24"/>
        </w:rPr>
        <w:t>Title:</w:t>
      </w:r>
      <w:r w:rsidR="000F6234">
        <w:rPr>
          <w:rFonts w:ascii="Times New Roman" w:hAnsi="Times New Roman" w:cs="Times New Roman"/>
          <w:sz w:val="24"/>
          <w:szCs w:val="24"/>
        </w:rPr>
        <w:t xml:space="preserve"> Foundation species </w:t>
      </w:r>
      <w:r w:rsidR="00545136">
        <w:rPr>
          <w:rFonts w:ascii="Times New Roman" w:hAnsi="Times New Roman" w:cs="Times New Roman"/>
          <w:sz w:val="24"/>
          <w:szCs w:val="24"/>
        </w:rPr>
        <w:t>neutralize</w:t>
      </w:r>
      <w:r w:rsidR="000F6234">
        <w:rPr>
          <w:rFonts w:ascii="Times New Roman" w:hAnsi="Times New Roman" w:cs="Times New Roman"/>
          <w:sz w:val="24"/>
          <w:szCs w:val="24"/>
        </w:rPr>
        <w:t xml:space="preserve"> a global productivity – phylogenetic diversity relationship across alpine plant communities</w:t>
      </w:r>
    </w:p>
    <w:p w:rsidR="00C84627" w:rsidRDefault="00C84627" w:rsidP="00C84627">
      <w:pPr>
        <w:rPr>
          <w:rFonts w:ascii="Times New Roman" w:hAnsi="Times New Roman" w:cs="Times New Roman"/>
          <w:b/>
          <w:sz w:val="24"/>
          <w:szCs w:val="24"/>
        </w:rPr>
      </w:pP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b/>
          <w:sz w:val="24"/>
          <w:szCs w:val="24"/>
        </w:rPr>
        <w:t>Authors:</w:t>
      </w:r>
      <w:r w:rsidRPr="0004783C">
        <w:rPr>
          <w:rFonts w:ascii="Times New Roman" w:hAnsi="Times New Roman" w:cs="Times New Roman"/>
          <w:sz w:val="24"/>
          <w:szCs w:val="24"/>
        </w:rPr>
        <w:t xml:space="preserve"> B.J. Butterfield</w:t>
      </w:r>
      <w:r w:rsidRPr="0004783C">
        <w:rPr>
          <w:rFonts w:ascii="Times New Roman" w:hAnsi="Times New Roman" w:cs="Times New Roman"/>
          <w:sz w:val="24"/>
          <w:szCs w:val="24"/>
          <w:vertAlign w:val="superscript"/>
        </w:rPr>
        <w:t>1,2</w:t>
      </w:r>
      <w:r w:rsidRPr="0004783C">
        <w:rPr>
          <w:rFonts w:ascii="Times New Roman" w:hAnsi="Times New Roman" w:cs="Times New Roman"/>
          <w:sz w:val="24"/>
          <w:szCs w:val="24"/>
        </w:rPr>
        <w:t>, L.A. Cavieres</w:t>
      </w:r>
      <w:r w:rsidRPr="0004783C">
        <w:rPr>
          <w:rFonts w:ascii="Times New Roman" w:hAnsi="Times New Roman" w:cs="Times New Roman"/>
          <w:sz w:val="24"/>
          <w:szCs w:val="24"/>
          <w:vertAlign w:val="superscript"/>
        </w:rPr>
        <w:t>3,4</w:t>
      </w:r>
      <w:r w:rsidRPr="0004783C">
        <w:rPr>
          <w:rFonts w:ascii="Times New Roman" w:hAnsi="Times New Roman" w:cs="Times New Roman"/>
          <w:sz w:val="24"/>
          <w:szCs w:val="24"/>
        </w:rPr>
        <w:t>, R.M. Callaway</w:t>
      </w:r>
      <w:r w:rsidRPr="0004783C">
        <w:rPr>
          <w:rFonts w:ascii="Times New Roman" w:hAnsi="Times New Roman" w:cs="Times New Roman"/>
          <w:sz w:val="24"/>
          <w:szCs w:val="24"/>
          <w:vertAlign w:val="superscript"/>
        </w:rPr>
        <w:t>5</w:t>
      </w:r>
      <w:r w:rsidRPr="0004783C">
        <w:rPr>
          <w:rFonts w:ascii="Times New Roman" w:hAnsi="Times New Roman" w:cs="Times New Roman"/>
          <w:sz w:val="24"/>
          <w:szCs w:val="24"/>
        </w:rPr>
        <w:t>, B.J. Cook</w:t>
      </w:r>
      <w:r w:rsidRPr="0004783C">
        <w:rPr>
          <w:rFonts w:ascii="Times New Roman" w:hAnsi="Times New Roman" w:cs="Times New Roman"/>
          <w:sz w:val="24"/>
          <w:szCs w:val="24"/>
          <w:vertAlign w:val="superscript"/>
        </w:rPr>
        <w:t>6</w:t>
      </w:r>
      <w:r w:rsidRPr="0004783C">
        <w:rPr>
          <w:rFonts w:ascii="Times New Roman" w:hAnsi="Times New Roman" w:cs="Times New Roman"/>
          <w:sz w:val="24"/>
          <w:szCs w:val="24"/>
        </w:rPr>
        <w:t>, Z. Kikvidze</w:t>
      </w:r>
      <w:r w:rsidRPr="0004783C">
        <w:rPr>
          <w:rFonts w:ascii="Times New Roman" w:hAnsi="Times New Roman" w:cs="Times New Roman"/>
          <w:sz w:val="24"/>
          <w:szCs w:val="24"/>
          <w:vertAlign w:val="superscript"/>
        </w:rPr>
        <w:t>7</w:t>
      </w:r>
      <w:r w:rsidRPr="0004783C">
        <w:rPr>
          <w:rFonts w:ascii="Times New Roman" w:hAnsi="Times New Roman" w:cs="Times New Roman"/>
          <w:sz w:val="24"/>
          <w:szCs w:val="24"/>
        </w:rPr>
        <w:t>, C.J. Lortie</w:t>
      </w:r>
      <w:r w:rsidRPr="0004783C">
        <w:rPr>
          <w:rFonts w:ascii="Times New Roman" w:hAnsi="Times New Roman" w:cs="Times New Roman"/>
          <w:sz w:val="24"/>
          <w:szCs w:val="24"/>
          <w:vertAlign w:val="superscript"/>
        </w:rPr>
        <w:t>8</w:t>
      </w:r>
      <w:r w:rsidRPr="0004783C">
        <w:rPr>
          <w:rFonts w:ascii="Times New Roman" w:hAnsi="Times New Roman" w:cs="Times New Roman"/>
          <w:sz w:val="24"/>
          <w:szCs w:val="24"/>
        </w:rPr>
        <w:t>, R. Michalet</w:t>
      </w:r>
      <w:r w:rsidRPr="0004783C">
        <w:rPr>
          <w:rFonts w:ascii="Times New Roman" w:hAnsi="Times New Roman" w:cs="Times New Roman"/>
          <w:sz w:val="24"/>
          <w:szCs w:val="24"/>
          <w:vertAlign w:val="superscript"/>
        </w:rPr>
        <w:t>9,2</w:t>
      </w:r>
      <w:r w:rsidRPr="0004783C">
        <w:rPr>
          <w:rFonts w:ascii="Times New Roman" w:hAnsi="Times New Roman" w:cs="Times New Roman"/>
          <w:sz w:val="24"/>
          <w:szCs w:val="24"/>
        </w:rPr>
        <w:t>, F.I. Pugnaire</w:t>
      </w:r>
      <w:r w:rsidRPr="0004783C">
        <w:rPr>
          <w:rFonts w:ascii="Times New Roman" w:hAnsi="Times New Roman" w:cs="Times New Roman"/>
          <w:sz w:val="24"/>
          <w:szCs w:val="24"/>
          <w:vertAlign w:val="superscript"/>
        </w:rPr>
        <w:t>10</w:t>
      </w:r>
      <w:r w:rsidRPr="0004783C">
        <w:rPr>
          <w:rFonts w:ascii="Times New Roman" w:hAnsi="Times New Roman" w:cs="Times New Roman"/>
          <w:sz w:val="24"/>
          <w:szCs w:val="24"/>
        </w:rPr>
        <w:t>, C. Schöb</w:t>
      </w:r>
      <w:r w:rsidRPr="0004783C">
        <w:rPr>
          <w:rFonts w:ascii="Times New Roman" w:hAnsi="Times New Roman" w:cs="Times New Roman"/>
          <w:sz w:val="24"/>
          <w:szCs w:val="24"/>
          <w:vertAlign w:val="superscript"/>
        </w:rPr>
        <w:t>10</w:t>
      </w:r>
      <w:r w:rsidRPr="0004783C">
        <w:rPr>
          <w:rFonts w:ascii="Times New Roman" w:hAnsi="Times New Roman" w:cs="Times New Roman"/>
          <w:sz w:val="24"/>
          <w:szCs w:val="24"/>
        </w:rPr>
        <w:t>, S. Xiao</w:t>
      </w:r>
      <w:r w:rsidRPr="0004783C">
        <w:rPr>
          <w:rFonts w:ascii="Times New Roman" w:hAnsi="Times New Roman" w:cs="Times New Roman"/>
          <w:sz w:val="24"/>
          <w:szCs w:val="24"/>
          <w:vertAlign w:val="superscript"/>
        </w:rPr>
        <w:t>11</w:t>
      </w:r>
      <w:r w:rsidRPr="0004783C">
        <w:rPr>
          <w:rFonts w:ascii="Times New Roman" w:hAnsi="Times New Roman" w:cs="Times New Roman"/>
          <w:sz w:val="24"/>
          <w:szCs w:val="24"/>
        </w:rPr>
        <w:t xml:space="preserve">, </w:t>
      </w:r>
      <w:commentRangeStart w:id="0"/>
      <w:r>
        <w:rPr>
          <w:rFonts w:ascii="Times New Roman" w:hAnsi="Times New Roman" w:cs="Times New Roman"/>
          <w:sz w:val="24"/>
          <w:szCs w:val="24"/>
        </w:rPr>
        <w:t xml:space="preserve">B. </w:t>
      </w:r>
      <w:proofErr w:type="spellStart"/>
      <w:r>
        <w:rPr>
          <w:rFonts w:ascii="Times New Roman" w:hAnsi="Times New Roman" w:cs="Times New Roman"/>
          <w:sz w:val="24"/>
          <w:szCs w:val="24"/>
        </w:rPr>
        <w:t>Zaitchek</w:t>
      </w:r>
      <w:commentRangeEnd w:id="0"/>
      <w:proofErr w:type="spellEnd"/>
      <w:r>
        <w:rPr>
          <w:rStyle w:val="CommentReference"/>
        </w:rPr>
        <w:commentReference w:id="0"/>
      </w:r>
      <w:r>
        <w:rPr>
          <w:rFonts w:ascii="Times New Roman" w:hAnsi="Times New Roman" w:cs="Times New Roman"/>
          <w:sz w:val="24"/>
          <w:szCs w:val="24"/>
        </w:rPr>
        <w:t xml:space="preserve">, </w:t>
      </w:r>
      <w:r w:rsidRPr="0004783C">
        <w:rPr>
          <w:rFonts w:ascii="Times New Roman" w:hAnsi="Times New Roman" w:cs="Times New Roman"/>
          <w:sz w:val="24"/>
          <w:szCs w:val="24"/>
        </w:rPr>
        <w:t>F. Anthelme</w:t>
      </w:r>
      <w:r w:rsidRPr="0004783C">
        <w:rPr>
          <w:rFonts w:ascii="Times New Roman" w:hAnsi="Times New Roman" w:cs="Times New Roman"/>
          <w:sz w:val="24"/>
          <w:szCs w:val="24"/>
          <w:vertAlign w:val="superscript"/>
        </w:rPr>
        <w:t>12,13</w:t>
      </w:r>
      <w:r w:rsidRPr="0004783C">
        <w:rPr>
          <w:rFonts w:ascii="Times New Roman" w:hAnsi="Times New Roman" w:cs="Times New Roman"/>
          <w:sz w:val="24"/>
          <w:szCs w:val="24"/>
        </w:rPr>
        <w:t>, R.G. Björk</w:t>
      </w:r>
      <w:r w:rsidRPr="0004783C">
        <w:rPr>
          <w:rFonts w:ascii="Times New Roman" w:hAnsi="Times New Roman" w:cs="Times New Roman"/>
          <w:sz w:val="24"/>
          <w:szCs w:val="24"/>
          <w:vertAlign w:val="superscript"/>
        </w:rPr>
        <w:t>14</w:t>
      </w:r>
      <w:r w:rsidRPr="0004783C">
        <w:rPr>
          <w:rFonts w:ascii="Times New Roman" w:hAnsi="Times New Roman" w:cs="Times New Roman"/>
          <w:sz w:val="24"/>
          <w:szCs w:val="24"/>
        </w:rPr>
        <w:t>, K. Dickinson</w:t>
      </w:r>
      <w:r w:rsidRPr="0004783C">
        <w:rPr>
          <w:rFonts w:ascii="Times New Roman" w:hAnsi="Times New Roman" w:cs="Times New Roman"/>
          <w:sz w:val="24"/>
          <w:szCs w:val="24"/>
          <w:vertAlign w:val="superscript"/>
        </w:rPr>
        <w:t>15</w:t>
      </w:r>
      <w:r w:rsidRPr="0004783C">
        <w:rPr>
          <w:rFonts w:ascii="Times New Roman" w:hAnsi="Times New Roman" w:cs="Times New Roman"/>
          <w:sz w:val="24"/>
          <w:szCs w:val="24"/>
        </w:rPr>
        <w:t>, R. Gavilán</w:t>
      </w:r>
      <w:r w:rsidRPr="0004783C">
        <w:rPr>
          <w:rFonts w:ascii="Times New Roman" w:hAnsi="Times New Roman" w:cs="Times New Roman"/>
          <w:sz w:val="24"/>
          <w:szCs w:val="24"/>
          <w:vertAlign w:val="superscript"/>
        </w:rPr>
        <w:t>16</w:t>
      </w:r>
      <w:r w:rsidRPr="0004783C">
        <w:rPr>
          <w:rFonts w:ascii="Times New Roman" w:hAnsi="Times New Roman" w:cs="Times New Roman"/>
          <w:sz w:val="24"/>
          <w:szCs w:val="24"/>
        </w:rPr>
        <w:t>, R. Kanka</w:t>
      </w:r>
      <w:r w:rsidRPr="0004783C">
        <w:rPr>
          <w:rFonts w:ascii="Times New Roman" w:hAnsi="Times New Roman" w:cs="Times New Roman"/>
          <w:sz w:val="24"/>
          <w:szCs w:val="24"/>
          <w:vertAlign w:val="superscript"/>
        </w:rPr>
        <w:t>17</w:t>
      </w:r>
      <w:r w:rsidRPr="0004783C">
        <w:rPr>
          <w:rFonts w:ascii="Times New Roman" w:hAnsi="Times New Roman" w:cs="Times New Roman"/>
          <w:sz w:val="24"/>
          <w:szCs w:val="24"/>
        </w:rPr>
        <w:t>, J.-P. Maalouf</w:t>
      </w:r>
      <w:r w:rsidRPr="0004783C">
        <w:rPr>
          <w:rFonts w:ascii="Times New Roman" w:hAnsi="Times New Roman" w:cs="Times New Roman"/>
          <w:sz w:val="24"/>
          <w:szCs w:val="24"/>
          <w:vertAlign w:val="superscript"/>
        </w:rPr>
        <w:t>9</w:t>
      </w:r>
      <w:r w:rsidRPr="0004783C">
        <w:rPr>
          <w:rFonts w:ascii="Times New Roman" w:hAnsi="Times New Roman" w:cs="Times New Roman"/>
          <w:sz w:val="24"/>
          <w:szCs w:val="24"/>
        </w:rPr>
        <w:t>, J. Noroozi</w:t>
      </w:r>
      <w:r w:rsidRPr="0004783C">
        <w:rPr>
          <w:rFonts w:ascii="Times New Roman" w:hAnsi="Times New Roman" w:cs="Times New Roman"/>
          <w:sz w:val="24"/>
          <w:szCs w:val="24"/>
          <w:vertAlign w:val="superscript"/>
        </w:rPr>
        <w:t>18</w:t>
      </w:r>
      <w:r w:rsidRPr="0004783C">
        <w:rPr>
          <w:rFonts w:ascii="Times New Roman" w:hAnsi="Times New Roman" w:cs="Times New Roman"/>
          <w:sz w:val="24"/>
          <w:szCs w:val="24"/>
        </w:rPr>
        <w:t>, R. Parajuli</w:t>
      </w:r>
      <w:r w:rsidRPr="0004783C">
        <w:rPr>
          <w:rFonts w:ascii="Times New Roman" w:hAnsi="Times New Roman" w:cs="Times New Roman"/>
          <w:sz w:val="24"/>
          <w:szCs w:val="24"/>
          <w:vertAlign w:val="superscript"/>
        </w:rPr>
        <w:t>19</w:t>
      </w:r>
      <w:r w:rsidRPr="0004783C">
        <w:rPr>
          <w:rFonts w:ascii="Times New Roman" w:hAnsi="Times New Roman" w:cs="Times New Roman"/>
          <w:sz w:val="24"/>
          <w:szCs w:val="24"/>
        </w:rPr>
        <w:t>, G.K. Phoenix</w:t>
      </w:r>
      <w:r w:rsidRPr="0004783C">
        <w:rPr>
          <w:rFonts w:ascii="Times New Roman" w:hAnsi="Times New Roman" w:cs="Times New Roman"/>
          <w:sz w:val="24"/>
          <w:szCs w:val="24"/>
          <w:vertAlign w:val="superscript"/>
        </w:rPr>
        <w:t>20</w:t>
      </w:r>
      <w:r w:rsidRPr="0004783C">
        <w:rPr>
          <w:rFonts w:ascii="Times New Roman" w:hAnsi="Times New Roman" w:cs="Times New Roman"/>
          <w:sz w:val="24"/>
          <w:szCs w:val="24"/>
        </w:rPr>
        <w:t>, A. Reid</w:t>
      </w:r>
      <w:r w:rsidRPr="0004783C">
        <w:rPr>
          <w:rFonts w:ascii="Times New Roman" w:hAnsi="Times New Roman" w:cs="Times New Roman"/>
          <w:sz w:val="24"/>
          <w:szCs w:val="24"/>
          <w:vertAlign w:val="superscript"/>
        </w:rPr>
        <w:t>8</w:t>
      </w:r>
      <w:r w:rsidRPr="0004783C">
        <w:rPr>
          <w:rFonts w:ascii="Times New Roman" w:hAnsi="Times New Roman" w:cs="Times New Roman"/>
          <w:sz w:val="24"/>
          <w:szCs w:val="24"/>
        </w:rPr>
        <w:t>, W. Ridenour</w:t>
      </w:r>
      <w:r w:rsidRPr="0004783C">
        <w:rPr>
          <w:rFonts w:ascii="Times New Roman" w:hAnsi="Times New Roman" w:cs="Times New Roman"/>
          <w:sz w:val="24"/>
          <w:szCs w:val="24"/>
          <w:vertAlign w:val="superscript"/>
        </w:rPr>
        <w:t>21</w:t>
      </w:r>
      <w:r w:rsidRPr="0004783C">
        <w:rPr>
          <w:rFonts w:ascii="Times New Roman" w:hAnsi="Times New Roman" w:cs="Times New Roman"/>
          <w:sz w:val="24"/>
          <w:szCs w:val="24"/>
        </w:rPr>
        <w:t>, C. Rixen</w:t>
      </w:r>
      <w:r w:rsidRPr="0004783C">
        <w:rPr>
          <w:rFonts w:ascii="Times New Roman" w:hAnsi="Times New Roman" w:cs="Times New Roman"/>
          <w:sz w:val="24"/>
          <w:szCs w:val="24"/>
          <w:vertAlign w:val="superscript"/>
        </w:rPr>
        <w:t>22</w:t>
      </w:r>
      <w:r w:rsidRPr="0004783C">
        <w:rPr>
          <w:rFonts w:ascii="Times New Roman" w:hAnsi="Times New Roman" w:cs="Times New Roman"/>
          <w:sz w:val="24"/>
          <w:szCs w:val="24"/>
        </w:rPr>
        <w:t>, S. Wipf</w:t>
      </w:r>
      <w:r w:rsidRPr="0004783C">
        <w:rPr>
          <w:rFonts w:ascii="Times New Roman" w:hAnsi="Times New Roman" w:cs="Times New Roman"/>
          <w:sz w:val="24"/>
          <w:szCs w:val="24"/>
          <w:vertAlign w:val="superscript"/>
        </w:rPr>
        <w:t>22</w:t>
      </w:r>
      <w:r w:rsidRPr="0004783C">
        <w:rPr>
          <w:rFonts w:ascii="Times New Roman" w:hAnsi="Times New Roman" w:cs="Times New Roman"/>
          <w:sz w:val="24"/>
          <w:szCs w:val="24"/>
        </w:rPr>
        <w:t>, L. Zhao</w:t>
      </w:r>
      <w:r w:rsidRPr="0004783C">
        <w:rPr>
          <w:rFonts w:ascii="Times New Roman" w:hAnsi="Times New Roman" w:cs="Times New Roman"/>
          <w:sz w:val="24"/>
          <w:szCs w:val="24"/>
          <w:vertAlign w:val="superscript"/>
        </w:rPr>
        <w:t>23</w:t>
      </w:r>
      <w:r w:rsidRPr="0004783C">
        <w:rPr>
          <w:rFonts w:ascii="Times New Roman" w:hAnsi="Times New Roman" w:cs="Times New Roman"/>
          <w:sz w:val="24"/>
          <w:szCs w:val="24"/>
        </w:rPr>
        <w:t>, R.W. Brooker</w:t>
      </w:r>
      <w:r w:rsidRPr="0004783C">
        <w:rPr>
          <w:rFonts w:ascii="Times New Roman" w:hAnsi="Times New Roman" w:cs="Times New Roman"/>
          <w:sz w:val="24"/>
          <w:szCs w:val="24"/>
          <w:vertAlign w:val="superscript"/>
        </w:rPr>
        <w:t>24</w:t>
      </w:r>
    </w:p>
    <w:p w:rsidR="00C84627" w:rsidRPr="0004783C" w:rsidRDefault="00C84627" w:rsidP="00C84627">
      <w:pPr>
        <w:rPr>
          <w:rFonts w:ascii="Times New Roman" w:hAnsi="Times New Roman" w:cs="Times New Roman"/>
          <w:sz w:val="24"/>
          <w:szCs w:val="24"/>
        </w:rPr>
      </w:pP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1</w:t>
      </w:r>
      <w:r w:rsidRPr="0004783C">
        <w:rPr>
          <w:rFonts w:ascii="Times New Roman" w:hAnsi="Times New Roman" w:cs="Times New Roman"/>
          <w:sz w:val="24"/>
          <w:szCs w:val="24"/>
        </w:rPr>
        <w:t>Merriam-Powell Center for Environmental Research, Northern Arizona University, P.O. Box 6077, Flagstaff, Arizona 86011, USA</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2</w:t>
      </w:r>
      <w:r w:rsidRPr="0004783C">
        <w:rPr>
          <w:rFonts w:ascii="Times New Roman" w:hAnsi="Times New Roman" w:cs="Times New Roman"/>
          <w:sz w:val="24"/>
          <w:szCs w:val="24"/>
        </w:rPr>
        <w:t>Department of Biolog</w:t>
      </w:r>
      <w:r>
        <w:rPr>
          <w:rFonts w:ascii="Times New Roman" w:hAnsi="Times New Roman" w:cs="Times New Roman"/>
          <w:sz w:val="24"/>
          <w:szCs w:val="24"/>
        </w:rPr>
        <w:t>y</w:t>
      </w:r>
      <w:r w:rsidRPr="0004783C">
        <w:rPr>
          <w:rFonts w:ascii="Times New Roman" w:hAnsi="Times New Roman" w:cs="Times New Roman"/>
          <w:sz w:val="24"/>
          <w:szCs w:val="24"/>
        </w:rPr>
        <w:t>, Northern Arizona University, P.O. Box 5640, Flagstaff, Arizona 86011, USA</w:t>
      </w:r>
    </w:p>
    <w:p w:rsidR="00C84627" w:rsidRPr="0004783C" w:rsidRDefault="00C84627" w:rsidP="00C84627">
      <w:pPr>
        <w:rPr>
          <w:rFonts w:ascii="Times New Roman" w:eastAsia="AdvArial-i" w:hAnsi="Times New Roman" w:cs="Times New Roman"/>
          <w:sz w:val="24"/>
          <w:szCs w:val="24"/>
        </w:rPr>
      </w:pPr>
      <w:r w:rsidRPr="0004783C">
        <w:rPr>
          <w:rFonts w:ascii="Times New Roman" w:hAnsi="Times New Roman" w:cs="Times New Roman"/>
          <w:sz w:val="24"/>
          <w:szCs w:val="24"/>
          <w:vertAlign w:val="superscript"/>
        </w:rPr>
        <w:t>3</w:t>
      </w:r>
      <w:r w:rsidRPr="0004783C">
        <w:rPr>
          <w:rFonts w:ascii="Times New Roman" w:hAnsi="Times New Roman" w:cs="Times New Roman"/>
          <w:sz w:val="24"/>
          <w:szCs w:val="24"/>
        </w:rPr>
        <w:t xml:space="preserve">Departamento </w:t>
      </w:r>
      <w:r w:rsidRPr="0004783C">
        <w:rPr>
          <w:rFonts w:ascii="Times New Roman" w:eastAsia="AdvArial-i" w:hAnsi="Times New Roman" w:cs="Times New Roman"/>
          <w:sz w:val="24"/>
          <w:szCs w:val="24"/>
        </w:rPr>
        <w:t xml:space="preserve">de </w:t>
      </w:r>
      <w:proofErr w:type="spellStart"/>
      <w:r w:rsidRPr="0004783C">
        <w:rPr>
          <w:rFonts w:ascii="Times New Roman" w:eastAsia="AdvArial-i" w:hAnsi="Times New Roman" w:cs="Times New Roman"/>
          <w:sz w:val="24"/>
          <w:szCs w:val="24"/>
        </w:rPr>
        <w:t>Botánica</w:t>
      </w:r>
      <w:proofErr w:type="spellEnd"/>
      <w:r w:rsidRPr="0004783C">
        <w:rPr>
          <w:rFonts w:ascii="Times New Roman" w:eastAsia="AdvArial-i" w:hAnsi="Times New Roman" w:cs="Times New Roman"/>
          <w:sz w:val="24"/>
          <w:szCs w:val="24"/>
        </w:rPr>
        <w:t xml:space="preserve">, </w:t>
      </w:r>
      <w:proofErr w:type="spellStart"/>
      <w:r w:rsidRPr="0004783C">
        <w:rPr>
          <w:rFonts w:ascii="Times New Roman" w:eastAsia="AdvArial-i" w:hAnsi="Times New Roman" w:cs="Times New Roman"/>
          <w:sz w:val="24"/>
          <w:szCs w:val="24"/>
        </w:rPr>
        <w:t>Facultad</w:t>
      </w:r>
      <w:proofErr w:type="spellEnd"/>
      <w:r w:rsidRPr="0004783C">
        <w:rPr>
          <w:rFonts w:ascii="Times New Roman" w:eastAsia="AdvArial-i" w:hAnsi="Times New Roman" w:cs="Times New Roman"/>
          <w:sz w:val="24"/>
          <w:szCs w:val="24"/>
        </w:rPr>
        <w:t xml:space="preserve"> de </w:t>
      </w:r>
      <w:proofErr w:type="spellStart"/>
      <w:r w:rsidRPr="0004783C">
        <w:rPr>
          <w:rFonts w:ascii="Times New Roman" w:eastAsia="AdvArial-i" w:hAnsi="Times New Roman" w:cs="Times New Roman"/>
          <w:sz w:val="24"/>
          <w:szCs w:val="24"/>
        </w:rPr>
        <w:t>Ciencias</w:t>
      </w:r>
      <w:proofErr w:type="spellEnd"/>
      <w:r w:rsidRPr="0004783C">
        <w:rPr>
          <w:rFonts w:ascii="Times New Roman" w:eastAsia="AdvArial-i" w:hAnsi="Times New Roman" w:cs="Times New Roman"/>
          <w:sz w:val="24"/>
          <w:szCs w:val="24"/>
        </w:rPr>
        <w:t xml:space="preserve"> </w:t>
      </w:r>
      <w:proofErr w:type="spellStart"/>
      <w:r w:rsidRPr="0004783C">
        <w:rPr>
          <w:rFonts w:ascii="Times New Roman" w:eastAsia="AdvArial-i" w:hAnsi="Times New Roman" w:cs="Times New Roman"/>
          <w:sz w:val="24"/>
          <w:szCs w:val="24"/>
        </w:rPr>
        <w:t>Naturales</w:t>
      </w:r>
      <w:proofErr w:type="spellEnd"/>
      <w:r w:rsidRPr="0004783C">
        <w:rPr>
          <w:rFonts w:ascii="Times New Roman" w:eastAsia="AdvArial-i" w:hAnsi="Times New Roman" w:cs="Times New Roman"/>
          <w:sz w:val="24"/>
          <w:szCs w:val="24"/>
        </w:rPr>
        <w:t xml:space="preserve"> y </w:t>
      </w:r>
      <w:proofErr w:type="spellStart"/>
      <w:r w:rsidRPr="0004783C">
        <w:rPr>
          <w:rFonts w:ascii="Times New Roman" w:eastAsia="AdvArial-i" w:hAnsi="Times New Roman" w:cs="Times New Roman"/>
          <w:sz w:val="24"/>
          <w:szCs w:val="24"/>
        </w:rPr>
        <w:t>Oceanográficas</w:t>
      </w:r>
      <w:proofErr w:type="spellEnd"/>
      <w:r w:rsidRPr="0004783C">
        <w:rPr>
          <w:rFonts w:ascii="Times New Roman" w:eastAsia="AdvArial-i" w:hAnsi="Times New Roman" w:cs="Times New Roman"/>
          <w:sz w:val="24"/>
          <w:szCs w:val="24"/>
        </w:rPr>
        <w:t xml:space="preserve">, Universidad de Concepción, </w:t>
      </w:r>
      <w:proofErr w:type="spellStart"/>
      <w:r w:rsidRPr="0004783C">
        <w:rPr>
          <w:rFonts w:ascii="Times New Roman" w:eastAsia="AdvArial-i" w:hAnsi="Times New Roman" w:cs="Times New Roman"/>
          <w:sz w:val="24"/>
          <w:szCs w:val="24"/>
        </w:rPr>
        <w:t>Casilla</w:t>
      </w:r>
      <w:proofErr w:type="spellEnd"/>
      <w:r w:rsidRPr="0004783C">
        <w:rPr>
          <w:rFonts w:ascii="Times New Roman" w:eastAsia="AdvArial-i" w:hAnsi="Times New Roman" w:cs="Times New Roman"/>
          <w:sz w:val="24"/>
          <w:szCs w:val="24"/>
        </w:rPr>
        <w:t xml:space="preserve"> 160-C, Concepción, Chile</w:t>
      </w:r>
    </w:p>
    <w:p w:rsidR="00C84627" w:rsidRPr="0004783C" w:rsidRDefault="00C84627" w:rsidP="00C84627">
      <w:pPr>
        <w:rPr>
          <w:rFonts w:ascii="Times New Roman" w:eastAsia="AdvArial-i" w:hAnsi="Times New Roman" w:cs="Times New Roman"/>
          <w:sz w:val="24"/>
          <w:szCs w:val="24"/>
        </w:rPr>
      </w:pPr>
      <w:r w:rsidRPr="0004783C">
        <w:rPr>
          <w:rFonts w:ascii="Times New Roman" w:eastAsia="AdvArial-i" w:hAnsi="Times New Roman" w:cs="Times New Roman"/>
          <w:sz w:val="24"/>
          <w:szCs w:val="24"/>
          <w:vertAlign w:val="superscript"/>
        </w:rPr>
        <w:t>4</w:t>
      </w:r>
      <w:r w:rsidRPr="0004783C">
        <w:rPr>
          <w:rFonts w:ascii="Times New Roman" w:eastAsia="AdvArial-i" w:hAnsi="Times New Roman" w:cs="Times New Roman"/>
          <w:sz w:val="24"/>
          <w:szCs w:val="24"/>
        </w:rPr>
        <w:t xml:space="preserve">Instituto de </w:t>
      </w:r>
      <w:proofErr w:type="spellStart"/>
      <w:r w:rsidRPr="0004783C">
        <w:rPr>
          <w:rFonts w:ascii="Times New Roman" w:eastAsia="AdvArial-i" w:hAnsi="Times New Roman" w:cs="Times New Roman"/>
          <w:sz w:val="24"/>
          <w:szCs w:val="24"/>
        </w:rPr>
        <w:t>Ecología</w:t>
      </w:r>
      <w:proofErr w:type="spellEnd"/>
      <w:r w:rsidRPr="0004783C">
        <w:rPr>
          <w:rFonts w:ascii="Times New Roman" w:eastAsia="AdvArial-i" w:hAnsi="Times New Roman" w:cs="Times New Roman"/>
          <w:sz w:val="24"/>
          <w:szCs w:val="24"/>
        </w:rPr>
        <w:t xml:space="preserve"> y </w:t>
      </w:r>
      <w:proofErr w:type="spellStart"/>
      <w:r w:rsidRPr="0004783C">
        <w:rPr>
          <w:rFonts w:ascii="Times New Roman" w:eastAsia="AdvArial-i" w:hAnsi="Times New Roman" w:cs="Times New Roman"/>
          <w:sz w:val="24"/>
          <w:szCs w:val="24"/>
        </w:rPr>
        <w:t>Biodiversidad</w:t>
      </w:r>
      <w:proofErr w:type="spellEnd"/>
      <w:r w:rsidRPr="0004783C">
        <w:rPr>
          <w:rFonts w:ascii="Times New Roman" w:eastAsia="AdvArial-i" w:hAnsi="Times New Roman" w:cs="Times New Roman"/>
          <w:sz w:val="24"/>
          <w:szCs w:val="24"/>
        </w:rPr>
        <w:t xml:space="preserve">, </w:t>
      </w:r>
      <w:proofErr w:type="spellStart"/>
      <w:r w:rsidRPr="0004783C">
        <w:rPr>
          <w:rFonts w:ascii="Times New Roman" w:eastAsia="AdvArial-i" w:hAnsi="Times New Roman" w:cs="Times New Roman"/>
          <w:sz w:val="24"/>
          <w:szCs w:val="24"/>
        </w:rPr>
        <w:t>Casilla</w:t>
      </w:r>
      <w:proofErr w:type="spellEnd"/>
      <w:r w:rsidRPr="0004783C">
        <w:rPr>
          <w:rFonts w:ascii="Times New Roman" w:eastAsia="AdvArial-i" w:hAnsi="Times New Roman" w:cs="Times New Roman"/>
          <w:sz w:val="24"/>
          <w:szCs w:val="24"/>
        </w:rPr>
        <w:t xml:space="preserve"> 653, Santiago, Chile</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5</w:t>
      </w:r>
      <w:r w:rsidRPr="0004783C">
        <w:rPr>
          <w:rFonts w:ascii="Times New Roman" w:hAnsi="Times New Roman" w:cs="Times New Roman"/>
          <w:sz w:val="24"/>
          <w:szCs w:val="24"/>
        </w:rPr>
        <w:t>Division of Biological Sciences, University of Montana, Missoula, Montana 59812</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6</w:t>
      </w:r>
      <w:r w:rsidRPr="0004783C">
        <w:rPr>
          <w:rFonts w:ascii="Times New Roman" w:hAnsi="Times New Roman" w:cs="Times New Roman"/>
          <w:sz w:val="24"/>
          <w:szCs w:val="24"/>
        </w:rPr>
        <w:t>Department of Biological Sciences, Minnesota State University, Mankato, Minnesota 56001</w:t>
      </w:r>
    </w:p>
    <w:p w:rsidR="00C84627" w:rsidRPr="00C84627" w:rsidRDefault="00C84627" w:rsidP="00C84627">
      <w:pPr>
        <w:rPr>
          <w:sz w:val="24"/>
          <w:szCs w:val="24"/>
        </w:rPr>
      </w:pPr>
      <w:r w:rsidRPr="0004783C">
        <w:rPr>
          <w:rFonts w:ascii="Times New Roman" w:hAnsi="Times New Roman" w:cs="Times New Roman"/>
          <w:sz w:val="24"/>
          <w:szCs w:val="24"/>
          <w:vertAlign w:val="superscript"/>
          <w:lang w:eastAsia="ja-JP"/>
        </w:rPr>
        <w:t>7</w:t>
      </w:r>
      <w:r w:rsidRPr="00C84627">
        <w:rPr>
          <w:rFonts w:ascii="Times New Roman" w:hAnsi="Times New Roman" w:cs="Times New Roman"/>
          <w:sz w:val="24"/>
          <w:szCs w:val="24"/>
        </w:rPr>
        <w:t>Institute of Ecology</w:t>
      </w:r>
      <w:r>
        <w:rPr>
          <w:rFonts w:ascii="Times New Roman" w:hAnsi="Times New Roman" w:cs="Times New Roman"/>
          <w:sz w:val="24"/>
          <w:szCs w:val="24"/>
        </w:rPr>
        <w:t xml:space="preserve">, </w:t>
      </w:r>
      <w:r w:rsidRPr="00C84627">
        <w:rPr>
          <w:rFonts w:ascii="Times New Roman" w:hAnsi="Times New Roman" w:cs="Times New Roman"/>
          <w:sz w:val="24"/>
          <w:szCs w:val="24"/>
        </w:rPr>
        <w:t>Ilia State University</w:t>
      </w:r>
      <w:r>
        <w:rPr>
          <w:rFonts w:ascii="Times New Roman" w:hAnsi="Times New Roman" w:cs="Times New Roman"/>
          <w:sz w:val="24"/>
          <w:szCs w:val="24"/>
        </w:rPr>
        <w:t xml:space="preserve">, </w:t>
      </w:r>
      <w:proofErr w:type="gramStart"/>
      <w:r w:rsidRPr="00C84627">
        <w:rPr>
          <w:rFonts w:ascii="Times New Roman" w:hAnsi="Times New Roman" w:cs="Times New Roman"/>
          <w:sz w:val="24"/>
          <w:szCs w:val="24"/>
        </w:rPr>
        <w:t xml:space="preserve">5 </w:t>
      </w:r>
      <w:proofErr w:type="spellStart"/>
      <w:r w:rsidRPr="00C84627">
        <w:rPr>
          <w:rFonts w:ascii="Times New Roman" w:hAnsi="Times New Roman" w:cs="Times New Roman"/>
          <w:sz w:val="24"/>
          <w:szCs w:val="24"/>
        </w:rPr>
        <w:t>K.Cholokashvili</w:t>
      </w:r>
      <w:proofErr w:type="spellEnd"/>
      <w:r w:rsidRPr="00C84627">
        <w:rPr>
          <w:rFonts w:ascii="Times New Roman" w:hAnsi="Times New Roman" w:cs="Times New Roman"/>
          <w:sz w:val="24"/>
          <w:szCs w:val="24"/>
        </w:rPr>
        <w:t xml:space="preserve"> Av.</w:t>
      </w:r>
      <w:proofErr w:type="gramEnd"/>
      <w:r>
        <w:rPr>
          <w:rFonts w:ascii="Times New Roman" w:hAnsi="Times New Roman" w:cs="Times New Roman"/>
          <w:sz w:val="24"/>
          <w:szCs w:val="24"/>
        </w:rPr>
        <w:t xml:space="preserve">, </w:t>
      </w:r>
      <w:r w:rsidRPr="00C84627">
        <w:rPr>
          <w:rFonts w:ascii="Times New Roman" w:hAnsi="Times New Roman" w:cs="Times New Roman"/>
          <w:sz w:val="24"/>
          <w:szCs w:val="24"/>
        </w:rPr>
        <w:t>Tbilisi 0162</w:t>
      </w:r>
      <w:r>
        <w:rPr>
          <w:rFonts w:ascii="Times New Roman" w:hAnsi="Times New Roman" w:cs="Times New Roman"/>
          <w:sz w:val="24"/>
          <w:szCs w:val="24"/>
        </w:rPr>
        <w:t xml:space="preserve">, </w:t>
      </w:r>
      <w:r w:rsidRPr="00C84627">
        <w:rPr>
          <w:rFonts w:ascii="Times New Roman" w:hAnsi="Times New Roman" w:cs="Times New Roman"/>
          <w:sz w:val="24"/>
          <w:szCs w:val="24"/>
        </w:rPr>
        <w:t>Georgia</w:t>
      </w:r>
    </w:p>
    <w:p w:rsidR="00C84627" w:rsidRPr="0004783C" w:rsidRDefault="00C84627" w:rsidP="00C84627">
      <w:pPr>
        <w:rPr>
          <w:rFonts w:ascii="Times New Roman" w:hAnsi="Times New Roman" w:cs="Times New Roman"/>
          <w:sz w:val="24"/>
          <w:szCs w:val="24"/>
          <w:lang w:eastAsia="ja-JP"/>
        </w:rPr>
      </w:pPr>
      <w:r w:rsidRPr="0004783C">
        <w:rPr>
          <w:rFonts w:ascii="Times New Roman" w:hAnsi="Times New Roman" w:cs="Times New Roman"/>
          <w:sz w:val="24"/>
          <w:szCs w:val="24"/>
          <w:vertAlign w:val="superscript"/>
          <w:lang w:eastAsia="ja-JP"/>
        </w:rPr>
        <w:t>8</w:t>
      </w:r>
      <w:r w:rsidRPr="0004783C">
        <w:rPr>
          <w:rFonts w:ascii="Times New Roman" w:hAnsi="Times New Roman" w:cs="Times New Roman"/>
          <w:sz w:val="24"/>
          <w:szCs w:val="24"/>
          <w:lang w:eastAsia="ja-JP"/>
        </w:rPr>
        <w:t xml:space="preserve">Department of Biology, York University, 4700 </w:t>
      </w:r>
      <w:proofErr w:type="spellStart"/>
      <w:r w:rsidRPr="0004783C">
        <w:rPr>
          <w:rFonts w:ascii="Times New Roman" w:hAnsi="Times New Roman" w:cs="Times New Roman"/>
          <w:sz w:val="24"/>
          <w:szCs w:val="24"/>
          <w:lang w:eastAsia="ja-JP"/>
        </w:rPr>
        <w:t>Keele</w:t>
      </w:r>
      <w:proofErr w:type="spellEnd"/>
      <w:r w:rsidRPr="0004783C">
        <w:rPr>
          <w:rFonts w:ascii="Times New Roman" w:hAnsi="Times New Roman" w:cs="Times New Roman"/>
          <w:sz w:val="24"/>
          <w:szCs w:val="24"/>
          <w:lang w:eastAsia="ja-JP"/>
        </w:rPr>
        <w:t xml:space="preserve"> Street, Toronto, Ontario M3J 1P3, Canada</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9</w:t>
      </w:r>
      <w:commentRangeStart w:id="1"/>
      <w:r w:rsidRPr="0004783C">
        <w:rPr>
          <w:rFonts w:ascii="Times New Roman" w:hAnsi="Times New Roman" w:cs="Times New Roman"/>
          <w:sz w:val="24"/>
          <w:szCs w:val="24"/>
        </w:rPr>
        <w:t xml:space="preserve">University Bordeaux 1, UMR INRA 1202 BIOGECO, 33405 </w:t>
      </w:r>
      <w:proofErr w:type="spellStart"/>
      <w:r w:rsidRPr="0004783C">
        <w:rPr>
          <w:rFonts w:ascii="Times New Roman" w:hAnsi="Times New Roman" w:cs="Times New Roman"/>
          <w:sz w:val="24"/>
          <w:szCs w:val="24"/>
        </w:rPr>
        <w:t>Talence</w:t>
      </w:r>
      <w:proofErr w:type="spellEnd"/>
      <w:r w:rsidRPr="0004783C">
        <w:rPr>
          <w:rFonts w:ascii="Times New Roman" w:hAnsi="Times New Roman" w:cs="Times New Roman"/>
          <w:sz w:val="24"/>
          <w:szCs w:val="24"/>
        </w:rPr>
        <w:t>, France</w:t>
      </w:r>
      <w:commentRangeEnd w:id="1"/>
      <w:r>
        <w:rPr>
          <w:rStyle w:val="CommentReference"/>
          <w:rFonts w:ascii="Calibri" w:eastAsia="Times New Roman" w:hAnsi="Calibri" w:cs="Times New Roman"/>
        </w:rPr>
        <w:commentReference w:id="1"/>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lang w:val="es-ES_tradnl"/>
        </w:rPr>
        <w:t>10</w:t>
      </w:r>
      <w:r w:rsidRPr="0004783C">
        <w:rPr>
          <w:rFonts w:ascii="Times New Roman" w:hAnsi="Times New Roman" w:cs="Times New Roman"/>
          <w:sz w:val="24"/>
          <w:szCs w:val="24"/>
          <w:lang w:val="es-ES_tradnl"/>
        </w:rPr>
        <w:t xml:space="preserve">Estación Experimental de Zonas Áridas, Consejo Superior de Investigaciones Científicas, Carretera de Sacramento s/n, La Cañada de San Urbano, E-04120 Almería, </w:t>
      </w:r>
      <w:proofErr w:type="spellStart"/>
      <w:r w:rsidRPr="0004783C">
        <w:rPr>
          <w:rFonts w:ascii="Times New Roman" w:hAnsi="Times New Roman" w:cs="Times New Roman"/>
          <w:sz w:val="24"/>
          <w:szCs w:val="24"/>
          <w:lang w:val="es-ES_tradnl"/>
        </w:rPr>
        <w:t>Spain</w:t>
      </w:r>
      <w:proofErr w:type="spellEnd"/>
    </w:p>
    <w:p w:rsidR="00C84627" w:rsidRPr="0004783C" w:rsidRDefault="00C84627" w:rsidP="00C84627">
      <w:pPr>
        <w:rPr>
          <w:rFonts w:ascii="Times New Roman" w:hAnsi="Times New Roman" w:cs="Times New Roman"/>
          <w:sz w:val="24"/>
          <w:szCs w:val="24"/>
          <w:lang w:eastAsia="ja-JP"/>
        </w:rPr>
      </w:pPr>
      <w:r w:rsidRPr="0004783C">
        <w:rPr>
          <w:rFonts w:ascii="Times New Roman" w:hAnsi="Times New Roman" w:cs="Times New Roman"/>
          <w:sz w:val="24"/>
          <w:szCs w:val="24"/>
          <w:vertAlign w:val="superscript"/>
          <w:lang w:eastAsia="ja-JP"/>
        </w:rPr>
        <w:t>11</w:t>
      </w:r>
      <w:r w:rsidRPr="0004783C">
        <w:rPr>
          <w:rFonts w:ascii="Times New Roman" w:hAnsi="Times New Roman" w:cs="Times New Roman"/>
          <w:sz w:val="24"/>
          <w:szCs w:val="24"/>
        </w:rPr>
        <w:t xml:space="preserve">Key Laboratory of Arid and Grassland </w:t>
      </w:r>
      <w:proofErr w:type="spellStart"/>
      <w:r w:rsidRPr="0004783C">
        <w:rPr>
          <w:rFonts w:ascii="Times New Roman" w:hAnsi="Times New Roman" w:cs="Times New Roman"/>
          <w:sz w:val="24"/>
          <w:szCs w:val="24"/>
        </w:rPr>
        <w:t>Agroecology</w:t>
      </w:r>
      <w:proofErr w:type="spellEnd"/>
      <w:r w:rsidRPr="0004783C">
        <w:rPr>
          <w:rFonts w:ascii="Times New Roman" w:hAnsi="Times New Roman" w:cs="Times New Roman"/>
          <w:sz w:val="24"/>
          <w:szCs w:val="24"/>
        </w:rPr>
        <w:t>, School of Life Science, Lanzhou University, Lanzhou, 730000, People’s Republic of China</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12</w:t>
      </w:r>
      <w:r w:rsidRPr="0004783C">
        <w:rPr>
          <w:rFonts w:ascii="Times New Roman" w:hAnsi="Times New Roman" w:cs="Times New Roman"/>
          <w:sz w:val="24"/>
          <w:szCs w:val="24"/>
        </w:rPr>
        <w:t xml:space="preserve">Institut de </w:t>
      </w:r>
      <w:proofErr w:type="spellStart"/>
      <w:r w:rsidRPr="0004783C">
        <w:rPr>
          <w:rFonts w:ascii="Times New Roman" w:hAnsi="Times New Roman" w:cs="Times New Roman"/>
          <w:sz w:val="24"/>
          <w:szCs w:val="24"/>
        </w:rPr>
        <w:t>Recherche</w:t>
      </w:r>
      <w:proofErr w:type="spellEnd"/>
      <w:r w:rsidRPr="0004783C">
        <w:rPr>
          <w:rFonts w:ascii="Times New Roman" w:hAnsi="Times New Roman" w:cs="Times New Roman"/>
          <w:sz w:val="24"/>
          <w:szCs w:val="24"/>
        </w:rPr>
        <w:t xml:space="preserve"> pour le </w:t>
      </w:r>
      <w:proofErr w:type="spellStart"/>
      <w:r w:rsidRPr="0004783C">
        <w:rPr>
          <w:rFonts w:ascii="Times New Roman" w:hAnsi="Times New Roman" w:cs="Times New Roman"/>
          <w:sz w:val="24"/>
          <w:szCs w:val="24"/>
        </w:rPr>
        <w:t>Développement</w:t>
      </w:r>
      <w:proofErr w:type="spellEnd"/>
      <w:r w:rsidRPr="0004783C">
        <w:rPr>
          <w:rFonts w:ascii="Times New Roman" w:hAnsi="Times New Roman" w:cs="Times New Roman"/>
          <w:sz w:val="24"/>
          <w:szCs w:val="24"/>
        </w:rPr>
        <w:t xml:space="preserve"> (IRD), UMR DIADE/AMAP, CIRAD, TA A51/PS2, 34398 Montpellier </w:t>
      </w:r>
      <w:proofErr w:type="spellStart"/>
      <w:r w:rsidRPr="0004783C">
        <w:rPr>
          <w:rFonts w:ascii="Times New Roman" w:hAnsi="Times New Roman" w:cs="Times New Roman"/>
          <w:sz w:val="24"/>
          <w:szCs w:val="24"/>
        </w:rPr>
        <w:t>Cedex</w:t>
      </w:r>
      <w:proofErr w:type="spellEnd"/>
      <w:r w:rsidRPr="0004783C">
        <w:rPr>
          <w:rFonts w:ascii="Times New Roman" w:hAnsi="Times New Roman" w:cs="Times New Roman"/>
          <w:sz w:val="24"/>
          <w:szCs w:val="24"/>
        </w:rPr>
        <w:t xml:space="preserve"> 5, France</w:t>
      </w:r>
    </w:p>
    <w:p w:rsidR="00C84627" w:rsidRPr="0004783C" w:rsidRDefault="00C84627" w:rsidP="00C84627">
      <w:pPr>
        <w:rPr>
          <w:rFonts w:ascii="Times New Roman" w:hAnsi="Times New Roman" w:cs="Times New Roman"/>
          <w:sz w:val="24"/>
          <w:szCs w:val="24"/>
          <w:lang w:val="es-ES_tradnl"/>
        </w:rPr>
      </w:pPr>
      <w:r w:rsidRPr="0004783C">
        <w:rPr>
          <w:rFonts w:ascii="Times New Roman" w:hAnsi="Times New Roman" w:cs="Times New Roman"/>
          <w:sz w:val="24"/>
          <w:szCs w:val="24"/>
          <w:vertAlign w:val="superscript"/>
          <w:lang w:val="es-ES_tradnl"/>
        </w:rPr>
        <w:t>13</w:t>
      </w:r>
      <w:r w:rsidRPr="0004783C">
        <w:rPr>
          <w:rFonts w:ascii="Times New Roman" w:hAnsi="Times New Roman" w:cs="Times New Roman"/>
          <w:sz w:val="24"/>
          <w:szCs w:val="24"/>
          <w:lang w:val="es-ES_tradnl"/>
        </w:rPr>
        <w:t>Pontificia Universidad Católica del Ecuador, Av. 12 de Octubre y Roca, Quito, Ecuador</w:t>
      </w:r>
    </w:p>
    <w:p w:rsidR="00C84627" w:rsidRPr="0004783C" w:rsidRDefault="00C84627" w:rsidP="00C84627">
      <w:pPr>
        <w:rPr>
          <w:rFonts w:ascii="Times New Roman" w:hAnsi="Times New Roman" w:cs="Times New Roman"/>
          <w:sz w:val="24"/>
          <w:szCs w:val="24"/>
          <w:lang w:val="es-ES_tradnl"/>
        </w:rPr>
      </w:pPr>
      <w:r w:rsidRPr="0004783C">
        <w:rPr>
          <w:rFonts w:ascii="Times New Roman" w:hAnsi="Times New Roman" w:cs="Times New Roman"/>
          <w:sz w:val="24"/>
          <w:szCs w:val="24"/>
          <w:vertAlign w:val="superscript"/>
        </w:rPr>
        <w:t>14</w:t>
      </w:r>
      <w:r w:rsidRPr="0004783C">
        <w:rPr>
          <w:rFonts w:ascii="Times New Roman" w:hAnsi="Times New Roman" w:cs="Times New Roman"/>
          <w:sz w:val="24"/>
          <w:szCs w:val="24"/>
        </w:rPr>
        <w:t>Department of Plant and Environmental Sciences, University of Gothenburg, P.O. Box 461, SE-405 30 Gothenburg, Sweden</w:t>
      </w:r>
    </w:p>
    <w:p w:rsidR="00C84627" w:rsidRPr="0004783C" w:rsidRDefault="00C84627" w:rsidP="00C84627">
      <w:pPr>
        <w:rPr>
          <w:rFonts w:ascii="Times New Roman" w:eastAsia="Times New Roman" w:hAnsi="Times New Roman" w:cs="Times New Roman"/>
          <w:sz w:val="24"/>
          <w:szCs w:val="24"/>
        </w:rPr>
      </w:pPr>
      <w:r w:rsidRPr="0004783C">
        <w:rPr>
          <w:rFonts w:ascii="Times New Roman" w:hAnsi="Times New Roman" w:cs="Times New Roman"/>
          <w:sz w:val="24"/>
          <w:szCs w:val="24"/>
          <w:vertAlign w:val="superscript"/>
        </w:rPr>
        <w:lastRenderedPageBreak/>
        <w:t>15</w:t>
      </w:r>
      <w:r w:rsidRPr="0004783C">
        <w:rPr>
          <w:rFonts w:ascii="Times New Roman" w:hAnsi="Times New Roman" w:cs="Times New Roman"/>
          <w:sz w:val="24"/>
          <w:szCs w:val="24"/>
        </w:rPr>
        <w:t xml:space="preserve">Department of Botany, University of </w:t>
      </w:r>
      <w:proofErr w:type="spellStart"/>
      <w:r w:rsidRPr="0004783C">
        <w:rPr>
          <w:rFonts w:ascii="Times New Roman" w:hAnsi="Times New Roman" w:cs="Times New Roman"/>
          <w:sz w:val="24"/>
          <w:szCs w:val="24"/>
        </w:rPr>
        <w:t>Otago</w:t>
      </w:r>
      <w:proofErr w:type="spellEnd"/>
      <w:r w:rsidRPr="0004783C">
        <w:rPr>
          <w:rFonts w:ascii="Times New Roman" w:hAnsi="Times New Roman" w:cs="Times New Roman"/>
          <w:sz w:val="24"/>
          <w:szCs w:val="24"/>
        </w:rPr>
        <w:t xml:space="preserve">, </w:t>
      </w:r>
      <w:r w:rsidRPr="0004783C">
        <w:rPr>
          <w:rFonts w:ascii="Times New Roman" w:eastAsia="Times New Roman" w:hAnsi="Times New Roman" w:cs="Times New Roman"/>
          <w:sz w:val="24"/>
          <w:szCs w:val="24"/>
        </w:rPr>
        <w:t>P. O. Box 56, 464 Gt. King St., Dunedin, New Zealand 9054</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16</w:t>
      </w:r>
      <w:r w:rsidRPr="0004783C">
        <w:rPr>
          <w:rFonts w:ascii="Times New Roman" w:hAnsi="Times New Roman" w:cs="Times New Roman"/>
          <w:sz w:val="24"/>
          <w:szCs w:val="24"/>
        </w:rPr>
        <w:t xml:space="preserve">Departamento de </w:t>
      </w:r>
      <w:proofErr w:type="spellStart"/>
      <w:r w:rsidRPr="0004783C">
        <w:rPr>
          <w:rFonts w:ascii="Times New Roman" w:hAnsi="Times New Roman" w:cs="Times New Roman"/>
          <w:sz w:val="24"/>
          <w:szCs w:val="24"/>
        </w:rPr>
        <w:t>Biología</w:t>
      </w:r>
      <w:proofErr w:type="spellEnd"/>
      <w:r w:rsidRPr="0004783C">
        <w:rPr>
          <w:rFonts w:ascii="Times New Roman" w:hAnsi="Times New Roman" w:cs="Times New Roman"/>
          <w:sz w:val="24"/>
          <w:szCs w:val="24"/>
        </w:rPr>
        <w:t xml:space="preserve"> Vegetal II, </w:t>
      </w:r>
      <w:proofErr w:type="spellStart"/>
      <w:r w:rsidRPr="0004783C">
        <w:rPr>
          <w:rFonts w:ascii="Times New Roman" w:hAnsi="Times New Roman" w:cs="Times New Roman"/>
          <w:sz w:val="24"/>
          <w:szCs w:val="24"/>
        </w:rPr>
        <w:t>Facultad</w:t>
      </w:r>
      <w:proofErr w:type="spellEnd"/>
      <w:r w:rsidRPr="0004783C">
        <w:rPr>
          <w:rFonts w:ascii="Times New Roman" w:hAnsi="Times New Roman" w:cs="Times New Roman"/>
          <w:sz w:val="24"/>
          <w:szCs w:val="24"/>
        </w:rPr>
        <w:t xml:space="preserve"> de </w:t>
      </w:r>
      <w:proofErr w:type="spellStart"/>
      <w:r w:rsidRPr="0004783C">
        <w:rPr>
          <w:rFonts w:ascii="Times New Roman" w:hAnsi="Times New Roman" w:cs="Times New Roman"/>
          <w:sz w:val="24"/>
          <w:szCs w:val="24"/>
        </w:rPr>
        <w:t>Farmacia</w:t>
      </w:r>
      <w:proofErr w:type="spellEnd"/>
      <w:r w:rsidRPr="0004783C">
        <w:rPr>
          <w:rFonts w:ascii="Times New Roman" w:hAnsi="Times New Roman" w:cs="Times New Roman"/>
          <w:sz w:val="24"/>
          <w:szCs w:val="24"/>
        </w:rPr>
        <w:t xml:space="preserve">, Universidad </w:t>
      </w:r>
      <w:proofErr w:type="spellStart"/>
      <w:r w:rsidRPr="0004783C">
        <w:rPr>
          <w:rFonts w:ascii="Times New Roman" w:hAnsi="Times New Roman" w:cs="Times New Roman"/>
          <w:sz w:val="24"/>
          <w:szCs w:val="24"/>
        </w:rPr>
        <w:t>Complutense</w:t>
      </w:r>
      <w:proofErr w:type="spellEnd"/>
      <w:r w:rsidRPr="0004783C">
        <w:rPr>
          <w:rFonts w:ascii="Times New Roman" w:hAnsi="Times New Roman" w:cs="Times New Roman"/>
          <w:sz w:val="24"/>
          <w:szCs w:val="24"/>
        </w:rPr>
        <w:t>, E-28040 Madrid, Spain</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17</w:t>
      </w:r>
      <w:r w:rsidRPr="0004783C">
        <w:rPr>
          <w:rFonts w:ascii="Times New Roman" w:hAnsi="Times New Roman" w:cs="Times New Roman"/>
          <w:sz w:val="24"/>
          <w:szCs w:val="24"/>
        </w:rPr>
        <w:t xml:space="preserve">Institute of Landscape Ecology, Slovak Academy of Sciences, </w:t>
      </w:r>
      <w:proofErr w:type="spellStart"/>
      <w:r w:rsidRPr="0004783C">
        <w:rPr>
          <w:rFonts w:ascii="Times New Roman" w:hAnsi="Times New Roman" w:cs="Times New Roman"/>
          <w:sz w:val="24"/>
          <w:szCs w:val="24"/>
        </w:rPr>
        <w:t>Štefánikova</w:t>
      </w:r>
      <w:proofErr w:type="spellEnd"/>
      <w:r w:rsidRPr="0004783C">
        <w:rPr>
          <w:rFonts w:ascii="Times New Roman" w:hAnsi="Times New Roman" w:cs="Times New Roman"/>
          <w:sz w:val="24"/>
          <w:szCs w:val="24"/>
        </w:rPr>
        <w:t xml:space="preserve"> 3, Bratislava, 814 99 Slovakia</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18</w:t>
      </w:r>
      <w:r w:rsidRPr="0004783C">
        <w:rPr>
          <w:rFonts w:ascii="Times New Roman" w:hAnsi="Times New Roman" w:cs="Times New Roman"/>
          <w:sz w:val="24"/>
          <w:szCs w:val="24"/>
        </w:rPr>
        <w:t xml:space="preserve">Department of Conservation Biology, Vegetation and Landscape Ecology, University of Vienna, </w:t>
      </w:r>
      <w:proofErr w:type="spellStart"/>
      <w:r w:rsidRPr="0004783C">
        <w:rPr>
          <w:rFonts w:ascii="Times New Roman" w:hAnsi="Times New Roman" w:cs="Times New Roman"/>
          <w:sz w:val="24"/>
          <w:szCs w:val="24"/>
        </w:rPr>
        <w:t>Rennweg</w:t>
      </w:r>
      <w:proofErr w:type="spellEnd"/>
      <w:r w:rsidRPr="0004783C">
        <w:rPr>
          <w:rFonts w:ascii="Times New Roman" w:hAnsi="Times New Roman" w:cs="Times New Roman"/>
          <w:sz w:val="24"/>
          <w:szCs w:val="24"/>
        </w:rPr>
        <w:t xml:space="preserve"> 14, 1030 Vienna, Austria</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19</w:t>
      </w:r>
      <w:r w:rsidRPr="0004783C">
        <w:rPr>
          <w:rFonts w:ascii="Times New Roman" w:hAnsi="Times New Roman" w:cs="Times New Roman"/>
          <w:sz w:val="24"/>
          <w:szCs w:val="24"/>
        </w:rPr>
        <w:t xml:space="preserve">Central Department of Botany, </w:t>
      </w:r>
      <w:proofErr w:type="spellStart"/>
      <w:r w:rsidRPr="0004783C">
        <w:rPr>
          <w:rFonts w:ascii="Times New Roman" w:hAnsi="Times New Roman" w:cs="Times New Roman"/>
          <w:sz w:val="24"/>
          <w:szCs w:val="24"/>
        </w:rPr>
        <w:t>Tribhuvan</w:t>
      </w:r>
      <w:proofErr w:type="spellEnd"/>
      <w:r w:rsidRPr="0004783C">
        <w:rPr>
          <w:rFonts w:ascii="Times New Roman" w:hAnsi="Times New Roman" w:cs="Times New Roman"/>
          <w:sz w:val="24"/>
          <w:szCs w:val="24"/>
        </w:rPr>
        <w:t xml:space="preserve"> University, Kathmandu, Nepal</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20</w:t>
      </w:r>
      <w:r w:rsidRPr="0004783C">
        <w:rPr>
          <w:rFonts w:ascii="Times New Roman" w:hAnsi="Times New Roman" w:cs="Times New Roman"/>
          <w:sz w:val="24"/>
          <w:szCs w:val="24"/>
        </w:rPr>
        <w:t xml:space="preserve">Department of Animal and Plant Sciences, </w:t>
      </w:r>
      <w:proofErr w:type="gramStart"/>
      <w:r w:rsidRPr="0004783C">
        <w:rPr>
          <w:rFonts w:ascii="Times New Roman" w:hAnsi="Times New Roman" w:cs="Times New Roman"/>
          <w:sz w:val="24"/>
          <w:szCs w:val="24"/>
        </w:rPr>
        <w:t>The</w:t>
      </w:r>
      <w:proofErr w:type="gramEnd"/>
      <w:r w:rsidRPr="0004783C">
        <w:rPr>
          <w:rFonts w:ascii="Times New Roman" w:hAnsi="Times New Roman" w:cs="Times New Roman"/>
          <w:sz w:val="24"/>
          <w:szCs w:val="24"/>
        </w:rPr>
        <w:t xml:space="preserve"> University of Sheffield, Western Bank, Sheffield, S10 2TN, U.K.</w:t>
      </w:r>
    </w:p>
    <w:p w:rsidR="00C84627" w:rsidRPr="0004783C" w:rsidRDefault="00C84627" w:rsidP="00C84627">
      <w:pPr>
        <w:rPr>
          <w:rFonts w:ascii="Times New Roman" w:hAnsi="Times New Roman" w:cs="Times New Roman"/>
          <w:sz w:val="24"/>
          <w:szCs w:val="24"/>
          <w:lang w:eastAsia="ja-JP"/>
        </w:rPr>
      </w:pPr>
      <w:r w:rsidRPr="0004783C">
        <w:rPr>
          <w:rFonts w:ascii="Times New Roman" w:hAnsi="Times New Roman" w:cs="Times New Roman"/>
          <w:sz w:val="24"/>
          <w:szCs w:val="24"/>
          <w:vertAlign w:val="superscript"/>
          <w:lang w:eastAsia="ja-JP"/>
        </w:rPr>
        <w:t>21</w:t>
      </w:r>
      <w:r w:rsidRPr="0004783C">
        <w:rPr>
          <w:rFonts w:ascii="Times New Roman" w:hAnsi="Times New Roman" w:cs="Times New Roman"/>
          <w:sz w:val="24"/>
          <w:szCs w:val="24"/>
          <w:lang w:val="en-GB"/>
        </w:rPr>
        <w:t>Biology Department, University of Montana Western, Dillon, Montana 59725</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22</w:t>
      </w:r>
      <w:r w:rsidRPr="0004783C">
        <w:rPr>
          <w:rFonts w:ascii="Times New Roman" w:hAnsi="Times New Roman" w:cs="Times New Roman"/>
          <w:sz w:val="24"/>
          <w:szCs w:val="24"/>
        </w:rPr>
        <w:t xml:space="preserve">WSL Institute for Snow and Avalanche Research SLF, </w:t>
      </w:r>
      <w:proofErr w:type="spellStart"/>
      <w:r w:rsidRPr="0004783C">
        <w:rPr>
          <w:rFonts w:ascii="Times New Roman" w:hAnsi="Times New Roman" w:cs="Times New Roman"/>
          <w:sz w:val="24"/>
          <w:szCs w:val="24"/>
        </w:rPr>
        <w:t>Fluelastrasse</w:t>
      </w:r>
      <w:proofErr w:type="spellEnd"/>
      <w:r w:rsidRPr="0004783C">
        <w:rPr>
          <w:rFonts w:ascii="Times New Roman" w:hAnsi="Times New Roman" w:cs="Times New Roman"/>
          <w:sz w:val="24"/>
          <w:szCs w:val="24"/>
        </w:rPr>
        <w:t xml:space="preserve"> 11, 7260 Davos, Switzerland</w:t>
      </w:r>
    </w:p>
    <w:p w:rsidR="00C84627" w:rsidRPr="0004783C" w:rsidRDefault="00C84627" w:rsidP="00C84627">
      <w:pPr>
        <w:rPr>
          <w:rFonts w:ascii="Times New Roman" w:hAnsi="Times New Roman" w:cs="Times New Roman"/>
          <w:sz w:val="24"/>
          <w:szCs w:val="24"/>
        </w:rPr>
      </w:pPr>
      <w:r w:rsidRPr="0004783C">
        <w:rPr>
          <w:rFonts w:ascii="Times New Roman" w:hAnsi="Times New Roman" w:cs="Times New Roman"/>
          <w:sz w:val="24"/>
          <w:szCs w:val="24"/>
          <w:vertAlign w:val="superscript"/>
        </w:rPr>
        <w:t>23</w:t>
      </w:r>
      <w:r w:rsidRPr="0004783C">
        <w:rPr>
          <w:rFonts w:ascii="Times New Roman" w:hAnsi="Times New Roman" w:cs="Times New Roman"/>
          <w:sz w:val="24"/>
          <w:szCs w:val="24"/>
        </w:rPr>
        <w:t xml:space="preserve">Key Laboratory of </w:t>
      </w:r>
      <w:proofErr w:type="spellStart"/>
      <w:r w:rsidRPr="0004783C">
        <w:rPr>
          <w:rFonts w:ascii="Times New Roman" w:hAnsi="Times New Roman" w:cs="Times New Roman"/>
          <w:sz w:val="24"/>
          <w:szCs w:val="24"/>
        </w:rPr>
        <w:t>Ecohydrology</w:t>
      </w:r>
      <w:proofErr w:type="spellEnd"/>
      <w:r w:rsidRPr="0004783C">
        <w:rPr>
          <w:rFonts w:ascii="Times New Roman" w:hAnsi="Times New Roman" w:cs="Times New Roman"/>
          <w:sz w:val="24"/>
          <w:szCs w:val="24"/>
        </w:rPr>
        <w:t xml:space="preserve"> of Inland River Basin, Cold and Arid Regions Environmental and Engineering Research institute, Chinese Academy of Sciences, 320 </w:t>
      </w:r>
      <w:proofErr w:type="spellStart"/>
      <w:r w:rsidRPr="0004783C">
        <w:rPr>
          <w:rFonts w:ascii="Times New Roman" w:hAnsi="Times New Roman" w:cs="Times New Roman"/>
          <w:sz w:val="24"/>
          <w:szCs w:val="24"/>
        </w:rPr>
        <w:t>Donggang</w:t>
      </w:r>
      <w:proofErr w:type="spellEnd"/>
      <w:r w:rsidRPr="0004783C">
        <w:rPr>
          <w:rFonts w:ascii="Times New Roman" w:hAnsi="Times New Roman" w:cs="Times New Roman"/>
          <w:sz w:val="24"/>
          <w:szCs w:val="24"/>
        </w:rPr>
        <w:t xml:space="preserve"> West Road, Lanzhou 730000, People’s Republic of China</w:t>
      </w:r>
    </w:p>
    <w:p w:rsidR="00C84627" w:rsidRPr="0004783C" w:rsidRDefault="00C84627" w:rsidP="00C84627">
      <w:pPr>
        <w:rPr>
          <w:rFonts w:ascii="Times New Roman" w:hAnsi="Times New Roman" w:cs="Times New Roman"/>
          <w:sz w:val="24"/>
          <w:szCs w:val="24"/>
          <w:lang w:eastAsia="ja-JP"/>
        </w:rPr>
      </w:pPr>
      <w:r w:rsidRPr="0004783C">
        <w:rPr>
          <w:rFonts w:ascii="Times New Roman" w:hAnsi="Times New Roman" w:cs="Times New Roman"/>
          <w:sz w:val="24"/>
          <w:szCs w:val="24"/>
          <w:vertAlign w:val="superscript"/>
          <w:lang w:eastAsia="ja-JP"/>
        </w:rPr>
        <w:t>24</w:t>
      </w:r>
      <w:r w:rsidRPr="0004783C">
        <w:rPr>
          <w:rFonts w:ascii="Times New Roman" w:hAnsi="Times New Roman" w:cs="Times New Roman"/>
          <w:sz w:val="24"/>
          <w:szCs w:val="24"/>
          <w:lang w:eastAsia="ja-JP"/>
        </w:rPr>
        <w:t xml:space="preserve">The James Hutton Institute, </w:t>
      </w:r>
      <w:proofErr w:type="spellStart"/>
      <w:r w:rsidRPr="0004783C">
        <w:rPr>
          <w:rFonts w:ascii="Times New Roman" w:hAnsi="Times New Roman" w:cs="Times New Roman"/>
          <w:sz w:val="24"/>
          <w:szCs w:val="24"/>
          <w:lang w:eastAsia="ja-JP"/>
        </w:rPr>
        <w:t>Craigiebuckler</w:t>
      </w:r>
      <w:proofErr w:type="spellEnd"/>
      <w:r w:rsidRPr="0004783C">
        <w:rPr>
          <w:rFonts w:ascii="Times New Roman" w:hAnsi="Times New Roman" w:cs="Times New Roman"/>
          <w:sz w:val="24"/>
          <w:szCs w:val="24"/>
          <w:lang w:eastAsia="ja-JP"/>
        </w:rPr>
        <w:t>, Aberdeen AB15 8QH, Scotland, UK</w:t>
      </w:r>
    </w:p>
    <w:p w:rsidR="00C84627" w:rsidRPr="0004783C" w:rsidRDefault="00C84627" w:rsidP="00C84627">
      <w:pPr>
        <w:pStyle w:val="NoSpacing"/>
        <w:spacing w:line="480" w:lineRule="auto"/>
        <w:rPr>
          <w:rFonts w:ascii="Times New Roman" w:hAnsi="Times New Roman" w:cs="Times New Roman"/>
          <w:sz w:val="24"/>
          <w:szCs w:val="24"/>
        </w:rPr>
      </w:pPr>
    </w:p>
    <w:p w:rsidR="00C84627" w:rsidRPr="0004783C" w:rsidRDefault="00C84627" w:rsidP="00C84627">
      <w:pPr>
        <w:pStyle w:val="NoSpacing"/>
        <w:spacing w:line="480" w:lineRule="auto"/>
        <w:rPr>
          <w:rFonts w:ascii="Times New Roman" w:hAnsi="Times New Roman" w:cs="Times New Roman"/>
          <w:b/>
          <w:sz w:val="24"/>
          <w:szCs w:val="24"/>
        </w:rPr>
      </w:pPr>
      <w:r w:rsidRPr="0004783C">
        <w:rPr>
          <w:rFonts w:ascii="Times New Roman" w:hAnsi="Times New Roman" w:cs="Times New Roman"/>
          <w:b/>
          <w:sz w:val="24"/>
          <w:szCs w:val="24"/>
        </w:rPr>
        <w:t>Corresponding Author:</w:t>
      </w:r>
    </w:p>
    <w:p w:rsidR="00C84627" w:rsidRPr="0004783C" w:rsidRDefault="00C84627" w:rsidP="00C84627">
      <w:pPr>
        <w:pStyle w:val="NoSpacing"/>
        <w:spacing w:line="480" w:lineRule="auto"/>
        <w:rPr>
          <w:rFonts w:ascii="Times New Roman" w:hAnsi="Times New Roman" w:cs="Times New Roman"/>
          <w:sz w:val="24"/>
          <w:szCs w:val="24"/>
        </w:rPr>
      </w:pPr>
      <w:r w:rsidRPr="0004783C">
        <w:rPr>
          <w:rFonts w:ascii="Times New Roman" w:hAnsi="Times New Roman" w:cs="Times New Roman"/>
          <w:sz w:val="24"/>
          <w:szCs w:val="24"/>
        </w:rPr>
        <w:t>Bradley J. Butterfield</w:t>
      </w:r>
    </w:p>
    <w:p w:rsidR="00C84627" w:rsidRPr="0004783C" w:rsidRDefault="00C84627" w:rsidP="00C84627">
      <w:pPr>
        <w:pStyle w:val="NoSpacing"/>
        <w:spacing w:line="480" w:lineRule="auto"/>
        <w:rPr>
          <w:rFonts w:ascii="Times New Roman" w:hAnsi="Times New Roman" w:cs="Times New Roman"/>
          <w:sz w:val="24"/>
          <w:szCs w:val="24"/>
        </w:rPr>
      </w:pPr>
      <w:r w:rsidRPr="0004783C">
        <w:rPr>
          <w:rFonts w:ascii="Times New Roman" w:hAnsi="Times New Roman" w:cs="Times New Roman"/>
          <w:sz w:val="24"/>
          <w:szCs w:val="24"/>
        </w:rPr>
        <w:t>Merriam-Powell Center for Environmental Research, Northern Arizona University, P.O. Box 6077 Flagstaff, AZ 86011</w:t>
      </w:r>
    </w:p>
    <w:p w:rsidR="00C84627" w:rsidRPr="0004783C" w:rsidRDefault="00C84627" w:rsidP="00C84627">
      <w:pPr>
        <w:pStyle w:val="NoSpacing"/>
        <w:spacing w:line="480" w:lineRule="auto"/>
        <w:rPr>
          <w:rFonts w:ascii="Times New Roman" w:hAnsi="Times New Roman" w:cs="Times New Roman"/>
          <w:sz w:val="24"/>
          <w:szCs w:val="24"/>
        </w:rPr>
      </w:pPr>
      <w:r w:rsidRPr="0004783C">
        <w:rPr>
          <w:rFonts w:ascii="Times New Roman" w:hAnsi="Times New Roman" w:cs="Times New Roman"/>
          <w:sz w:val="24"/>
          <w:szCs w:val="24"/>
        </w:rPr>
        <w:t>Phone: (</w:t>
      </w:r>
      <w:r>
        <w:rPr>
          <w:rFonts w:ascii="Times New Roman" w:hAnsi="Times New Roman" w:cs="Times New Roman"/>
          <w:sz w:val="24"/>
          <w:szCs w:val="24"/>
        </w:rPr>
        <w:t>928</w:t>
      </w:r>
      <w:r w:rsidRPr="0004783C">
        <w:rPr>
          <w:rFonts w:ascii="Times New Roman" w:hAnsi="Times New Roman" w:cs="Times New Roman"/>
          <w:sz w:val="24"/>
          <w:szCs w:val="24"/>
        </w:rPr>
        <w:t>)</w:t>
      </w:r>
      <w:r>
        <w:rPr>
          <w:rFonts w:ascii="Times New Roman" w:hAnsi="Times New Roman" w:cs="Times New Roman"/>
          <w:sz w:val="24"/>
          <w:szCs w:val="24"/>
        </w:rPr>
        <w:t>853-0359</w:t>
      </w:r>
    </w:p>
    <w:p w:rsidR="00C84627" w:rsidRDefault="00C84627" w:rsidP="00C84627">
      <w:pPr>
        <w:pStyle w:val="NoSpacing"/>
        <w:spacing w:line="480" w:lineRule="auto"/>
        <w:rPr>
          <w:rFonts w:ascii="Times New Roman" w:hAnsi="Times New Roman" w:cs="Times New Roman"/>
          <w:sz w:val="24"/>
          <w:szCs w:val="24"/>
        </w:rPr>
      </w:pPr>
      <w:r w:rsidRPr="0004783C">
        <w:rPr>
          <w:rFonts w:ascii="Times New Roman" w:hAnsi="Times New Roman" w:cs="Times New Roman"/>
          <w:sz w:val="24"/>
          <w:szCs w:val="24"/>
        </w:rPr>
        <w:t>Email: Bradley.Butterfield@nau.edu</w:t>
      </w:r>
    </w:p>
    <w:p w:rsidR="00C84627" w:rsidRDefault="00C84627" w:rsidP="00C84627">
      <w:pPr>
        <w:pStyle w:val="NoSpacing"/>
        <w:spacing w:line="480" w:lineRule="auto"/>
        <w:rPr>
          <w:rFonts w:ascii="Times New Roman" w:hAnsi="Times New Roman" w:cs="Times New Roman"/>
          <w:sz w:val="24"/>
          <w:szCs w:val="24"/>
        </w:rPr>
      </w:pPr>
    </w:p>
    <w:p w:rsidR="00C84627" w:rsidRDefault="00C84627" w:rsidP="00C84627">
      <w:pPr>
        <w:pStyle w:val="NoSpacing"/>
        <w:spacing w:line="480" w:lineRule="auto"/>
        <w:rPr>
          <w:rFonts w:ascii="Times New Roman" w:hAnsi="Times New Roman" w:cs="Times New Roman"/>
          <w:sz w:val="24"/>
          <w:szCs w:val="24"/>
        </w:rPr>
      </w:pPr>
      <w:r w:rsidRPr="00B325CE">
        <w:rPr>
          <w:rFonts w:ascii="Times New Roman" w:hAnsi="Times New Roman" w:cs="Times New Roman"/>
          <w:b/>
          <w:sz w:val="24"/>
          <w:szCs w:val="24"/>
        </w:rPr>
        <w:t>Article Type:</w:t>
      </w:r>
      <w:r>
        <w:rPr>
          <w:rFonts w:ascii="Times New Roman" w:hAnsi="Times New Roman" w:cs="Times New Roman"/>
          <w:sz w:val="24"/>
          <w:szCs w:val="24"/>
        </w:rPr>
        <w:t xml:space="preserve"> Research Paper</w:t>
      </w:r>
    </w:p>
    <w:p w:rsidR="007615CB" w:rsidRDefault="00C84627" w:rsidP="00C84627">
      <w:pPr>
        <w:rPr>
          <w:rFonts w:ascii="Times New Roman" w:hAnsi="Times New Roman" w:cs="Times New Roman"/>
          <w:sz w:val="24"/>
          <w:szCs w:val="24"/>
        </w:rPr>
      </w:pPr>
      <w:r w:rsidRPr="00B325CE">
        <w:rPr>
          <w:rFonts w:ascii="Times New Roman" w:hAnsi="Times New Roman" w:cs="Times New Roman"/>
          <w:b/>
          <w:sz w:val="24"/>
          <w:szCs w:val="24"/>
        </w:rPr>
        <w:t>Short Title:</w:t>
      </w:r>
      <w:r w:rsidR="00A51CBD">
        <w:rPr>
          <w:rFonts w:ascii="Times New Roman" w:hAnsi="Times New Roman" w:cs="Times New Roman"/>
          <w:sz w:val="24"/>
          <w:szCs w:val="24"/>
        </w:rPr>
        <w:t xml:space="preserve"> Foundation species effects on community </w:t>
      </w:r>
      <w:proofErr w:type="spellStart"/>
      <w:r w:rsidR="00A51CBD">
        <w:rPr>
          <w:rFonts w:ascii="Times New Roman" w:hAnsi="Times New Roman" w:cs="Times New Roman"/>
          <w:sz w:val="24"/>
          <w:szCs w:val="24"/>
        </w:rPr>
        <w:t>phylogenetics</w:t>
      </w:r>
      <w:proofErr w:type="spellEnd"/>
    </w:p>
    <w:p w:rsidR="00A51CBD" w:rsidRPr="00F74801" w:rsidRDefault="00A51CBD" w:rsidP="00A51CBD">
      <w:pPr>
        <w:pStyle w:val="NoSpacing"/>
        <w:spacing w:line="480" w:lineRule="auto"/>
        <w:rPr>
          <w:rFonts w:ascii="Arial" w:hAnsi="Arial" w:cs="Arial"/>
          <w:b/>
          <w:sz w:val="24"/>
          <w:szCs w:val="24"/>
        </w:rPr>
      </w:pPr>
      <w:r w:rsidRPr="00F74801">
        <w:rPr>
          <w:rFonts w:ascii="Arial" w:hAnsi="Arial" w:cs="Arial"/>
          <w:b/>
          <w:sz w:val="24"/>
          <w:szCs w:val="24"/>
        </w:rPr>
        <w:lastRenderedPageBreak/>
        <w:t>ABSTRACT</w:t>
      </w:r>
    </w:p>
    <w:p w:rsidR="00A51CBD" w:rsidRDefault="00A51CBD" w:rsidP="00A51CBD">
      <w:pPr>
        <w:pStyle w:val="NoSpacing"/>
        <w:spacing w:line="480" w:lineRule="auto"/>
        <w:rPr>
          <w:rFonts w:ascii="Times New Roman" w:hAnsi="Times New Roman" w:cs="Times New Roman"/>
          <w:sz w:val="24"/>
          <w:szCs w:val="24"/>
        </w:rPr>
      </w:pPr>
      <w:proofErr w:type="gramStart"/>
      <w:r w:rsidRPr="00F74801">
        <w:rPr>
          <w:rFonts w:ascii="Arial" w:hAnsi="Arial" w:cs="Arial"/>
          <w:b/>
          <w:sz w:val="24"/>
          <w:szCs w:val="24"/>
        </w:rPr>
        <w:t>Aim</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determine the effects of foundation cushion plant species and environmental variation on phylogenetic structure within and across alpine plant communities around the world.</w:t>
      </w:r>
    </w:p>
    <w:p w:rsidR="00A51CBD" w:rsidRDefault="00A51CBD" w:rsidP="00A51CBD">
      <w:pPr>
        <w:pStyle w:val="NoSpacing"/>
        <w:spacing w:line="480" w:lineRule="auto"/>
        <w:rPr>
          <w:rFonts w:ascii="Times New Roman" w:hAnsi="Times New Roman" w:cs="Times New Roman"/>
          <w:sz w:val="24"/>
          <w:szCs w:val="24"/>
        </w:rPr>
      </w:pPr>
      <w:proofErr w:type="gramStart"/>
      <w:r w:rsidRPr="00F74801">
        <w:rPr>
          <w:rFonts w:ascii="Arial" w:hAnsi="Arial" w:cs="Arial"/>
          <w:b/>
          <w:sz w:val="24"/>
          <w:szCs w:val="24"/>
        </w:rPr>
        <w:t>Location</w:t>
      </w:r>
      <w:r>
        <w:rPr>
          <w:rFonts w:ascii="Times New Roman" w:hAnsi="Times New Roman" w:cs="Times New Roman"/>
          <w:sz w:val="24"/>
          <w:szCs w:val="24"/>
        </w:rPr>
        <w:t xml:space="preserve">  Alpine</w:t>
      </w:r>
      <w:proofErr w:type="gramEnd"/>
      <w:r>
        <w:rPr>
          <w:rFonts w:ascii="Times New Roman" w:hAnsi="Times New Roman" w:cs="Times New Roman"/>
          <w:sz w:val="24"/>
          <w:szCs w:val="24"/>
        </w:rPr>
        <w:t xml:space="preserve"> ecosystems in Europe, Asia, New Zealand, North and South America</w:t>
      </w:r>
    </w:p>
    <w:p w:rsidR="00A51CBD" w:rsidRDefault="00A51CBD" w:rsidP="00A51CBD">
      <w:pPr>
        <w:pStyle w:val="NoSpacing"/>
        <w:spacing w:line="480" w:lineRule="auto"/>
        <w:rPr>
          <w:rFonts w:ascii="Times New Roman" w:hAnsi="Times New Roman" w:cs="Times New Roman"/>
          <w:sz w:val="24"/>
          <w:szCs w:val="24"/>
        </w:rPr>
      </w:pPr>
      <w:proofErr w:type="gramStart"/>
      <w:r w:rsidRPr="00F74801">
        <w:rPr>
          <w:rFonts w:ascii="Arial" w:hAnsi="Arial" w:cs="Arial"/>
          <w:b/>
          <w:sz w:val="24"/>
          <w:szCs w:val="24"/>
        </w:rPr>
        <w:t>Methods</w:t>
      </w:r>
      <w:r w:rsidR="003E571F">
        <w:rPr>
          <w:rFonts w:ascii="Times New Roman" w:hAnsi="Times New Roman" w:cs="Times New Roman"/>
          <w:sz w:val="24"/>
          <w:szCs w:val="24"/>
        </w:rPr>
        <w:t xml:space="preserve">  Vascular</w:t>
      </w:r>
      <w:proofErr w:type="gramEnd"/>
      <w:r w:rsidR="003E571F">
        <w:rPr>
          <w:rFonts w:ascii="Times New Roman" w:hAnsi="Times New Roman" w:cs="Times New Roman"/>
          <w:sz w:val="24"/>
          <w:szCs w:val="24"/>
        </w:rPr>
        <w:t xml:space="preserve"> plant</w:t>
      </w:r>
      <w:r w:rsidR="00DB1CD5">
        <w:rPr>
          <w:rFonts w:ascii="Times New Roman" w:hAnsi="Times New Roman" w:cs="Times New Roman"/>
          <w:sz w:val="24"/>
          <w:szCs w:val="24"/>
        </w:rPr>
        <w:t xml:space="preserve"> communities growing on cushion plants and in adjacent bare ground were sampled across 77 sites around  the world.  The phylogenetic structure of communities was separated into within-microsite (open and cushion), between-microsite and the whole community (both open and cushion combined) in order to identify the effects of cushion plants on local environmental filters and phylogenetic diversity.  The environmental context-dependence of cushion effects </w:t>
      </w:r>
      <w:proofErr w:type="gramStart"/>
      <w:r w:rsidR="00DB1CD5">
        <w:rPr>
          <w:rFonts w:ascii="Times New Roman" w:hAnsi="Times New Roman" w:cs="Times New Roman"/>
          <w:sz w:val="24"/>
          <w:szCs w:val="24"/>
        </w:rPr>
        <w:t>were</w:t>
      </w:r>
      <w:proofErr w:type="gramEnd"/>
      <w:r w:rsidR="00DB1CD5">
        <w:rPr>
          <w:rFonts w:ascii="Times New Roman" w:hAnsi="Times New Roman" w:cs="Times New Roman"/>
          <w:sz w:val="24"/>
          <w:szCs w:val="24"/>
        </w:rPr>
        <w:t xml:space="preserve"> also assessed along three dimensions of climate.</w:t>
      </w:r>
    </w:p>
    <w:p w:rsidR="00A51CBD" w:rsidRDefault="00A51CBD" w:rsidP="00A51CBD">
      <w:pPr>
        <w:pStyle w:val="NoSpacing"/>
        <w:spacing w:line="480" w:lineRule="auto"/>
        <w:rPr>
          <w:rFonts w:ascii="Times New Roman" w:hAnsi="Times New Roman" w:cs="Times New Roman"/>
          <w:sz w:val="24"/>
          <w:szCs w:val="24"/>
        </w:rPr>
      </w:pPr>
      <w:proofErr w:type="gramStart"/>
      <w:r w:rsidRPr="00F74801">
        <w:rPr>
          <w:rFonts w:ascii="Arial" w:hAnsi="Arial" w:cs="Arial"/>
          <w:b/>
          <w:sz w:val="24"/>
          <w:szCs w:val="24"/>
        </w:rPr>
        <w:t>Results</w:t>
      </w:r>
      <w:r>
        <w:rPr>
          <w:rFonts w:ascii="Times New Roman" w:hAnsi="Times New Roman" w:cs="Times New Roman"/>
          <w:sz w:val="24"/>
          <w:szCs w:val="24"/>
        </w:rPr>
        <w:t xml:space="preserve">  Phylo</w:t>
      </w:r>
      <w:r w:rsidR="00545136">
        <w:rPr>
          <w:rFonts w:ascii="Times New Roman" w:hAnsi="Times New Roman" w:cs="Times New Roman"/>
          <w:sz w:val="24"/>
          <w:szCs w:val="24"/>
        </w:rPr>
        <w:t>genetic</w:t>
      </w:r>
      <w:proofErr w:type="gramEnd"/>
      <w:r w:rsidR="00545136">
        <w:rPr>
          <w:rFonts w:ascii="Times New Roman" w:hAnsi="Times New Roman" w:cs="Times New Roman"/>
          <w:sz w:val="24"/>
          <w:szCs w:val="24"/>
        </w:rPr>
        <w:t xml:space="preserve"> clustering increased with declines in productivity </w:t>
      </w:r>
      <w:r>
        <w:rPr>
          <w:rFonts w:ascii="Times New Roman" w:hAnsi="Times New Roman" w:cs="Times New Roman"/>
          <w:sz w:val="24"/>
          <w:szCs w:val="24"/>
        </w:rPr>
        <w:t xml:space="preserve">in the absence of cushion plants, but demonstrated no environmental-dependence when assessed at the whole community level.  This was due to </w:t>
      </w:r>
      <w:r w:rsidR="003E571F">
        <w:rPr>
          <w:rFonts w:ascii="Times New Roman" w:hAnsi="Times New Roman" w:cs="Times New Roman"/>
          <w:sz w:val="24"/>
          <w:szCs w:val="24"/>
        </w:rPr>
        <w:t xml:space="preserve">increasing divergence in phylogenetic composition between open and cushion communities with </w:t>
      </w:r>
      <w:r w:rsidR="00545136">
        <w:rPr>
          <w:rFonts w:ascii="Times New Roman" w:hAnsi="Times New Roman" w:cs="Times New Roman"/>
          <w:sz w:val="24"/>
          <w:szCs w:val="24"/>
        </w:rPr>
        <w:t>declining productivity</w:t>
      </w:r>
      <w:r w:rsidR="003E571F">
        <w:rPr>
          <w:rFonts w:ascii="Times New Roman" w:hAnsi="Times New Roman" w:cs="Times New Roman"/>
          <w:sz w:val="24"/>
          <w:szCs w:val="24"/>
        </w:rPr>
        <w:t>, with cushion plants releasing environmental constraints on phylogenetic diversity more strongly in severe environments.</w:t>
      </w:r>
    </w:p>
    <w:p w:rsidR="003E571F" w:rsidRDefault="00A51CBD" w:rsidP="00A51CBD">
      <w:pPr>
        <w:pStyle w:val="NoSpacing"/>
        <w:spacing w:line="480" w:lineRule="auto"/>
        <w:rPr>
          <w:rFonts w:ascii="Times New Roman" w:hAnsi="Times New Roman" w:cs="Times New Roman"/>
          <w:sz w:val="24"/>
          <w:szCs w:val="24"/>
        </w:rPr>
      </w:pPr>
      <w:r w:rsidRPr="00F74801">
        <w:rPr>
          <w:rFonts w:ascii="Arial" w:hAnsi="Arial" w:cs="Arial"/>
          <w:b/>
          <w:sz w:val="24"/>
          <w:szCs w:val="24"/>
        </w:rPr>
        <w:t>Main</w:t>
      </w:r>
      <w:r w:rsidRPr="00B325CE">
        <w:rPr>
          <w:rFonts w:ascii="Arial" w:hAnsi="Arial" w:cs="Arial"/>
          <w:b/>
          <w:sz w:val="24"/>
          <w:szCs w:val="24"/>
        </w:rPr>
        <w:t xml:space="preserve"> </w:t>
      </w:r>
      <w:proofErr w:type="gramStart"/>
      <w:r w:rsidRPr="00B325CE">
        <w:rPr>
          <w:rFonts w:ascii="Arial" w:hAnsi="Arial" w:cs="Arial"/>
          <w:b/>
          <w:sz w:val="24"/>
          <w:szCs w:val="24"/>
        </w:rPr>
        <w:t>conclusions</w:t>
      </w:r>
      <w:r w:rsidR="003E571F">
        <w:rPr>
          <w:rFonts w:ascii="Times New Roman" w:hAnsi="Times New Roman" w:cs="Times New Roman"/>
          <w:sz w:val="24"/>
          <w:szCs w:val="24"/>
        </w:rPr>
        <w:t xml:space="preserve">  Cushion</w:t>
      </w:r>
      <w:proofErr w:type="gramEnd"/>
      <w:r w:rsidR="003E571F">
        <w:rPr>
          <w:rFonts w:ascii="Times New Roman" w:hAnsi="Times New Roman" w:cs="Times New Roman"/>
          <w:sz w:val="24"/>
          <w:szCs w:val="24"/>
        </w:rPr>
        <w:t xml:space="preserve"> plants functioned as </w:t>
      </w:r>
      <w:r w:rsidR="00956C0F">
        <w:rPr>
          <w:rFonts w:ascii="Times New Roman" w:hAnsi="Times New Roman" w:cs="Times New Roman"/>
          <w:sz w:val="24"/>
          <w:szCs w:val="24"/>
        </w:rPr>
        <w:t>micro-</w:t>
      </w:r>
      <w:proofErr w:type="spellStart"/>
      <w:r w:rsidR="003E571F">
        <w:rPr>
          <w:rFonts w:ascii="Times New Roman" w:hAnsi="Times New Roman" w:cs="Times New Roman"/>
          <w:sz w:val="24"/>
          <w:szCs w:val="24"/>
        </w:rPr>
        <w:t>refugia</w:t>
      </w:r>
      <w:proofErr w:type="spellEnd"/>
      <w:r w:rsidR="003E571F">
        <w:rPr>
          <w:rFonts w:ascii="Times New Roman" w:hAnsi="Times New Roman" w:cs="Times New Roman"/>
          <w:sz w:val="24"/>
          <w:szCs w:val="24"/>
        </w:rPr>
        <w:t xml:space="preserve"> for phylogenetic diversity in severe environments, effectively eliminating a positive productivity – phylogenetic diversity relationships across alpine ecosystems globally.  The divergent patterns of microsite phylogenetic composition would have been undetectable without such fine-scale analyses across a broad range of sites varying in evolutionary and biogeography history.  Differentiating such biotic effects on local phylogenetic diversity from those of the physical environment is essential for developing predictive models of changes in phylogenetic diversity that account for the dynamics and distributions of foundation or dominant species.</w:t>
      </w:r>
    </w:p>
    <w:p w:rsidR="00A51CBD" w:rsidRDefault="00A51CBD" w:rsidP="00A51CBD">
      <w:pPr>
        <w:pStyle w:val="NoSpacing"/>
        <w:spacing w:line="480" w:lineRule="auto"/>
        <w:rPr>
          <w:rFonts w:ascii="Times New Roman" w:hAnsi="Times New Roman" w:cs="Times New Roman"/>
          <w:sz w:val="24"/>
          <w:szCs w:val="24"/>
        </w:rPr>
      </w:pPr>
    </w:p>
    <w:p w:rsidR="00A51CBD" w:rsidRPr="00F74801" w:rsidRDefault="00A51CBD" w:rsidP="00A51CBD">
      <w:pPr>
        <w:pStyle w:val="NoSpacing"/>
        <w:spacing w:line="480" w:lineRule="auto"/>
        <w:rPr>
          <w:rFonts w:ascii="Arial" w:hAnsi="Arial" w:cs="Arial"/>
          <w:b/>
          <w:sz w:val="24"/>
          <w:szCs w:val="24"/>
        </w:rPr>
      </w:pPr>
      <w:r w:rsidRPr="00F74801">
        <w:rPr>
          <w:rFonts w:ascii="Arial" w:hAnsi="Arial" w:cs="Arial"/>
          <w:b/>
          <w:sz w:val="24"/>
          <w:szCs w:val="24"/>
        </w:rPr>
        <w:t>Keywords</w:t>
      </w:r>
    </w:p>
    <w:p w:rsidR="00A51CBD" w:rsidRPr="00F74801" w:rsidRDefault="00A51CBD" w:rsidP="00A51CBD">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 xml:space="preserve">Facilitation, competition, </w:t>
      </w:r>
      <w:r w:rsidR="00956C0F">
        <w:rPr>
          <w:rFonts w:ascii="Times New Roman" w:hAnsi="Times New Roman" w:cs="Times New Roman"/>
          <w:b/>
          <w:sz w:val="24"/>
          <w:szCs w:val="24"/>
        </w:rPr>
        <w:t>micro-</w:t>
      </w:r>
      <w:proofErr w:type="spellStart"/>
      <w:r w:rsidR="00956C0F">
        <w:rPr>
          <w:rFonts w:ascii="Times New Roman" w:hAnsi="Times New Roman" w:cs="Times New Roman"/>
          <w:b/>
          <w:sz w:val="24"/>
          <w:szCs w:val="24"/>
        </w:rPr>
        <w:t>refugia</w:t>
      </w:r>
      <w:proofErr w:type="spellEnd"/>
      <w:r>
        <w:rPr>
          <w:rFonts w:ascii="Times New Roman" w:hAnsi="Times New Roman" w:cs="Times New Roman"/>
          <w:b/>
          <w:sz w:val="24"/>
          <w:szCs w:val="24"/>
        </w:rPr>
        <w:t>, environmental filter, community assembly, species pool</w:t>
      </w:r>
    </w:p>
    <w:p w:rsidR="00E3760B" w:rsidRPr="00F74801" w:rsidRDefault="00A51CBD" w:rsidP="00A51CBD">
      <w:pPr>
        <w:pStyle w:val="NoSpacing"/>
        <w:spacing w:line="480" w:lineRule="auto"/>
        <w:rPr>
          <w:rFonts w:ascii="Arial" w:hAnsi="Arial" w:cs="Arial"/>
          <w:b/>
          <w:sz w:val="24"/>
          <w:szCs w:val="24"/>
        </w:rPr>
      </w:pPr>
      <w:r>
        <w:rPr>
          <w:rFonts w:ascii="Times New Roman" w:hAnsi="Times New Roman" w:cs="Times New Roman"/>
          <w:sz w:val="24"/>
          <w:szCs w:val="24"/>
        </w:rPr>
        <w:br w:type="page"/>
      </w:r>
      <w:r w:rsidR="00E3760B" w:rsidRPr="00F74801">
        <w:rPr>
          <w:rFonts w:ascii="Arial" w:hAnsi="Arial" w:cs="Arial"/>
          <w:b/>
          <w:sz w:val="24"/>
          <w:szCs w:val="24"/>
        </w:rPr>
        <w:lastRenderedPageBreak/>
        <w:t>INTRODUCTION</w:t>
      </w:r>
    </w:p>
    <w:p w:rsidR="002B1A8F" w:rsidRDefault="002B1A8F" w:rsidP="007371C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Phylogenetic relationships among co-occurring organisms can shed light on the evolutionary, biogeographic and ecological processes that shape communities </w:t>
      </w:r>
      <w:r>
        <w:rPr>
          <w:rFonts w:ascii="Times New Roman" w:hAnsi="Times New Roman" w:cs="Times New Roman"/>
          <w:sz w:val="24"/>
          <w:szCs w:val="24"/>
        </w:rPr>
        <w:fldChar w:fldCharType="begin"/>
      </w:r>
      <w:r>
        <w:rPr>
          <w:rFonts w:ascii="Times New Roman" w:hAnsi="Times New Roman" w:cs="Times New Roman"/>
          <w:sz w:val="24"/>
          <w:szCs w:val="24"/>
        </w:rPr>
        <w:instrText>ADDIN RW.CITE{{413 Webb,C.O. 2002; 1002 Emerson,Brent C. 2008; 671 Cavender-Bares,J. 2009}}</w:instrText>
      </w:r>
      <w:r>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Cavender</w:t>
      </w:r>
      <w:proofErr w:type="spellEnd"/>
      <w:r w:rsidR="002A40DD">
        <w:rPr>
          <w:rFonts w:ascii="Calibri" w:eastAsia="Times New Roman" w:hAnsi="Calibri" w:cs="Calibri"/>
        </w:rPr>
        <w:t>-Bares</w:t>
      </w:r>
      <w:r w:rsidR="002A40DD">
        <w:rPr>
          <w:rFonts w:ascii="Calibri" w:eastAsia="Times New Roman" w:hAnsi="Calibri" w:cs="Calibri"/>
          <w:i/>
          <w:iCs/>
        </w:rPr>
        <w:t xml:space="preserve"> et al</w:t>
      </w:r>
      <w:r w:rsidR="002A40DD">
        <w:rPr>
          <w:rFonts w:ascii="Calibri" w:eastAsia="Times New Roman" w:hAnsi="Calibri" w:cs="Calibri"/>
        </w:rPr>
        <w:t>, 2009; Emerson and Gillespie, 2008; Webb</w:t>
      </w:r>
      <w:r w:rsidR="002A40DD">
        <w:rPr>
          <w:rFonts w:ascii="Calibri" w:eastAsia="Times New Roman" w:hAnsi="Calibri" w:cs="Calibri"/>
          <w:i/>
          <w:iCs/>
        </w:rPr>
        <w:t xml:space="preserve"> et al</w:t>
      </w:r>
      <w:r w:rsidR="002A40DD">
        <w:rPr>
          <w:rFonts w:ascii="Calibri" w:eastAsia="Times New Roman" w:hAnsi="Calibri" w:cs="Calibri"/>
        </w:rPr>
        <w:t>,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A0655">
        <w:rPr>
          <w:rFonts w:ascii="Times New Roman" w:hAnsi="Times New Roman" w:cs="Times New Roman"/>
          <w:sz w:val="24"/>
          <w:szCs w:val="24"/>
        </w:rPr>
        <w:t xml:space="preserve">When compared to </w:t>
      </w:r>
      <w:r w:rsidR="00956C0F">
        <w:rPr>
          <w:rFonts w:ascii="Times New Roman" w:hAnsi="Times New Roman" w:cs="Times New Roman"/>
          <w:sz w:val="24"/>
          <w:szCs w:val="24"/>
        </w:rPr>
        <w:t>null communities drawn from a broader</w:t>
      </w:r>
      <w:r w:rsidR="009A0655">
        <w:rPr>
          <w:rFonts w:ascii="Times New Roman" w:hAnsi="Times New Roman" w:cs="Times New Roman"/>
          <w:sz w:val="24"/>
          <w:szCs w:val="24"/>
        </w:rPr>
        <w:t xml:space="preserve"> species pool, the degree of phylogenetic clustering</w:t>
      </w:r>
      <w:r w:rsidR="00956C0F">
        <w:rPr>
          <w:rFonts w:ascii="Times New Roman" w:hAnsi="Times New Roman" w:cs="Times New Roman"/>
          <w:sz w:val="24"/>
          <w:szCs w:val="24"/>
        </w:rPr>
        <w:t xml:space="preserve"> (more related than random)</w:t>
      </w:r>
      <w:r w:rsidR="009A0655">
        <w:rPr>
          <w:rFonts w:ascii="Times New Roman" w:hAnsi="Times New Roman" w:cs="Times New Roman"/>
          <w:sz w:val="24"/>
          <w:szCs w:val="24"/>
        </w:rPr>
        <w:t xml:space="preserve"> or over-dispersion </w:t>
      </w:r>
      <w:r w:rsidR="00956C0F">
        <w:rPr>
          <w:rFonts w:ascii="Times New Roman" w:hAnsi="Times New Roman" w:cs="Times New Roman"/>
          <w:sz w:val="24"/>
          <w:szCs w:val="24"/>
        </w:rPr>
        <w:t>(less related than random</w:t>
      </w:r>
      <w:r w:rsidR="009A0655">
        <w:rPr>
          <w:rFonts w:ascii="Times New Roman" w:hAnsi="Times New Roman" w:cs="Times New Roman"/>
          <w:sz w:val="24"/>
          <w:szCs w:val="24"/>
        </w:rPr>
        <w:t xml:space="preserve">) can be used to infer the roles of environmental and biotic filters in shaping community assembly.  This phylogenetic approach has been extended to compare relatedness among communities along environmental gradients </w:t>
      </w:r>
      <w:r w:rsidR="00EC3215">
        <w:rPr>
          <w:rFonts w:ascii="Times New Roman" w:hAnsi="Times New Roman" w:cs="Times New Roman"/>
          <w:sz w:val="24"/>
          <w:szCs w:val="24"/>
        </w:rPr>
        <w:fldChar w:fldCharType="begin"/>
      </w:r>
      <w:r w:rsidR="00EC3215">
        <w:rPr>
          <w:rFonts w:ascii="Times New Roman" w:hAnsi="Times New Roman" w:cs="Times New Roman"/>
          <w:sz w:val="24"/>
          <w:szCs w:val="24"/>
        </w:rPr>
        <w:instrText>ADDIN RW.CITE{{765 Bryant,J.A. 2008; 997 Parra,Juan L. 2010; 993 Machac,Antonin 2011}}</w:instrText>
      </w:r>
      <w:r w:rsidR="00EC3215">
        <w:rPr>
          <w:rFonts w:ascii="Times New Roman" w:hAnsi="Times New Roman" w:cs="Times New Roman"/>
          <w:sz w:val="24"/>
          <w:szCs w:val="24"/>
        </w:rPr>
        <w:fldChar w:fldCharType="separate"/>
      </w:r>
      <w:r w:rsidR="002A40DD">
        <w:rPr>
          <w:rFonts w:ascii="Calibri" w:eastAsia="Times New Roman" w:hAnsi="Calibri" w:cs="Calibri"/>
        </w:rPr>
        <w:t>(Bryant</w:t>
      </w:r>
      <w:r w:rsidR="002A40DD">
        <w:rPr>
          <w:rFonts w:ascii="Calibri" w:eastAsia="Times New Roman" w:hAnsi="Calibri" w:cs="Calibri"/>
          <w:i/>
          <w:iCs/>
        </w:rPr>
        <w:t xml:space="preserve"> et al</w:t>
      </w:r>
      <w:r w:rsidR="002A40DD">
        <w:rPr>
          <w:rFonts w:ascii="Calibri" w:eastAsia="Times New Roman" w:hAnsi="Calibri" w:cs="Calibri"/>
        </w:rPr>
        <w:t xml:space="preserve">, 2008; </w:t>
      </w:r>
      <w:proofErr w:type="spellStart"/>
      <w:r w:rsidR="002A40DD">
        <w:rPr>
          <w:rFonts w:ascii="Calibri" w:eastAsia="Times New Roman" w:hAnsi="Calibri" w:cs="Calibri"/>
        </w:rPr>
        <w:t>Machac</w:t>
      </w:r>
      <w:proofErr w:type="spellEnd"/>
      <w:r w:rsidR="002A40DD">
        <w:rPr>
          <w:rFonts w:ascii="Calibri" w:eastAsia="Times New Roman" w:hAnsi="Calibri" w:cs="Calibri"/>
          <w:i/>
          <w:iCs/>
        </w:rPr>
        <w:t xml:space="preserve"> et al</w:t>
      </w:r>
      <w:r w:rsidR="002A40DD">
        <w:rPr>
          <w:rFonts w:ascii="Calibri" w:eastAsia="Times New Roman" w:hAnsi="Calibri" w:cs="Calibri"/>
        </w:rPr>
        <w:t>, 2011; Parra</w:t>
      </w:r>
      <w:r w:rsidR="002A40DD">
        <w:rPr>
          <w:rFonts w:ascii="Calibri" w:eastAsia="Times New Roman" w:hAnsi="Calibri" w:cs="Calibri"/>
          <w:i/>
          <w:iCs/>
        </w:rPr>
        <w:t xml:space="preserve"> et al</w:t>
      </w:r>
      <w:r w:rsidR="002A40DD">
        <w:rPr>
          <w:rFonts w:ascii="Calibri" w:eastAsia="Times New Roman" w:hAnsi="Calibri" w:cs="Calibri"/>
        </w:rPr>
        <w:t>, 2010)</w:t>
      </w:r>
      <w:r w:rsidR="00EC3215">
        <w:rPr>
          <w:rFonts w:ascii="Times New Roman" w:hAnsi="Times New Roman" w:cs="Times New Roman"/>
          <w:sz w:val="24"/>
          <w:szCs w:val="24"/>
        </w:rPr>
        <w:fldChar w:fldCharType="end"/>
      </w:r>
      <w:r w:rsidR="00EC3215">
        <w:rPr>
          <w:rFonts w:ascii="Times New Roman" w:hAnsi="Times New Roman" w:cs="Times New Roman"/>
          <w:sz w:val="24"/>
          <w:szCs w:val="24"/>
        </w:rPr>
        <w:t xml:space="preserve"> </w:t>
      </w:r>
      <w:r w:rsidR="009A0655">
        <w:rPr>
          <w:rFonts w:ascii="Times New Roman" w:hAnsi="Times New Roman" w:cs="Times New Roman"/>
          <w:sz w:val="24"/>
          <w:szCs w:val="24"/>
        </w:rPr>
        <w:t>or across discrete habitat types</w:t>
      </w:r>
      <w:r w:rsidR="00EC3215">
        <w:rPr>
          <w:rFonts w:ascii="Times New Roman" w:hAnsi="Times New Roman" w:cs="Times New Roman"/>
          <w:sz w:val="24"/>
          <w:szCs w:val="24"/>
        </w:rPr>
        <w:t xml:space="preserve"> </w:t>
      </w:r>
      <w:r w:rsidR="00EC3215">
        <w:rPr>
          <w:rFonts w:ascii="Times New Roman" w:hAnsi="Times New Roman" w:cs="Times New Roman"/>
          <w:sz w:val="24"/>
          <w:szCs w:val="24"/>
        </w:rPr>
        <w:fldChar w:fldCharType="begin"/>
      </w:r>
      <w:r w:rsidR="00EC3215">
        <w:rPr>
          <w:rFonts w:ascii="Times New Roman" w:hAnsi="Times New Roman" w:cs="Times New Roman"/>
          <w:sz w:val="24"/>
          <w:szCs w:val="24"/>
        </w:rPr>
        <w:instrText>ADDIN RW.CITE{{330 Graham,C.H. 2008; 991 Fine,Paul V.A. 2011}}</w:instrText>
      </w:r>
      <w:r w:rsidR="00EC3215">
        <w:rPr>
          <w:rFonts w:ascii="Times New Roman" w:hAnsi="Times New Roman" w:cs="Times New Roman"/>
          <w:sz w:val="24"/>
          <w:szCs w:val="24"/>
        </w:rPr>
        <w:fldChar w:fldCharType="separate"/>
      </w:r>
      <w:r w:rsidR="002A40DD">
        <w:rPr>
          <w:rFonts w:ascii="Calibri" w:eastAsia="Times New Roman" w:hAnsi="Calibri" w:cs="Calibri"/>
        </w:rPr>
        <w:t xml:space="preserve">(Fine and </w:t>
      </w:r>
      <w:proofErr w:type="spellStart"/>
      <w:r w:rsidR="002A40DD">
        <w:rPr>
          <w:rFonts w:ascii="Calibri" w:eastAsia="Times New Roman" w:hAnsi="Calibri" w:cs="Calibri"/>
        </w:rPr>
        <w:t>Kembel</w:t>
      </w:r>
      <w:proofErr w:type="spellEnd"/>
      <w:r w:rsidR="002A40DD">
        <w:rPr>
          <w:rFonts w:ascii="Calibri" w:eastAsia="Times New Roman" w:hAnsi="Calibri" w:cs="Calibri"/>
        </w:rPr>
        <w:t>, 2011; Graham and Fine, 2008)</w:t>
      </w:r>
      <w:r w:rsidR="00EC3215">
        <w:rPr>
          <w:rFonts w:ascii="Times New Roman" w:hAnsi="Times New Roman" w:cs="Times New Roman"/>
          <w:sz w:val="24"/>
          <w:szCs w:val="24"/>
        </w:rPr>
        <w:fldChar w:fldCharType="end"/>
      </w:r>
      <w:r w:rsidR="009A0655">
        <w:rPr>
          <w:rFonts w:ascii="Times New Roman" w:hAnsi="Times New Roman" w:cs="Times New Roman"/>
          <w:sz w:val="24"/>
          <w:szCs w:val="24"/>
        </w:rPr>
        <w:t xml:space="preserve">, as well as the scale-dependency </w:t>
      </w:r>
      <w:r w:rsidR="007371CA">
        <w:rPr>
          <w:rFonts w:ascii="Times New Roman" w:hAnsi="Times New Roman" w:cs="Times New Roman"/>
          <w:sz w:val="24"/>
          <w:szCs w:val="24"/>
        </w:rPr>
        <w:t>of phylogenetic relationships</w:t>
      </w:r>
      <w:r w:rsidR="00EC3215">
        <w:rPr>
          <w:rFonts w:ascii="Times New Roman" w:hAnsi="Times New Roman" w:cs="Times New Roman"/>
          <w:sz w:val="24"/>
          <w:szCs w:val="24"/>
        </w:rPr>
        <w:t xml:space="preserve"> </w:t>
      </w:r>
      <w:r w:rsidR="00EC3215">
        <w:rPr>
          <w:rFonts w:ascii="Times New Roman" w:hAnsi="Times New Roman" w:cs="Times New Roman"/>
          <w:sz w:val="24"/>
          <w:szCs w:val="24"/>
        </w:rPr>
        <w:fldChar w:fldCharType="begin"/>
      </w:r>
      <w:r w:rsidR="00EC3215">
        <w:rPr>
          <w:rFonts w:ascii="Times New Roman" w:hAnsi="Times New Roman" w:cs="Times New Roman"/>
          <w:sz w:val="24"/>
          <w:szCs w:val="24"/>
        </w:rPr>
        <w:instrText>ADDIN RW.CITE{{771 Cavender-Bares,Jeannine 2006; 329 Swenson,N.G. 2006; 1003 Vamosi,S.M. 2009}}</w:instrText>
      </w:r>
      <w:r w:rsidR="00EC3215">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Cavender</w:t>
      </w:r>
      <w:proofErr w:type="spellEnd"/>
      <w:r w:rsidR="002A40DD">
        <w:rPr>
          <w:rFonts w:ascii="Calibri" w:eastAsia="Times New Roman" w:hAnsi="Calibri" w:cs="Calibri"/>
        </w:rPr>
        <w:t>-Bares</w:t>
      </w:r>
      <w:r w:rsidR="002A40DD">
        <w:rPr>
          <w:rFonts w:ascii="Calibri" w:eastAsia="Times New Roman" w:hAnsi="Calibri" w:cs="Calibri"/>
          <w:i/>
          <w:iCs/>
        </w:rPr>
        <w:t xml:space="preserve"> et al</w:t>
      </w:r>
      <w:r w:rsidR="002A40DD">
        <w:rPr>
          <w:rFonts w:ascii="Calibri" w:eastAsia="Times New Roman" w:hAnsi="Calibri" w:cs="Calibri"/>
        </w:rPr>
        <w:t>, 2006; Swenson</w:t>
      </w:r>
      <w:r w:rsidR="002A40DD">
        <w:rPr>
          <w:rFonts w:ascii="Calibri" w:eastAsia="Times New Roman" w:hAnsi="Calibri" w:cs="Calibri"/>
          <w:i/>
          <w:iCs/>
        </w:rPr>
        <w:t xml:space="preserve"> et al</w:t>
      </w:r>
      <w:r w:rsidR="002A40DD">
        <w:rPr>
          <w:rFonts w:ascii="Calibri" w:eastAsia="Times New Roman" w:hAnsi="Calibri" w:cs="Calibri"/>
        </w:rPr>
        <w:t xml:space="preserve">, 2006; </w:t>
      </w:r>
      <w:proofErr w:type="spellStart"/>
      <w:r w:rsidR="002A40DD">
        <w:rPr>
          <w:rFonts w:ascii="Calibri" w:eastAsia="Times New Roman" w:hAnsi="Calibri" w:cs="Calibri"/>
        </w:rPr>
        <w:t>Vamosi</w:t>
      </w:r>
      <w:proofErr w:type="spellEnd"/>
      <w:r w:rsidR="002A40DD">
        <w:rPr>
          <w:rFonts w:ascii="Calibri" w:eastAsia="Times New Roman" w:hAnsi="Calibri" w:cs="Calibri"/>
          <w:i/>
          <w:iCs/>
        </w:rPr>
        <w:t xml:space="preserve"> et al</w:t>
      </w:r>
      <w:r w:rsidR="002A40DD">
        <w:rPr>
          <w:rFonts w:ascii="Calibri" w:eastAsia="Times New Roman" w:hAnsi="Calibri" w:cs="Calibri"/>
        </w:rPr>
        <w:t>, 2009)</w:t>
      </w:r>
      <w:r w:rsidR="00EC3215">
        <w:rPr>
          <w:rFonts w:ascii="Times New Roman" w:hAnsi="Times New Roman" w:cs="Times New Roman"/>
          <w:sz w:val="24"/>
          <w:szCs w:val="24"/>
        </w:rPr>
        <w:fldChar w:fldCharType="end"/>
      </w:r>
      <w:r w:rsidR="002F46AA">
        <w:rPr>
          <w:rFonts w:ascii="Times New Roman" w:hAnsi="Times New Roman" w:cs="Times New Roman"/>
          <w:sz w:val="24"/>
          <w:szCs w:val="24"/>
        </w:rPr>
        <w:t xml:space="preserve">.  Such approaches </w:t>
      </w:r>
      <w:r w:rsidR="00956C0F">
        <w:rPr>
          <w:rFonts w:ascii="Times New Roman" w:hAnsi="Times New Roman" w:cs="Times New Roman"/>
          <w:sz w:val="24"/>
          <w:szCs w:val="24"/>
        </w:rPr>
        <w:t>can reveal</w:t>
      </w:r>
      <w:r w:rsidR="007371CA">
        <w:rPr>
          <w:rFonts w:ascii="Times New Roman" w:hAnsi="Times New Roman" w:cs="Times New Roman"/>
          <w:sz w:val="24"/>
          <w:szCs w:val="24"/>
        </w:rPr>
        <w:t xml:space="preserve"> the roles of environmental variation, habitat heterogeneity </w:t>
      </w:r>
      <w:r w:rsidR="007371CA">
        <w:rPr>
          <w:rFonts w:ascii="Times New Roman" w:hAnsi="Times New Roman" w:cs="Times New Roman"/>
          <w:sz w:val="24"/>
          <w:szCs w:val="24"/>
        </w:rPr>
        <w:fldChar w:fldCharType="begin"/>
      </w:r>
      <w:r w:rsidR="007371CA">
        <w:rPr>
          <w:rFonts w:ascii="Times New Roman" w:hAnsi="Times New Roman" w:cs="Times New Roman"/>
          <w:sz w:val="24"/>
          <w:szCs w:val="24"/>
        </w:rPr>
        <w:instrText>ADDIN RW.CITE{{1000 Willis,Charles G. 2010}}</w:instrText>
      </w:r>
      <w:r w:rsidR="007371CA">
        <w:rPr>
          <w:rFonts w:ascii="Times New Roman" w:hAnsi="Times New Roman" w:cs="Times New Roman"/>
          <w:sz w:val="24"/>
          <w:szCs w:val="24"/>
        </w:rPr>
        <w:fldChar w:fldCharType="separate"/>
      </w:r>
      <w:r w:rsidR="002A40DD">
        <w:rPr>
          <w:rFonts w:ascii="Calibri" w:eastAsia="Times New Roman" w:hAnsi="Calibri" w:cs="Calibri"/>
        </w:rPr>
        <w:t>(Willis</w:t>
      </w:r>
      <w:r w:rsidR="002A40DD">
        <w:rPr>
          <w:rFonts w:ascii="Calibri" w:eastAsia="Times New Roman" w:hAnsi="Calibri" w:cs="Calibri"/>
          <w:i/>
          <w:iCs/>
        </w:rPr>
        <w:t xml:space="preserve"> et al</w:t>
      </w:r>
      <w:r w:rsidR="002A40DD">
        <w:rPr>
          <w:rFonts w:ascii="Calibri" w:eastAsia="Times New Roman" w:hAnsi="Calibri" w:cs="Calibri"/>
        </w:rPr>
        <w:t>, 2010)</w:t>
      </w:r>
      <w:r w:rsidR="007371CA">
        <w:rPr>
          <w:rFonts w:ascii="Times New Roman" w:hAnsi="Times New Roman" w:cs="Times New Roman"/>
          <w:sz w:val="24"/>
          <w:szCs w:val="24"/>
        </w:rPr>
        <w:fldChar w:fldCharType="end"/>
      </w:r>
      <w:r w:rsidR="007371CA">
        <w:rPr>
          <w:rFonts w:ascii="Times New Roman" w:hAnsi="Times New Roman" w:cs="Times New Roman"/>
          <w:sz w:val="24"/>
          <w:szCs w:val="24"/>
        </w:rPr>
        <w:t xml:space="preserve"> and biogeographic discontinuities </w:t>
      </w:r>
      <w:r w:rsidR="007371CA">
        <w:rPr>
          <w:rFonts w:ascii="Times New Roman" w:hAnsi="Times New Roman" w:cs="Times New Roman"/>
          <w:sz w:val="24"/>
          <w:szCs w:val="24"/>
        </w:rPr>
        <w:fldChar w:fldCharType="begin"/>
      </w:r>
      <w:r w:rsidR="007371CA">
        <w:rPr>
          <w:rFonts w:ascii="Times New Roman" w:hAnsi="Times New Roman" w:cs="Times New Roman"/>
          <w:sz w:val="24"/>
          <w:szCs w:val="24"/>
        </w:rPr>
        <w:instrText>ADDIN RW.CITE{{672 Crisp,M.D. 2009}}</w:instrText>
      </w:r>
      <w:r w:rsidR="007371CA">
        <w:rPr>
          <w:rFonts w:ascii="Times New Roman" w:hAnsi="Times New Roman" w:cs="Times New Roman"/>
          <w:sz w:val="24"/>
          <w:szCs w:val="24"/>
        </w:rPr>
        <w:fldChar w:fldCharType="separate"/>
      </w:r>
      <w:r w:rsidR="002A40DD">
        <w:rPr>
          <w:rFonts w:ascii="Calibri" w:eastAsia="Times New Roman" w:hAnsi="Calibri" w:cs="Calibri"/>
        </w:rPr>
        <w:t>(Crisp</w:t>
      </w:r>
      <w:r w:rsidR="002A40DD">
        <w:rPr>
          <w:rFonts w:ascii="Calibri" w:eastAsia="Times New Roman" w:hAnsi="Calibri" w:cs="Calibri"/>
          <w:i/>
          <w:iCs/>
        </w:rPr>
        <w:t xml:space="preserve"> et al</w:t>
      </w:r>
      <w:r w:rsidR="002A40DD">
        <w:rPr>
          <w:rFonts w:ascii="Calibri" w:eastAsia="Times New Roman" w:hAnsi="Calibri" w:cs="Calibri"/>
        </w:rPr>
        <w:t>, 2009)</w:t>
      </w:r>
      <w:r w:rsidR="007371CA">
        <w:rPr>
          <w:rFonts w:ascii="Times New Roman" w:hAnsi="Times New Roman" w:cs="Times New Roman"/>
          <w:sz w:val="24"/>
          <w:szCs w:val="24"/>
        </w:rPr>
        <w:fldChar w:fldCharType="end"/>
      </w:r>
      <w:r w:rsidR="007371CA">
        <w:rPr>
          <w:rFonts w:ascii="Times New Roman" w:hAnsi="Times New Roman" w:cs="Times New Roman"/>
          <w:sz w:val="24"/>
          <w:szCs w:val="24"/>
        </w:rPr>
        <w:t xml:space="preserve"> in driving community assembly.  Biotic interactions have also been integrated into this framework, primarily by assuming a</w:t>
      </w:r>
      <w:r w:rsidR="00EC3215">
        <w:rPr>
          <w:rFonts w:ascii="Times New Roman" w:hAnsi="Times New Roman" w:cs="Times New Roman"/>
          <w:sz w:val="24"/>
          <w:szCs w:val="24"/>
        </w:rPr>
        <w:t xml:space="preserve"> positive</w:t>
      </w:r>
      <w:r w:rsidR="007371CA">
        <w:rPr>
          <w:rFonts w:ascii="Times New Roman" w:hAnsi="Times New Roman" w:cs="Times New Roman"/>
          <w:sz w:val="24"/>
          <w:szCs w:val="24"/>
        </w:rPr>
        <w:t xml:space="preserve"> link between </w:t>
      </w:r>
      <w:r w:rsidR="00EC3215">
        <w:rPr>
          <w:rFonts w:ascii="Times New Roman" w:hAnsi="Times New Roman" w:cs="Times New Roman"/>
          <w:sz w:val="24"/>
          <w:szCs w:val="24"/>
        </w:rPr>
        <w:t xml:space="preserve">phylogenetic similarity and the intensity of competition and facilitation </w:t>
      </w:r>
      <w:r w:rsidR="00EC3215">
        <w:rPr>
          <w:rFonts w:ascii="Times New Roman" w:hAnsi="Times New Roman" w:cs="Times New Roman"/>
          <w:sz w:val="24"/>
          <w:szCs w:val="24"/>
        </w:rPr>
        <w:fldChar w:fldCharType="begin"/>
      </w:r>
      <w:r w:rsidR="00EC3215">
        <w:rPr>
          <w:rFonts w:ascii="Times New Roman" w:hAnsi="Times New Roman" w:cs="Times New Roman"/>
          <w:sz w:val="24"/>
          <w:szCs w:val="24"/>
        </w:rPr>
        <w:instrText>ADDIN RW.CITE{{729 Cavender-Bares,J. 2004; 219 Verdu,M. 2009}}</w:instrText>
      </w:r>
      <w:r w:rsidR="00EC3215">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Cavender</w:t>
      </w:r>
      <w:proofErr w:type="spellEnd"/>
      <w:r w:rsidR="002A40DD">
        <w:rPr>
          <w:rFonts w:ascii="Calibri" w:eastAsia="Times New Roman" w:hAnsi="Calibri" w:cs="Calibri"/>
        </w:rPr>
        <w:t>-Bares</w:t>
      </w:r>
      <w:r w:rsidR="002A40DD">
        <w:rPr>
          <w:rFonts w:ascii="Calibri" w:eastAsia="Times New Roman" w:hAnsi="Calibri" w:cs="Calibri"/>
          <w:i/>
          <w:iCs/>
        </w:rPr>
        <w:t xml:space="preserve"> et al</w:t>
      </w:r>
      <w:r w:rsidR="002A40DD">
        <w:rPr>
          <w:rFonts w:ascii="Calibri" w:eastAsia="Times New Roman" w:hAnsi="Calibri" w:cs="Calibri"/>
        </w:rPr>
        <w:t xml:space="preserve">, 2004; </w:t>
      </w:r>
      <w:proofErr w:type="spellStart"/>
      <w:r w:rsidR="002A40DD">
        <w:rPr>
          <w:rFonts w:ascii="Calibri" w:eastAsia="Times New Roman" w:hAnsi="Calibri" w:cs="Calibri"/>
        </w:rPr>
        <w:t>Verdu</w:t>
      </w:r>
      <w:proofErr w:type="spellEnd"/>
      <w:r w:rsidR="002A40DD">
        <w:rPr>
          <w:rFonts w:ascii="Calibri" w:eastAsia="Times New Roman" w:hAnsi="Calibri" w:cs="Calibri"/>
          <w:i/>
          <w:iCs/>
        </w:rPr>
        <w:t xml:space="preserve"> et al</w:t>
      </w:r>
      <w:r w:rsidR="002A40DD">
        <w:rPr>
          <w:rFonts w:ascii="Calibri" w:eastAsia="Times New Roman" w:hAnsi="Calibri" w:cs="Calibri"/>
        </w:rPr>
        <w:t>, 2009)</w:t>
      </w:r>
      <w:r w:rsidR="00EC3215">
        <w:rPr>
          <w:rFonts w:ascii="Times New Roman" w:hAnsi="Times New Roman" w:cs="Times New Roman"/>
          <w:sz w:val="24"/>
          <w:szCs w:val="24"/>
        </w:rPr>
        <w:fldChar w:fldCharType="end"/>
      </w:r>
      <w:r w:rsidR="007371CA">
        <w:rPr>
          <w:rFonts w:ascii="Times New Roman" w:hAnsi="Times New Roman" w:cs="Times New Roman"/>
          <w:sz w:val="24"/>
          <w:szCs w:val="24"/>
        </w:rPr>
        <w:t xml:space="preserve">.   However, many plant communities contain one or a few species that structure the rest of the community through highly asymmetrical interactions, termed foundation species </w:t>
      </w:r>
      <w:r w:rsidR="007371CA">
        <w:rPr>
          <w:rFonts w:ascii="Times New Roman" w:hAnsi="Times New Roman" w:cs="Times New Roman"/>
          <w:sz w:val="24"/>
          <w:szCs w:val="24"/>
        </w:rPr>
        <w:fldChar w:fldCharType="begin"/>
      </w:r>
      <w:r w:rsidR="007371CA">
        <w:rPr>
          <w:rFonts w:ascii="Times New Roman" w:hAnsi="Times New Roman" w:cs="Times New Roman"/>
          <w:sz w:val="24"/>
          <w:szCs w:val="24"/>
        </w:rPr>
        <w:instrText>ADDIN RW.CITE{{1005 Ellison,AM 2005}}</w:instrText>
      </w:r>
      <w:r w:rsidR="007371CA">
        <w:rPr>
          <w:rFonts w:ascii="Times New Roman" w:hAnsi="Times New Roman" w:cs="Times New Roman"/>
          <w:sz w:val="24"/>
          <w:szCs w:val="24"/>
        </w:rPr>
        <w:fldChar w:fldCharType="separate"/>
      </w:r>
      <w:r w:rsidR="002A40DD">
        <w:rPr>
          <w:rFonts w:ascii="Calibri" w:eastAsia="Times New Roman" w:hAnsi="Calibri" w:cs="Calibri"/>
        </w:rPr>
        <w:t>(Ellison</w:t>
      </w:r>
      <w:r w:rsidR="002A40DD">
        <w:rPr>
          <w:rFonts w:ascii="Calibri" w:eastAsia="Times New Roman" w:hAnsi="Calibri" w:cs="Calibri"/>
          <w:i/>
          <w:iCs/>
        </w:rPr>
        <w:t xml:space="preserve"> et al</w:t>
      </w:r>
      <w:r w:rsidR="002A40DD">
        <w:rPr>
          <w:rFonts w:ascii="Calibri" w:eastAsia="Times New Roman" w:hAnsi="Calibri" w:cs="Calibri"/>
        </w:rPr>
        <w:t>, 2005)</w:t>
      </w:r>
      <w:r w:rsidR="007371CA">
        <w:rPr>
          <w:rFonts w:ascii="Times New Roman" w:hAnsi="Times New Roman" w:cs="Times New Roman"/>
          <w:sz w:val="24"/>
          <w:szCs w:val="24"/>
        </w:rPr>
        <w:fldChar w:fldCharType="end"/>
      </w:r>
      <w:r w:rsidR="007371CA">
        <w:rPr>
          <w:rFonts w:ascii="Times New Roman" w:hAnsi="Times New Roman" w:cs="Times New Roman"/>
          <w:sz w:val="24"/>
          <w:szCs w:val="24"/>
        </w:rPr>
        <w:t xml:space="preserve">.  The intensity </w:t>
      </w:r>
      <w:r w:rsidR="00943D3C">
        <w:rPr>
          <w:rFonts w:ascii="Times New Roman" w:hAnsi="Times New Roman" w:cs="Times New Roman"/>
          <w:sz w:val="24"/>
          <w:szCs w:val="24"/>
        </w:rPr>
        <w:t>of</w:t>
      </w:r>
      <w:r w:rsidR="007371CA">
        <w:rPr>
          <w:rFonts w:ascii="Times New Roman" w:hAnsi="Times New Roman" w:cs="Times New Roman"/>
          <w:sz w:val="24"/>
          <w:szCs w:val="24"/>
        </w:rPr>
        <w:t xml:space="preserve"> biotic feedbacks on local microclimate or resource availability can be on par with abiotic variation on the scale of kilometers or more </w:t>
      </w:r>
      <w:r w:rsidR="00EC3215">
        <w:rPr>
          <w:rFonts w:ascii="Times New Roman" w:hAnsi="Times New Roman" w:cs="Times New Roman"/>
          <w:sz w:val="24"/>
          <w:szCs w:val="24"/>
        </w:rPr>
        <w:t>e.g.</w:t>
      </w:r>
      <w:r w:rsidR="007371CA">
        <w:rPr>
          <w:rFonts w:ascii="Times New Roman" w:hAnsi="Times New Roman" w:cs="Times New Roman"/>
          <w:sz w:val="24"/>
          <w:szCs w:val="24"/>
        </w:rPr>
        <w:fldChar w:fldCharType="begin"/>
      </w:r>
      <w:r w:rsidR="007371CA">
        <w:rPr>
          <w:rFonts w:ascii="Times New Roman" w:hAnsi="Times New Roman" w:cs="Times New Roman"/>
          <w:sz w:val="24"/>
          <w:szCs w:val="24"/>
        </w:rPr>
        <w:instrText>ADDIN RW.CITE{{782 Suggitt,A.J. 2011}}</w:instrText>
      </w:r>
      <w:r w:rsidR="007371CA">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Suggitt</w:t>
      </w:r>
      <w:proofErr w:type="spellEnd"/>
      <w:r w:rsidR="002A40DD">
        <w:rPr>
          <w:rFonts w:ascii="Calibri" w:eastAsia="Times New Roman" w:hAnsi="Calibri" w:cs="Calibri"/>
          <w:i/>
          <w:iCs/>
        </w:rPr>
        <w:t xml:space="preserve"> et al</w:t>
      </w:r>
      <w:r w:rsidR="002A40DD">
        <w:rPr>
          <w:rFonts w:ascii="Calibri" w:eastAsia="Times New Roman" w:hAnsi="Calibri" w:cs="Calibri"/>
        </w:rPr>
        <w:t>, 2011)</w:t>
      </w:r>
      <w:r w:rsidR="007371CA">
        <w:rPr>
          <w:rFonts w:ascii="Times New Roman" w:hAnsi="Times New Roman" w:cs="Times New Roman"/>
          <w:sz w:val="24"/>
          <w:szCs w:val="24"/>
        </w:rPr>
        <w:fldChar w:fldCharType="end"/>
      </w:r>
      <w:r w:rsidR="007371CA">
        <w:rPr>
          <w:rFonts w:ascii="Times New Roman" w:hAnsi="Times New Roman" w:cs="Times New Roman"/>
          <w:sz w:val="24"/>
          <w:szCs w:val="24"/>
        </w:rPr>
        <w:t xml:space="preserve">, yet the </w:t>
      </w:r>
      <w:r w:rsidR="005C5135">
        <w:rPr>
          <w:rFonts w:ascii="Times New Roman" w:hAnsi="Times New Roman" w:cs="Times New Roman"/>
          <w:sz w:val="24"/>
          <w:szCs w:val="24"/>
        </w:rPr>
        <w:t>effects of foundation species</w:t>
      </w:r>
      <w:r w:rsidR="007371CA">
        <w:rPr>
          <w:rFonts w:ascii="Times New Roman" w:hAnsi="Times New Roman" w:cs="Times New Roman"/>
          <w:sz w:val="24"/>
          <w:szCs w:val="24"/>
        </w:rPr>
        <w:t xml:space="preserve"> on phylogenetic community structure (PCS) have yet to be explored.</w:t>
      </w:r>
    </w:p>
    <w:p w:rsidR="00E8532E" w:rsidRDefault="005C5135" w:rsidP="007371CA">
      <w:pPr>
        <w:spacing w:line="480" w:lineRule="auto"/>
        <w:rPr>
          <w:rFonts w:ascii="Times New Roman" w:hAnsi="Times New Roman" w:cs="Times New Roman"/>
          <w:sz w:val="24"/>
          <w:szCs w:val="24"/>
        </w:rPr>
      </w:pPr>
      <w:r>
        <w:rPr>
          <w:rFonts w:ascii="Times New Roman" w:hAnsi="Times New Roman" w:cs="Times New Roman"/>
          <w:sz w:val="24"/>
          <w:szCs w:val="24"/>
        </w:rPr>
        <w:tab/>
      </w:r>
      <w:r w:rsidR="00C4590D">
        <w:rPr>
          <w:rFonts w:ascii="Times New Roman" w:hAnsi="Times New Roman" w:cs="Times New Roman"/>
          <w:sz w:val="24"/>
          <w:szCs w:val="24"/>
        </w:rPr>
        <w:t>In the simplest sense, f</w:t>
      </w:r>
      <w:r w:rsidR="007371CA">
        <w:rPr>
          <w:rFonts w:ascii="Times New Roman" w:hAnsi="Times New Roman" w:cs="Times New Roman"/>
          <w:sz w:val="24"/>
          <w:szCs w:val="24"/>
        </w:rPr>
        <w:t xml:space="preserve">oundation species </w:t>
      </w:r>
      <w:r w:rsidR="00C4590D">
        <w:rPr>
          <w:rFonts w:ascii="Times New Roman" w:hAnsi="Times New Roman" w:cs="Times New Roman"/>
          <w:sz w:val="24"/>
          <w:szCs w:val="24"/>
        </w:rPr>
        <w:t xml:space="preserve">can </w:t>
      </w:r>
      <w:r>
        <w:rPr>
          <w:rFonts w:ascii="Times New Roman" w:hAnsi="Times New Roman" w:cs="Times New Roman"/>
          <w:sz w:val="24"/>
          <w:szCs w:val="24"/>
        </w:rPr>
        <w:t xml:space="preserve">influence the rest of the community by </w:t>
      </w:r>
      <w:r w:rsidR="00956C0F">
        <w:rPr>
          <w:rFonts w:ascii="Times New Roman" w:hAnsi="Times New Roman" w:cs="Times New Roman"/>
          <w:sz w:val="24"/>
          <w:szCs w:val="24"/>
        </w:rPr>
        <w:t>expanding or contracting</w:t>
      </w:r>
      <w:r w:rsidR="007371CA">
        <w:rPr>
          <w:rFonts w:ascii="Times New Roman" w:hAnsi="Times New Roman" w:cs="Times New Roman"/>
          <w:sz w:val="24"/>
          <w:szCs w:val="24"/>
        </w:rPr>
        <w:t xml:space="preserve"> local environmental filters</w:t>
      </w:r>
      <w:r>
        <w:rPr>
          <w:rFonts w:ascii="Times New Roman" w:hAnsi="Times New Roman" w:cs="Times New Roman"/>
          <w:sz w:val="24"/>
          <w:szCs w:val="24"/>
        </w:rPr>
        <w:t>, which can both enhance or reduce</w:t>
      </w:r>
      <w:r w:rsidR="007371CA">
        <w:rPr>
          <w:rFonts w:ascii="Times New Roman" w:hAnsi="Times New Roman" w:cs="Times New Roman"/>
          <w:sz w:val="24"/>
          <w:szCs w:val="24"/>
        </w:rPr>
        <w:t xml:space="preserve"> habitat </w:t>
      </w:r>
      <w:r w:rsidR="007371CA">
        <w:rPr>
          <w:rFonts w:ascii="Times New Roman" w:hAnsi="Times New Roman" w:cs="Times New Roman"/>
          <w:sz w:val="24"/>
          <w:szCs w:val="24"/>
        </w:rPr>
        <w:lastRenderedPageBreak/>
        <w:t xml:space="preserve">suitability for other species.  </w:t>
      </w:r>
      <w:r>
        <w:rPr>
          <w:rFonts w:ascii="Times New Roman" w:hAnsi="Times New Roman" w:cs="Times New Roman"/>
          <w:sz w:val="24"/>
          <w:szCs w:val="24"/>
        </w:rPr>
        <w:t>Facilitation can be though</w:t>
      </w:r>
      <w:r w:rsidR="00E8532E">
        <w:rPr>
          <w:rFonts w:ascii="Times New Roman" w:hAnsi="Times New Roman" w:cs="Times New Roman"/>
          <w:sz w:val="24"/>
          <w:szCs w:val="24"/>
        </w:rPr>
        <w:t>t</w:t>
      </w:r>
      <w:r>
        <w:rPr>
          <w:rFonts w:ascii="Times New Roman" w:hAnsi="Times New Roman" w:cs="Times New Roman"/>
          <w:sz w:val="24"/>
          <w:szCs w:val="24"/>
        </w:rPr>
        <w:t xml:space="preserve"> of as an expansion of local environmental filters</w:t>
      </w:r>
      <w:r w:rsidR="00EC3215">
        <w:rPr>
          <w:rFonts w:ascii="Times New Roman" w:hAnsi="Times New Roman" w:cs="Times New Roman"/>
          <w:sz w:val="24"/>
          <w:szCs w:val="24"/>
        </w:rPr>
        <w:t xml:space="preserve"> (</w:t>
      </w:r>
      <w:proofErr w:type="spellStart"/>
      <w:r w:rsidR="00EC3215">
        <w:rPr>
          <w:rFonts w:ascii="Times New Roman" w:hAnsi="Times New Roman" w:cs="Times New Roman"/>
          <w:sz w:val="24"/>
          <w:szCs w:val="24"/>
        </w:rPr>
        <w:t>Schöb</w:t>
      </w:r>
      <w:proofErr w:type="spellEnd"/>
      <w:r w:rsidR="00EC3215">
        <w:rPr>
          <w:rFonts w:ascii="Times New Roman" w:hAnsi="Times New Roman" w:cs="Times New Roman"/>
          <w:sz w:val="24"/>
          <w:szCs w:val="24"/>
        </w:rPr>
        <w:t xml:space="preserve"> et al. </w:t>
      </w:r>
      <w:proofErr w:type="gramStart"/>
      <w:r w:rsidR="00EC3215" w:rsidRPr="00EC3215">
        <w:rPr>
          <w:rFonts w:ascii="Times New Roman" w:hAnsi="Times New Roman" w:cs="Times New Roman"/>
          <w:i/>
          <w:sz w:val="24"/>
          <w:szCs w:val="24"/>
        </w:rPr>
        <w:t>In press</w:t>
      </w:r>
      <w:r w:rsidR="00EC3215">
        <w:rPr>
          <w:rFonts w:ascii="Times New Roman" w:hAnsi="Times New Roman" w:cs="Times New Roman"/>
          <w:sz w:val="24"/>
          <w:szCs w:val="24"/>
        </w:rPr>
        <w:t>)</w:t>
      </w:r>
      <w:r>
        <w:rPr>
          <w:rFonts w:ascii="Times New Roman" w:hAnsi="Times New Roman" w:cs="Times New Roman"/>
          <w:sz w:val="24"/>
          <w:szCs w:val="24"/>
        </w:rPr>
        <w:t>, in which</w:t>
      </w:r>
      <w:r w:rsidR="007371CA">
        <w:rPr>
          <w:rFonts w:ascii="Times New Roman" w:hAnsi="Times New Roman" w:cs="Times New Roman"/>
          <w:sz w:val="24"/>
          <w:szCs w:val="24"/>
        </w:rPr>
        <w:t xml:space="preserve"> foundation species </w:t>
      </w:r>
      <w:r>
        <w:rPr>
          <w:rFonts w:ascii="Times New Roman" w:hAnsi="Times New Roman" w:cs="Times New Roman"/>
          <w:sz w:val="24"/>
          <w:szCs w:val="24"/>
        </w:rPr>
        <w:t>enhance</w:t>
      </w:r>
      <w:r w:rsidR="007371CA">
        <w:rPr>
          <w:rFonts w:ascii="Times New Roman" w:hAnsi="Times New Roman" w:cs="Times New Roman"/>
          <w:sz w:val="24"/>
          <w:szCs w:val="24"/>
        </w:rPr>
        <w:t xml:space="preserve"> re</w:t>
      </w:r>
      <w:r>
        <w:rPr>
          <w:rFonts w:ascii="Times New Roman" w:hAnsi="Times New Roman" w:cs="Times New Roman"/>
          <w:sz w:val="24"/>
          <w:szCs w:val="24"/>
        </w:rPr>
        <w:t>source availability or reduce</w:t>
      </w:r>
      <w:r w:rsidR="007371CA">
        <w:rPr>
          <w:rFonts w:ascii="Times New Roman" w:hAnsi="Times New Roman" w:cs="Times New Roman"/>
          <w:sz w:val="24"/>
          <w:szCs w:val="24"/>
        </w:rPr>
        <w:t xml:space="preserve"> stress</w:t>
      </w:r>
      <w:r w:rsidR="00E8532E">
        <w:rPr>
          <w:rFonts w:ascii="Times New Roman" w:hAnsi="Times New Roman" w:cs="Times New Roman"/>
          <w:sz w:val="24"/>
          <w:szCs w:val="24"/>
        </w:rPr>
        <w:t xml:space="preserve"> levels</w:t>
      </w:r>
      <w:r w:rsidR="007371CA">
        <w:rPr>
          <w:rFonts w:ascii="Times New Roman" w:hAnsi="Times New Roman" w:cs="Times New Roman"/>
          <w:sz w:val="24"/>
          <w:szCs w:val="24"/>
        </w:rPr>
        <w:t>.</w:t>
      </w:r>
      <w:proofErr w:type="gramEnd"/>
      <w:r w:rsidR="007371CA">
        <w:rPr>
          <w:rFonts w:ascii="Times New Roman" w:hAnsi="Times New Roman" w:cs="Times New Roman"/>
          <w:sz w:val="24"/>
          <w:szCs w:val="24"/>
        </w:rPr>
        <w:t xml:space="preserve">  </w:t>
      </w:r>
      <w:r w:rsidR="00F84DA6">
        <w:rPr>
          <w:rFonts w:ascii="Times New Roman" w:hAnsi="Times New Roman" w:cs="Times New Roman"/>
          <w:sz w:val="24"/>
          <w:szCs w:val="24"/>
        </w:rPr>
        <w:t>Conversely, competitive effects of foundation species shrink the local environmental filt</w:t>
      </w:r>
      <w:r w:rsidR="00956C0F">
        <w:rPr>
          <w:rFonts w:ascii="Times New Roman" w:hAnsi="Times New Roman" w:cs="Times New Roman"/>
          <w:sz w:val="24"/>
          <w:szCs w:val="24"/>
        </w:rPr>
        <w:t>er</w:t>
      </w:r>
      <w:r w:rsidR="00C4590D">
        <w:rPr>
          <w:rFonts w:ascii="Times New Roman" w:hAnsi="Times New Roman" w:cs="Times New Roman"/>
          <w:sz w:val="24"/>
          <w:szCs w:val="24"/>
        </w:rPr>
        <w:t>s by consuming resources</w:t>
      </w:r>
      <w:r w:rsidR="00F84DA6">
        <w:rPr>
          <w:rFonts w:ascii="Times New Roman" w:hAnsi="Times New Roman" w:cs="Times New Roman"/>
          <w:sz w:val="24"/>
          <w:szCs w:val="24"/>
        </w:rPr>
        <w:t>.  Phylogenetic patterns m</w:t>
      </w:r>
      <w:r w:rsidR="00545136">
        <w:rPr>
          <w:rFonts w:ascii="Times New Roman" w:hAnsi="Times New Roman" w:cs="Times New Roman"/>
          <w:sz w:val="24"/>
          <w:szCs w:val="24"/>
        </w:rPr>
        <w:t>ay be useful identifying such</w:t>
      </w:r>
      <w:r w:rsidR="00F84DA6">
        <w:rPr>
          <w:rFonts w:ascii="Times New Roman" w:hAnsi="Times New Roman" w:cs="Times New Roman"/>
          <w:sz w:val="24"/>
          <w:szCs w:val="24"/>
        </w:rPr>
        <w:t xml:space="preserve"> effects of foundation species on environmental filters: i</w:t>
      </w:r>
      <w:r>
        <w:rPr>
          <w:rFonts w:ascii="Times New Roman" w:hAnsi="Times New Roman" w:cs="Times New Roman"/>
          <w:sz w:val="24"/>
          <w:szCs w:val="24"/>
        </w:rPr>
        <w:t xml:space="preserve">f phylogenetic </w:t>
      </w:r>
      <w:r w:rsidR="00E8532E">
        <w:rPr>
          <w:rFonts w:ascii="Times New Roman" w:hAnsi="Times New Roman" w:cs="Times New Roman"/>
          <w:sz w:val="24"/>
          <w:szCs w:val="24"/>
        </w:rPr>
        <w:t xml:space="preserve">niche </w:t>
      </w:r>
      <w:r>
        <w:rPr>
          <w:rFonts w:ascii="Times New Roman" w:hAnsi="Times New Roman" w:cs="Times New Roman"/>
          <w:sz w:val="24"/>
          <w:szCs w:val="24"/>
        </w:rPr>
        <w:t xml:space="preserve">conservatism – the tendency </w:t>
      </w:r>
      <w:r w:rsidR="00672397">
        <w:rPr>
          <w:rFonts w:ascii="Times New Roman" w:hAnsi="Times New Roman" w:cs="Times New Roman"/>
          <w:sz w:val="24"/>
          <w:szCs w:val="24"/>
        </w:rPr>
        <w:t>for closely related taxa to be more ecologically similar than distantly related taxa</w:t>
      </w:r>
      <w:r w:rsidR="00F84DA6">
        <w:rPr>
          <w:rFonts w:ascii="Times New Roman" w:hAnsi="Times New Roman" w:cs="Times New Roman"/>
          <w:sz w:val="24"/>
          <w:szCs w:val="24"/>
        </w:rPr>
        <w:t xml:space="preserve"> </w:t>
      </w:r>
      <w:r w:rsidR="00F84DA6">
        <w:rPr>
          <w:rFonts w:ascii="Times New Roman" w:hAnsi="Times New Roman" w:cs="Times New Roman"/>
          <w:sz w:val="24"/>
          <w:szCs w:val="24"/>
        </w:rPr>
        <w:fldChar w:fldCharType="begin"/>
      </w:r>
      <w:r w:rsidR="00F84DA6">
        <w:rPr>
          <w:rFonts w:ascii="Times New Roman" w:hAnsi="Times New Roman" w:cs="Times New Roman"/>
          <w:sz w:val="24"/>
          <w:szCs w:val="24"/>
        </w:rPr>
        <w:instrText>ADDIN RW.CITE{{570 Wiens,J.J. 2010}}</w:instrText>
      </w:r>
      <w:r w:rsidR="00F84DA6">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Wiens</w:t>
      </w:r>
      <w:proofErr w:type="spellEnd"/>
      <w:r w:rsidR="002A40DD">
        <w:rPr>
          <w:rFonts w:ascii="Calibri" w:eastAsia="Times New Roman" w:hAnsi="Calibri" w:cs="Calibri"/>
          <w:i/>
          <w:iCs/>
        </w:rPr>
        <w:t xml:space="preserve"> et al</w:t>
      </w:r>
      <w:r w:rsidR="002A40DD">
        <w:rPr>
          <w:rFonts w:ascii="Calibri" w:eastAsia="Times New Roman" w:hAnsi="Calibri" w:cs="Calibri"/>
        </w:rPr>
        <w:t>, 2010)</w:t>
      </w:r>
      <w:r w:rsidR="00F84DA6">
        <w:rPr>
          <w:rFonts w:ascii="Times New Roman" w:hAnsi="Times New Roman" w:cs="Times New Roman"/>
          <w:sz w:val="24"/>
          <w:szCs w:val="24"/>
        </w:rPr>
        <w:fldChar w:fldCharType="end"/>
      </w:r>
      <w:r>
        <w:rPr>
          <w:rFonts w:ascii="Times New Roman" w:hAnsi="Times New Roman" w:cs="Times New Roman"/>
          <w:sz w:val="24"/>
          <w:szCs w:val="24"/>
        </w:rPr>
        <w:t xml:space="preserve"> – plays a role in </w:t>
      </w:r>
      <w:r w:rsidR="00E8532E">
        <w:rPr>
          <w:rFonts w:ascii="Times New Roman" w:hAnsi="Times New Roman" w:cs="Times New Roman"/>
          <w:sz w:val="24"/>
          <w:szCs w:val="24"/>
        </w:rPr>
        <w:t>resource requirements or stress tolerance</w:t>
      </w:r>
      <w:r>
        <w:rPr>
          <w:rFonts w:ascii="Times New Roman" w:hAnsi="Times New Roman" w:cs="Times New Roman"/>
          <w:sz w:val="24"/>
          <w:szCs w:val="24"/>
        </w:rPr>
        <w:t xml:space="preserve">, </w:t>
      </w:r>
      <w:r w:rsidR="00956C0F">
        <w:rPr>
          <w:rFonts w:ascii="Times New Roman" w:hAnsi="Times New Roman" w:cs="Times New Roman"/>
          <w:sz w:val="24"/>
          <w:szCs w:val="24"/>
        </w:rPr>
        <w:t xml:space="preserve">facilitation by foundation species should lead to an increase in phylogenetic dispersion while competitive effects </w:t>
      </w:r>
      <w:r w:rsidR="00545136">
        <w:rPr>
          <w:rFonts w:ascii="Times New Roman" w:hAnsi="Times New Roman" w:cs="Times New Roman"/>
          <w:sz w:val="24"/>
          <w:szCs w:val="24"/>
        </w:rPr>
        <w:t xml:space="preserve">of foundation species </w:t>
      </w:r>
      <w:r w:rsidR="00956C0F">
        <w:rPr>
          <w:rFonts w:ascii="Times New Roman" w:hAnsi="Times New Roman" w:cs="Times New Roman"/>
          <w:sz w:val="24"/>
          <w:szCs w:val="24"/>
        </w:rPr>
        <w:t>should lead to increased phylogenetic clustering</w:t>
      </w:r>
      <w:r w:rsidR="00E8532E">
        <w:rPr>
          <w:rFonts w:ascii="Times New Roman" w:hAnsi="Times New Roman" w:cs="Times New Roman"/>
          <w:sz w:val="24"/>
          <w:szCs w:val="24"/>
        </w:rPr>
        <w:t xml:space="preserve">. </w:t>
      </w:r>
      <w:r>
        <w:rPr>
          <w:rFonts w:ascii="Times New Roman" w:hAnsi="Times New Roman" w:cs="Times New Roman"/>
          <w:sz w:val="24"/>
          <w:szCs w:val="24"/>
        </w:rPr>
        <w:t xml:space="preserve"> </w:t>
      </w:r>
      <w:r w:rsidR="00545136">
        <w:rPr>
          <w:rFonts w:ascii="Times New Roman" w:hAnsi="Times New Roman" w:cs="Times New Roman"/>
          <w:sz w:val="24"/>
          <w:szCs w:val="24"/>
        </w:rPr>
        <w:t>These facilitative and competitive effects can also</w:t>
      </w:r>
      <w:r w:rsidR="00672397">
        <w:rPr>
          <w:rFonts w:ascii="Times New Roman" w:hAnsi="Times New Roman" w:cs="Times New Roman"/>
          <w:sz w:val="24"/>
          <w:szCs w:val="24"/>
        </w:rPr>
        <w:t xml:space="preserve"> occur simultaneously</w:t>
      </w:r>
      <w:r w:rsidR="00545136">
        <w:rPr>
          <w:rFonts w:ascii="Times New Roman" w:hAnsi="Times New Roman" w:cs="Times New Roman"/>
          <w:sz w:val="24"/>
          <w:szCs w:val="24"/>
        </w:rPr>
        <w:t>,</w:t>
      </w:r>
      <w:r w:rsidR="00672397">
        <w:rPr>
          <w:rFonts w:ascii="Times New Roman" w:hAnsi="Times New Roman" w:cs="Times New Roman"/>
          <w:sz w:val="24"/>
          <w:szCs w:val="24"/>
        </w:rPr>
        <w:t xml:space="preserve"> </w:t>
      </w:r>
      <w:r w:rsidR="00545136">
        <w:rPr>
          <w:rFonts w:ascii="Times New Roman" w:hAnsi="Times New Roman" w:cs="Times New Roman"/>
          <w:sz w:val="24"/>
          <w:szCs w:val="24"/>
        </w:rPr>
        <w:t xml:space="preserve">their net effect being </w:t>
      </w:r>
      <w:r w:rsidR="004727F1">
        <w:rPr>
          <w:rFonts w:ascii="Times New Roman" w:hAnsi="Times New Roman" w:cs="Times New Roman"/>
          <w:sz w:val="24"/>
          <w:szCs w:val="24"/>
        </w:rPr>
        <w:t xml:space="preserve">the inclusion of some clades and the exclusion of others by </w:t>
      </w:r>
      <w:r w:rsidR="002F46AA">
        <w:rPr>
          <w:rFonts w:ascii="Times New Roman" w:hAnsi="Times New Roman" w:cs="Times New Roman"/>
          <w:sz w:val="24"/>
          <w:szCs w:val="24"/>
        </w:rPr>
        <w:t>foundation species</w:t>
      </w:r>
      <w:r w:rsidR="00672397">
        <w:rPr>
          <w:rFonts w:ascii="Times New Roman" w:hAnsi="Times New Roman" w:cs="Times New Roman"/>
          <w:sz w:val="24"/>
          <w:szCs w:val="24"/>
        </w:rPr>
        <w:t xml:space="preserve">.  A common example </w:t>
      </w:r>
      <w:r w:rsidR="00C4590D">
        <w:rPr>
          <w:rFonts w:ascii="Times New Roman" w:hAnsi="Times New Roman" w:cs="Times New Roman"/>
          <w:sz w:val="24"/>
          <w:szCs w:val="24"/>
        </w:rPr>
        <w:t>is</w:t>
      </w:r>
      <w:r w:rsidR="00672397">
        <w:rPr>
          <w:rFonts w:ascii="Times New Roman" w:hAnsi="Times New Roman" w:cs="Times New Roman"/>
          <w:sz w:val="24"/>
          <w:szCs w:val="24"/>
        </w:rPr>
        <w:t xml:space="preserve"> the facilitation of water-demanding species and competitive exclusion of light-demanding species</w:t>
      </w:r>
      <w:r w:rsidR="00C4590D">
        <w:rPr>
          <w:rFonts w:ascii="Times New Roman" w:hAnsi="Times New Roman" w:cs="Times New Roman"/>
          <w:sz w:val="24"/>
          <w:szCs w:val="24"/>
        </w:rPr>
        <w:t xml:space="preserve"> by larger neighbors in arid environments</w:t>
      </w:r>
      <w:r w:rsidR="00F84DA6">
        <w:rPr>
          <w:rFonts w:ascii="Times New Roman" w:hAnsi="Times New Roman" w:cs="Times New Roman"/>
          <w:sz w:val="24"/>
          <w:szCs w:val="24"/>
        </w:rPr>
        <w:t xml:space="preserve"> </w:t>
      </w:r>
      <w:r w:rsidR="00F84DA6">
        <w:rPr>
          <w:rFonts w:ascii="Times New Roman" w:hAnsi="Times New Roman" w:cs="Times New Roman"/>
          <w:sz w:val="24"/>
          <w:szCs w:val="24"/>
        </w:rPr>
        <w:fldChar w:fldCharType="begin"/>
      </w:r>
      <w:r w:rsidR="00F84DA6">
        <w:rPr>
          <w:rFonts w:ascii="Times New Roman" w:hAnsi="Times New Roman" w:cs="Times New Roman"/>
          <w:sz w:val="24"/>
          <w:szCs w:val="24"/>
        </w:rPr>
        <w:instrText>ADDIN RW.CITE{{260 Holmgren,M. 1997; 730 Butterfield,B.J. 2011}}</w:instrText>
      </w:r>
      <w:r w:rsidR="00F84DA6">
        <w:rPr>
          <w:rFonts w:ascii="Times New Roman" w:hAnsi="Times New Roman" w:cs="Times New Roman"/>
          <w:sz w:val="24"/>
          <w:szCs w:val="24"/>
        </w:rPr>
        <w:fldChar w:fldCharType="separate"/>
      </w:r>
      <w:r w:rsidR="002A40DD">
        <w:rPr>
          <w:rFonts w:ascii="Calibri" w:eastAsia="Times New Roman" w:hAnsi="Calibri" w:cs="Calibri"/>
        </w:rPr>
        <w:t>(Butterfield and Briggs, 2011; Holmgren</w:t>
      </w:r>
      <w:r w:rsidR="002A40DD">
        <w:rPr>
          <w:rFonts w:ascii="Calibri" w:eastAsia="Times New Roman" w:hAnsi="Calibri" w:cs="Calibri"/>
          <w:i/>
          <w:iCs/>
        </w:rPr>
        <w:t xml:space="preserve"> et al</w:t>
      </w:r>
      <w:r w:rsidR="002A40DD">
        <w:rPr>
          <w:rFonts w:ascii="Calibri" w:eastAsia="Times New Roman" w:hAnsi="Calibri" w:cs="Calibri"/>
        </w:rPr>
        <w:t>, 1997)</w:t>
      </w:r>
      <w:r w:rsidR="00F84DA6">
        <w:rPr>
          <w:rFonts w:ascii="Times New Roman" w:hAnsi="Times New Roman" w:cs="Times New Roman"/>
          <w:sz w:val="24"/>
          <w:szCs w:val="24"/>
        </w:rPr>
        <w:fldChar w:fldCharType="end"/>
      </w:r>
      <w:r w:rsidR="00672397">
        <w:rPr>
          <w:rFonts w:ascii="Times New Roman" w:hAnsi="Times New Roman" w:cs="Times New Roman"/>
          <w:sz w:val="24"/>
          <w:szCs w:val="24"/>
        </w:rPr>
        <w:t xml:space="preserve">.  In such cases, </w:t>
      </w:r>
      <w:r w:rsidR="00C4590D">
        <w:rPr>
          <w:rFonts w:ascii="Times New Roman" w:hAnsi="Times New Roman" w:cs="Times New Roman"/>
          <w:sz w:val="24"/>
          <w:szCs w:val="24"/>
        </w:rPr>
        <w:t>certain clades will</w:t>
      </w:r>
      <w:r w:rsidR="00672397">
        <w:rPr>
          <w:rFonts w:ascii="Times New Roman" w:hAnsi="Times New Roman" w:cs="Times New Roman"/>
          <w:sz w:val="24"/>
          <w:szCs w:val="24"/>
        </w:rPr>
        <w:t xml:space="preserve"> only</w:t>
      </w:r>
      <w:r w:rsidR="00C4590D">
        <w:rPr>
          <w:rFonts w:ascii="Times New Roman" w:hAnsi="Times New Roman" w:cs="Times New Roman"/>
          <w:sz w:val="24"/>
          <w:szCs w:val="24"/>
        </w:rPr>
        <w:t xml:space="preserve"> occur</w:t>
      </w:r>
      <w:r w:rsidR="00672397">
        <w:rPr>
          <w:rFonts w:ascii="Times New Roman" w:hAnsi="Times New Roman" w:cs="Times New Roman"/>
          <w:sz w:val="24"/>
          <w:szCs w:val="24"/>
        </w:rPr>
        <w:t xml:space="preserve"> in the presence of foundation species (e.g. water-d</w:t>
      </w:r>
      <w:r w:rsidR="008B704F">
        <w:rPr>
          <w:rFonts w:ascii="Times New Roman" w:hAnsi="Times New Roman" w:cs="Times New Roman"/>
          <w:sz w:val="24"/>
          <w:szCs w:val="24"/>
        </w:rPr>
        <w:t>emanding, shade-tolerant clade</w:t>
      </w:r>
      <w:r w:rsidR="00672397">
        <w:rPr>
          <w:rFonts w:ascii="Times New Roman" w:hAnsi="Times New Roman" w:cs="Times New Roman"/>
          <w:sz w:val="24"/>
          <w:szCs w:val="24"/>
        </w:rPr>
        <w:t>)</w:t>
      </w:r>
      <w:r w:rsidR="008B704F">
        <w:rPr>
          <w:rFonts w:ascii="Times New Roman" w:hAnsi="Times New Roman" w:cs="Times New Roman"/>
          <w:sz w:val="24"/>
          <w:szCs w:val="24"/>
        </w:rPr>
        <w:t xml:space="preserve"> and others only in the unmodified habitat (e.g. light-demanding, drought-tolerant clade).  F</w:t>
      </w:r>
      <w:r w:rsidR="00E8532E">
        <w:rPr>
          <w:rFonts w:ascii="Times New Roman" w:hAnsi="Times New Roman" w:cs="Times New Roman"/>
          <w:sz w:val="24"/>
          <w:szCs w:val="24"/>
        </w:rPr>
        <w:t>ew studies of PCS have focused in on the fine spatial scales necessary to differentiate the</w:t>
      </w:r>
      <w:r w:rsidR="002F46AA">
        <w:rPr>
          <w:rFonts w:ascii="Times New Roman" w:hAnsi="Times New Roman" w:cs="Times New Roman"/>
          <w:sz w:val="24"/>
          <w:szCs w:val="24"/>
        </w:rPr>
        <w:t>se potential</w:t>
      </w:r>
      <w:r w:rsidR="004727F1">
        <w:rPr>
          <w:rFonts w:ascii="Times New Roman" w:hAnsi="Times New Roman" w:cs="Times New Roman"/>
          <w:sz w:val="24"/>
          <w:szCs w:val="24"/>
        </w:rPr>
        <w:t xml:space="preserve"> effects of foundation species</w:t>
      </w:r>
      <w:r w:rsidR="00C4590D">
        <w:rPr>
          <w:rFonts w:ascii="Times New Roman" w:hAnsi="Times New Roman" w:cs="Times New Roman"/>
          <w:sz w:val="24"/>
          <w:szCs w:val="24"/>
        </w:rPr>
        <w:t xml:space="preserve"> </w:t>
      </w:r>
      <w:r w:rsidR="00E8532E">
        <w:rPr>
          <w:rFonts w:ascii="Times New Roman" w:hAnsi="Times New Roman" w:cs="Times New Roman"/>
          <w:sz w:val="24"/>
          <w:szCs w:val="24"/>
        </w:rPr>
        <w:t xml:space="preserve">or </w:t>
      </w:r>
      <w:proofErr w:type="spellStart"/>
      <w:r w:rsidR="00E8532E">
        <w:rPr>
          <w:rFonts w:ascii="Times New Roman" w:hAnsi="Times New Roman" w:cs="Times New Roman"/>
          <w:sz w:val="24"/>
          <w:szCs w:val="24"/>
        </w:rPr>
        <w:t>microenvironmenta</w:t>
      </w:r>
      <w:r w:rsidR="00C4590D">
        <w:rPr>
          <w:rFonts w:ascii="Times New Roman" w:hAnsi="Times New Roman" w:cs="Times New Roman"/>
          <w:sz w:val="24"/>
          <w:szCs w:val="24"/>
        </w:rPr>
        <w:t>l</w:t>
      </w:r>
      <w:proofErr w:type="spellEnd"/>
      <w:r w:rsidR="00C4590D">
        <w:rPr>
          <w:rFonts w:ascii="Times New Roman" w:hAnsi="Times New Roman" w:cs="Times New Roman"/>
          <w:sz w:val="24"/>
          <w:szCs w:val="24"/>
        </w:rPr>
        <w:t xml:space="preserve"> </w:t>
      </w:r>
      <w:r w:rsidR="004727F1">
        <w:rPr>
          <w:rFonts w:ascii="Times New Roman" w:hAnsi="Times New Roman" w:cs="Times New Roman"/>
          <w:sz w:val="24"/>
          <w:szCs w:val="24"/>
        </w:rPr>
        <w:t>heterogeneity in general</w:t>
      </w:r>
      <w:r w:rsidR="00E8532E">
        <w:rPr>
          <w:rFonts w:ascii="Times New Roman" w:hAnsi="Times New Roman" w:cs="Times New Roman"/>
          <w:sz w:val="24"/>
          <w:szCs w:val="24"/>
        </w:rPr>
        <w:t xml:space="preserve"> on PCS</w:t>
      </w:r>
      <w:r w:rsidR="00F84DA6">
        <w:rPr>
          <w:rFonts w:ascii="Times New Roman" w:hAnsi="Times New Roman" w:cs="Times New Roman"/>
          <w:sz w:val="24"/>
          <w:szCs w:val="24"/>
        </w:rPr>
        <w:t xml:space="preserve"> (but see e.g. </w:t>
      </w:r>
      <w:r w:rsidR="00F84DA6">
        <w:rPr>
          <w:rFonts w:ascii="Times New Roman" w:hAnsi="Times New Roman" w:cs="Times New Roman"/>
          <w:sz w:val="24"/>
          <w:szCs w:val="24"/>
        </w:rPr>
        <w:fldChar w:fldCharType="begin"/>
      </w:r>
      <w:r w:rsidR="00F84DA6">
        <w:rPr>
          <w:rFonts w:ascii="Times New Roman" w:hAnsi="Times New Roman" w:cs="Times New Roman"/>
          <w:sz w:val="24"/>
          <w:szCs w:val="24"/>
        </w:rPr>
        <w:instrText>ADDIN RW.CITE{{225 Valiente-Banuet,A. 2007}}</w:instrText>
      </w:r>
      <w:r w:rsidR="00F84DA6">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Valiente-Banuet</w:t>
      </w:r>
      <w:proofErr w:type="spellEnd"/>
      <w:r w:rsidR="002A40DD">
        <w:rPr>
          <w:rFonts w:ascii="Calibri" w:eastAsia="Times New Roman" w:hAnsi="Calibri" w:cs="Calibri"/>
        </w:rPr>
        <w:t xml:space="preserve"> and </w:t>
      </w:r>
      <w:proofErr w:type="spellStart"/>
      <w:r w:rsidR="002A40DD">
        <w:rPr>
          <w:rFonts w:ascii="Calibri" w:eastAsia="Times New Roman" w:hAnsi="Calibri" w:cs="Calibri"/>
        </w:rPr>
        <w:t>Verdu</w:t>
      </w:r>
      <w:proofErr w:type="spellEnd"/>
      <w:r w:rsidR="002A40DD">
        <w:rPr>
          <w:rFonts w:ascii="Calibri" w:eastAsia="Times New Roman" w:hAnsi="Calibri" w:cs="Calibri"/>
        </w:rPr>
        <w:t>, 2007)</w:t>
      </w:r>
      <w:r w:rsidR="00F84DA6">
        <w:rPr>
          <w:rFonts w:ascii="Times New Roman" w:hAnsi="Times New Roman" w:cs="Times New Roman"/>
          <w:sz w:val="24"/>
          <w:szCs w:val="24"/>
        </w:rPr>
        <w:fldChar w:fldCharType="end"/>
      </w:r>
      <w:r w:rsidR="00C4590D">
        <w:rPr>
          <w:rFonts w:ascii="Times New Roman" w:hAnsi="Times New Roman" w:cs="Times New Roman"/>
          <w:sz w:val="24"/>
          <w:szCs w:val="24"/>
        </w:rPr>
        <w:t>, potentially obscuring significant</w:t>
      </w:r>
      <w:r w:rsidR="00E8532E">
        <w:rPr>
          <w:rFonts w:ascii="Times New Roman" w:hAnsi="Times New Roman" w:cs="Times New Roman"/>
          <w:sz w:val="24"/>
          <w:szCs w:val="24"/>
        </w:rPr>
        <w:t xml:space="preserve"> variation in community assembly </w:t>
      </w:r>
      <w:r w:rsidR="008B704F">
        <w:rPr>
          <w:rFonts w:ascii="Times New Roman" w:hAnsi="Times New Roman" w:cs="Times New Roman"/>
          <w:sz w:val="24"/>
          <w:szCs w:val="24"/>
        </w:rPr>
        <w:t>patterns</w:t>
      </w:r>
      <w:r w:rsidR="00E8532E">
        <w:rPr>
          <w:rFonts w:ascii="Times New Roman" w:hAnsi="Times New Roman" w:cs="Times New Roman"/>
          <w:sz w:val="24"/>
          <w:szCs w:val="24"/>
        </w:rPr>
        <w:t>.</w:t>
      </w:r>
    </w:p>
    <w:p w:rsidR="00D00860" w:rsidRDefault="00943D3C" w:rsidP="007371CA">
      <w:pPr>
        <w:spacing w:line="480" w:lineRule="auto"/>
        <w:rPr>
          <w:rFonts w:ascii="Times New Roman" w:hAnsi="Times New Roman" w:cs="Times New Roman"/>
          <w:sz w:val="24"/>
          <w:szCs w:val="24"/>
        </w:rPr>
      </w:pPr>
      <w:r>
        <w:rPr>
          <w:rFonts w:ascii="Times New Roman" w:hAnsi="Times New Roman" w:cs="Times New Roman"/>
          <w:sz w:val="24"/>
          <w:szCs w:val="24"/>
        </w:rPr>
        <w:tab/>
      </w:r>
      <w:r w:rsidR="00B97FF2">
        <w:rPr>
          <w:rFonts w:ascii="Times New Roman" w:hAnsi="Times New Roman" w:cs="Times New Roman"/>
          <w:sz w:val="24"/>
          <w:szCs w:val="24"/>
        </w:rPr>
        <w:t xml:space="preserve">One approach to </w:t>
      </w:r>
      <w:r w:rsidR="00E8532E">
        <w:rPr>
          <w:rFonts w:ascii="Times New Roman" w:hAnsi="Times New Roman" w:cs="Times New Roman"/>
          <w:sz w:val="24"/>
          <w:szCs w:val="24"/>
        </w:rPr>
        <w:t xml:space="preserve">studying the effects of </w:t>
      </w:r>
      <w:r w:rsidR="00C4590D">
        <w:rPr>
          <w:rFonts w:ascii="Times New Roman" w:hAnsi="Times New Roman" w:cs="Times New Roman"/>
          <w:sz w:val="24"/>
          <w:szCs w:val="24"/>
        </w:rPr>
        <w:t>foundation species</w:t>
      </w:r>
      <w:r w:rsidR="00E8532E">
        <w:rPr>
          <w:rFonts w:ascii="Times New Roman" w:hAnsi="Times New Roman" w:cs="Times New Roman"/>
          <w:sz w:val="24"/>
          <w:szCs w:val="24"/>
        </w:rPr>
        <w:t xml:space="preserve"> on </w:t>
      </w:r>
      <w:r w:rsidR="005C5135">
        <w:rPr>
          <w:rFonts w:ascii="Times New Roman" w:hAnsi="Times New Roman" w:cs="Times New Roman"/>
          <w:sz w:val="24"/>
          <w:szCs w:val="24"/>
        </w:rPr>
        <w:t xml:space="preserve">community assembly is to </w:t>
      </w:r>
      <w:r w:rsidR="00B97FF2">
        <w:rPr>
          <w:rFonts w:ascii="Times New Roman" w:hAnsi="Times New Roman" w:cs="Times New Roman"/>
          <w:sz w:val="24"/>
          <w:szCs w:val="24"/>
        </w:rPr>
        <w:t xml:space="preserve">decompose </w:t>
      </w:r>
      <w:r w:rsidR="005C5135">
        <w:rPr>
          <w:rFonts w:ascii="Times New Roman" w:hAnsi="Times New Roman" w:cs="Times New Roman"/>
          <w:sz w:val="24"/>
          <w:szCs w:val="24"/>
        </w:rPr>
        <w:t>PCS</w:t>
      </w:r>
      <w:r w:rsidR="00B97FF2">
        <w:rPr>
          <w:rFonts w:ascii="Times New Roman" w:hAnsi="Times New Roman" w:cs="Times New Roman"/>
          <w:sz w:val="24"/>
          <w:szCs w:val="24"/>
        </w:rPr>
        <w:t xml:space="preserve"> into </w:t>
      </w:r>
      <w:r>
        <w:rPr>
          <w:rFonts w:ascii="Times New Roman" w:hAnsi="Times New Roman" w:cs="Times New Roman"/>
          <w:sz w:val="24"/>
          <w:szCs w:val="24"/>
        </w:rPr>
        <w:t>within-microsite (</w:t>
      </w:r>
      <w:r w:rsidR="00E8532E">
        <w:rPr>
          <w:rFonts w:ascii="Times New Roman" w:hAnsi="Times New Roman" w:cs="Times New Roman"/>
          <w:sz w:val="24"/>
          <w:szCs w:val="24"/>
        </w:rPr>
        <w:t>α</w:t>
      </w:r>
      <w:r>
        <w:rPr>
          <w:rFonts w:ascii="Times New Roman" w:hAnsi="Times New Roman" w:cs="Times New Roman"/>
          <w:sz w:val="24"/>
          <w:szCs w:val="24"/>
        </w:rPr>
        <w:t>), between-microsite (</w:t>
      </w:r>
      <w:r w:rsidR="00E8532E">
        <w:rPr>
          <w:rFonts w:ascii="Times New Roman" w:hAnsi="Times New Roman" w:cs="Times New Roman"/>
          <w:sz w:val="24"/>
          <w:szCs w:val="24"/>
        </w:rPr>
        <w:t>β</w:t>
      </w:r>
      <w:r>
        <w:rPr>
          <w:rFonts w:ascii="Times New Roman" w:hAnsi="Times New Roman" w:cs="Times New Roman"/>
          <w:sz w:val="24"/>
          <w:szCs w:val="24"/>
        </w:rPr>
        <w:t>) and total community (</w:t>
      </w:r>
      <w:r w:rsidR="00E8532E">
        <w:rPr>
          <w:rFonts w:ascii="Times New Roman" w:hAnsi="Times New Roman" w:cs="Times New Roman"/>
          <w:sz w:val="24"/>
          <w:szCs w:val="24"/>
        </w:rPr>
        <w:t>γ</w:t>
      </w:r>
      <w:r>
        <w:rPr>
          <w:rFonts w:ascii="Times New Roman" w:hAnsi="Times New Roman" w:cs="Times New Roman"/>
          <w:sz w:val="24"/>
          <w:szCs w:val="24"/>
        </w:rPr>
        <w:t>) variation</w:t>
      </w:r>
      <w:r w:rsidR="004B187C">
        <w:rPr>
          <w:rFonts w:ascii="Times New Roman" w:hAnsi="Times New Roman" w:cs="Times New Roman"/>
          <w:sz w:val="24"/>
          <w:szCs w:val="24"/>
        </w:rPr>
        <w:t xml:space="preserve">.  </w:t>
      </w:r>
      <w:r w:rsidR="00F84DA6">
        <w:rPr>
          <w:rFonts w:ascii="Times New Roman" w:hAnsi="Times New Roman" w:cs="Times New Roman"/>
          <w:sz w:val="24"/>
          <w:szCs w:val="24"/>
        </w:rPr>
        <w:t xml:space="preserve">A rather diverse set of </w:t>
      </w:r>
      <w:r w:rsidR="000E7607">
        <w:rPr>
          <w:rFonts w:ascii="Times New Roman" w:hAnsi="Times New Roman" w:cs="Times New Roman"/>
          <w:sz w:val="24"/>
          <w:szCs w:val="24"/>
        </w:rPr>
        <w:t xml:space="preserve">relationships may exist between these different components of PCS, </w:t>
      </w:r>
      <w:r w:rsidR="00F84DA6">
        <w:rPr>
          <w:rFonts w:ascii="Times New Roman" w:hAnsi="Times New Roman" w:cs="Times New Roman"/>
          <w:sz w:val="24"/>
          <w:szCs w:val="24"/>
        </w:rPr>
        <w:t>unique combinations of which are indicative of different drivers of community assembly</w:t>
      </w:r>
      <w:r w:rsidR="00956C0F">
        <w:rPr>
          <w:rFonts w:ascii="Times New Roman" w:hAnsi="Times New Roman" w:cs="Times New Roman"/>
          <w:sz w:val="24"/>
          <w:szCs w:val="24"/>
        </w:rPr>
        <w:t xml:space="preserve">.  </w:t>
      </w:r>
      <w:r w:rsidR="00C4590D">
        <w:rPr>
          <w:rFonts w:ascii="Times New Roman" w:hAnsi="Times New Roman" w:cs="Times New Roman"/>
          <w:sz w:val="24"/>
          <w:szCs w:val="24"/>
        </w:rPr>
        <w:lastRenderedPageBreak/>
        <w:t xml:space="preserve">For example, αPCS can be used to identify whether microsites occupied by a foundation species represent an expansion (Fig. 1a) or contraction (Fig. 1b) of the local environmental filter.  If αPCS of both microsites is clustered, βPCS is necessary to determine whether the two microsites have similar (Fig. 1c) or different (Fig. 1d) phylogenetic composition.  </w:t>
      </w:r>
      <w:r w:rsidR="00D00860">
        <w:rPr>
          <w:rFonts w:ascii="Times New Roman" w:hAnsi="Times New Roman" w:cs="Times New Roman"/>
          <w:sz w:val="24"/>
          <w:szCs w:val="24"/>
        </w:rPr>
        <w:t xml:space="preserve">Finally, </w:t>
      </w:r>
      <w:proofErr w:type="spellStart"/>
      <w:r w:rsidR="00C4590D">
        <w:rPr>
          <w:rFonts w:ascii="Times New Roman" w:hAnsi="Times New Roman" w:cs="Times New Roman"/>
          <w:sz w:val="24"/>
          <w:szCs w:val="24"/>
        </w:rPr>
        <w:t>γPCS</w:t>
      </w:r>
      <w:proofErr w:type="spellEnd"/>
      <w:r w:rsidR="00C4590D">
        <w:rPr>
          <w:rFonts w:ascii="Times New Roman" w:hAnsi="Times New Roman" w:cs="Times New Roman"/>
          <w:sz w:val="24"/>
          <w:szCs w:val="24"/>
        </w:rPr>
        <w:t xml:space="preserve"> can vary with both</w:t>
      </w:r>
      <w:r w:rsidR="00D00860">
        <w:rPr>
          <w:rFonts w:ascii="Times New Roman" w:hAnsi="Times New Roman" w:cs="Times New Roman"/>
          <w:sz w:val="24"/>
          <w:szCs w:val="24"/>
        </w:rPr>
        <w:t xml:space="preserve"> α (Fig. 1d</w:t>
      </w:r>
      <w:proofErr w:type="gramStart"/>
      <w:r w:rsidR="00D00860">
        <w:rPr>
          <w:rFonts w:ascii="Times New Roman" w:hAnsi="Times New Roman" w:cs="Times New Roman"/>
          <w:sz w:val="24"/>
          <w:szCs w:val="24"/>
        </w:rPr>
        <w:t>,e</w:t>
      </w:r>
      <w:proofErr w:type="gramEnd"/>
      <w:r w:rsidR="00D00860">
        <w:rPr>
          <w:rFonts w:ascii="Times New Roman" w:hAnsi="Times New Roman" w:cs="Times New Roman"/>
          <w:sz w:val="24"/>
          <w:szCs w:val="24"/>
        </w:rPr>
        <w:t>) and βPCS (Fig. 1e,f) individually</w:t>
      </w:r>
      <w:r w:rsidR="00C4590D">
        <w:rPr>
          <w:rFonts w:ascii="Times New Roman" w:hAnsi="Times New Roman" w:cs="Times New Roman"/>
          <w:sz w:val="24"/>
          <w:szCs w:val="24"/>
        </w:rPr>
        <w:t xml:space="preserve">, but can also </w:t>
      </w:r>
      <w:r w:rsidR="00D00860">
        <w:rPr>
          <w:rFonts w:ascii="Times New Roman" w:hAnsi="Times New Roman" w:cs="Times New Roman"/>
          <w:sz w:val="24"/>
          <w:szCs w:val="24"/>
        </w:rPr>
        <w:t>be independent of these finer scale dimensions of PCS</w:t>
      </w:r>
      <w:r w:rsidR="00C4590D">
        <w:rPr>
          <w:rFonts w:ascii="Times New Roman" w:hAnsi="Times New Roman" w:cs="Times New Roman"/>
          <w:sz w:val="24"/>
          <w:szCs w:val="24"/>
        </w:rPr>
        <w:t xml:space="preserve"> (Fig. 1d,g).  The</w:t>
      </w:r>
      <w:r w:rsidR="00D00860">
        <w:rPr>
          <w:rFonts w:ascii="Times New Roman" w:hAnsi="Times New Roman" w:cs="Times New Roman"/>
          <w:sz w:val="24"/>
          <w:szCs w:val="24"/>
        </w:rPr>
        <w:t xml:space="preserve"> latter is perhaps most important, in that the finest scale of measurement in most studies of PCS is what we here call the </w:t>
      </w:r>
      <w:r w:rsidR="00D00860">
        <w:rPr>
          <w:rFonts w:ascii="Times New Roman" w:hAnsi="Times New Roman" w:cs="Times New Roman"/>
          <w:sz w:val="24"/>
          <w:szCs w:val="24"/>
        </w:rPr>
        <w:t>γ</w:t>
      </w:r>
      <w:r w:rsidR="00D00860">
        <w:rPr>
          <w:rFonts w:ascii="Times New Roman" w:hAnsi="Times New Roman" w:cs="Times New Roman"/>
          <w:sz w:val="24"/>
          <w:szCs w:val="24"/>
        </w:rPr>
        <w:t xml:space="preserve"> scale, which may mask underlying variation in </w:t>
      </w:r>
      <w:r w:rsidR="00D00860">
        <w:rPr>
          <w:rFonts w:ascii="Times New Roman" w:hAnsi="Times New Roman" w:cs="Times New Roman"/>
          <w:sz w:val="24"/>
          <w:szCs w:val="24"/>
        </w:rPr>
        <w:t>α and βPCS</w:t>
      </w:r>
      <w:r w:rsidR="00D00860">
        <w:rPr>
          <w:rFonts w:ascii="Times New Roman" w:hAnsi="Times New Roman" w:cs="Times New Roman"/>
          <w:sz w:val="24"/>
          <w:szCs w:val="24"/>
        </w:rPr>
        <w:t xml:space="preserve"> that can com</w:t>
      </w:r>
      <w:r w:rsidR="007202A9">
        <w:rPr>
          <w:rFonts w:ascii="Times New Roman" w:hAnsi="Times New Roman" w:cs="Times New Roman"/>
          <w:sz w:val="24"/>
          <w:szCs w:val="24"/>
        </w:rPr>
        <w:t>e into play when the dynamics</w:t>
      </w:r>
      <w:r w:rsidR="00D00860">
        <w:rPr>
          <w:rFonts w:ascii="Times New Roman" w:hAnsi="Times New Roman" w:cs="Times New Roman"/>
          <w:sz w:val="24"/>
          <w:szCs w:val="24"/>
        </w:rPr>
        <w:t xml:space="preserve"> or distributions of foundation species are not constant in time or space.</w:t>
      </w:r>
    </w:p>
    <w:p w:rsidR="00646ACE" w:rsidRDefault="00943D3C" w:rsidP="007371CA">
      <w:pPr>
        <w:spacing w:line="480" w:lineRule="auto"/>
        <w:rPr>
          <w:rFonts w:ascii="Times New Roman" w:hAnsi="Times New Roman" w:cs="Times New Roman"/>
          <w:sz w:val="24"/>
          <w:szCs w:val="24"/>
        </w:rPr>
      </w:pPr>
      <w:r>
        <w:rPr>
          <w:rFonts w:ascii="Times New Roman" w:hAnsi="Times New Roman" w:cs="Times New Roman"/>
          <w:sz w:val="24"/>
          <w:szCs w:val="24"/>
        </w:rPr>
        <w:tab/>
      </w:r>
      <w:r w:rsidR="00D00860">
        <w:rPr>
          <w:rFonts w:ascii="Times New Roman" w:hAnsi="Times New Roman" w:cs="Times New Roman"/>
          <w:sz w:val="24"/>
          <w:szCs w:val="24"/>
        </w:rPr>
        <w:t>While as yet untested in a phylogenetic framework</w:t>
      </w:r>
      <w:r w:rsidR="00C4590D">
        <w:rPr>
          <w:rFonts w:ascii="Times New Roman" w:hAnsi="Times New Roman" w:cs="Times New Roman"/>
          <w:sz w:val="24"/>
          <w:szCs w:val="24"/>
        </w:rPr>
        <w:t>, e</w:t>
      </w:r>
      <w:r>
        <w:rPr>
          <w:rFonts w:ascii="Times New Roman" w:hAnsi="Times New Roman" w:cs="Times New Roman"/>
          <w:sz w:val="24"/>
          <w:szCs w:val="24"/>
        </w:rPr>
        <w:t>cological theory provides several predictions regarding how foundation s</w:t>
      </w:r>
      <w:r w:rsidR="0091028C">
        <w:rPr>
          <w:rFonts w:ascii="Times New Roman" w:hAnsi="Times New Roman" w:cs="Times New Roman"/>
          <w:sz w:val="24"/>
          <w:szCs w:val="24"/>
        </w:rPr>
        <w:t>pecies may alter PC</w:t>
      </w:r>
      <w:r w:rsidR="00C4590D">
        <w:rPr>
          <w:rFonts w:ascii="Times New Roman" w:hAnsi="Times New Roman" w:cs="Times New Roman"/>
          <w:sz w:val="24"/>
          <w:szCs w:val="24"/>
        </w:rPr>
        <w:t xml:space="preserve">S </w:t>
      </w:r>
      <w:r w:rsidR="00D00860">
        <w:rPr>
          <w:rFonts w:ascii="Times New Roman" w:hAnsi="Times New Roman" w:cs="Times New Roman"/>
          <w:sz w:val="24"/>
          <w:szCs w:val="24"/>
        </w:rPr>
        <w:t xml:space="preserve">within a broader context of </w:t>
      </w:r>
      <w:r w:rsidR="00C4590D">
        <w:rPr>
          <w:rFonts w:ascii="Times New Roman" w:hAnsi="Times New Roman" w:cs="Times New Roman"/>
          <w:sz w:val="24"/>
          <w:szCs w:val="24"/>
        </w:rPr>
        <w:t xml:space="preserve">environmental </w:t>
      </w:r>
      <w:r w:rsidR="00D00860">
        <w:rPr>
          <w:rFonts w:ascii="Times New Roman" w:hAnsi="Times New Roman" w:cs="Times New Roman"/>
          <w:sz w:val="24"/>
          <w:szCs w:val="24"/>
        </w:rPr>
        <w:t>variation</w:t>
      </w:r>
      <w:r w:rsidR="00C4590D">
        <w:rPr>
          <w:rFonts w:ascii="Times New Roman" w:hAnsi="Times New Roman" w:cs="Times New Roman"/>
          <w:sz w:val="24"/>
          <w:szCs w:val="24"/>
        </w:rPr>
        <w:t>.</w:t>
      </w:r>
      <w:r w:rsidR="0091028C">
        <w:rPr>
          <w:rFonts w:ascii="Times New Roman" w:hAnsi="Times New Roman" w:cs="Times New Roman"/>
          <w:sz w:val="24"/>
          <w:szCs w:val="24"/>
        </w:rPr>
        <w:t xml:space="preserve"> </w:t>
      </w:r>
      <w:r w:rsidR="00C4590D">
        <w:rPr>
          <w:rFonts w:ascii="Times New Roman" w:hAnsi="Times New Roman" w:cs="Times New Roman"/>
          <w:sz w:val="24"/>
          <w:szCs w:val="24"/>
        </w:rPr>
        <w:t xml:space="preserve"> </w:t>
      </w:r>
      <w:r w:rsidR="0091028C">
        <w:rPr>
          <w:rFonts w:ascii="Times New Roman" w:hAnsi="Times New Roman" w:cs="Times New Roman"/>
          <w:sz w:val="24"/>
          <w:szCs w:val="24"/>
        </w:rPr>
        <w:t>One set of predictions follows from the observation that the balance between facilitative and competitive interactions often shifts along gradients of environmental severity.  In general, net interaction outcomes shift from competition in productive, less severe environments to facilitation in less productive, more severe environments</w:t>
      </w:r>
      <w:r w:rsidR="00F84DA6">
        <w:rPr>
          <w:rFonts w:ascii="Times New Roman" w:hAnsi="Times New Roman" w:cs="Times New Roman"/>
          <w:sz w:val="24"/>
          <w:szCs w:val="24"/>
        </w:rPr>
        <w:t xml:space="preserve"> </w:t>
      </w:r>
      <w:r w:rsidR="00F84DA6">
        <w:rPr>
          <w:rFonts w:ascii="Times New Roman" w:hAnsi="Times New Roman" w:cs="Times New Roman"/>
          <w:sz w:val="24"/>
          <w:szCs w:val="24"/>
        </w:rPr>
        <w:fldChar w:fldCharType="begin"/>
      </w:r>
      <w:r w:rsidR="00F84DA6">
        <w:rPr>
          <w:rFonts w:ascii="Times New Roman" w:hAnsi="Times New Roman" w:cs="Times New Roman"/>
          <w:sz w:val="24"/>
          <w:szCs w:val="24"/>
        </w:rPr>
        <w:instrText>ADDIN RW.CITE{{246 Bertness,M.D. 1994}}</w:instrText>
      </w:r>
      <w:r w:rsidR="00F84DA6">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Bertness</w:t>
      </w:r>
      <w:proofErr w:type="spellEnd"/>
      <w:r w:rsidR="002A40DD">
        <w:rPr>
          <w:rFonts w:ascii="Calibri" w:eastAsia="Times New Roman" w:hAnsi="Calibri" w:cs="Calibri"/>
        </w:rPr>
        <w:t xml:space="preserve"> and Callaway, 1994)</w:t>
      </w:r>
      <w:r w:rsidR="00F84DA6">
        <w:rPr>
          <w:rFonts w:ascii="Times New Roman" w:hAnsi="Times New Roman" w:cs="Times New Roman"/>
          <w:sz w:val="24"/>
          <w:szCs w:val="24"/>
        </w:rPr>
        <w:fldChar w:fldCharType="end"/>
      </w:r>
      <w:r w:rsidR="0091028C">
        <w:rPr>
          <w:rFonts w:ascii="Times New Roman" w:hAnsi="Times New Roman" w:cs="Times New Roman"/>
          <w:sz w:val="24"/>
          <w:szCs w:val="24"/>
        </w:rPr>
        <w:t xml:space="preserve">.  </w:t>
      </w:r>
      <w:r w:rsidR="004A2CB7">
        <w:rPr>
          <w:rFonts w:ascii="Times New Roman" w:hAnsi="Times New Roman" w:cs="Times New Roman"/>
          <w:sz w:val="24"/>
          <w:szCs w:val="24"/>
        </w:rPr>
        <w:t xml:space="preserve">Depending upon the length and location of environmental gradients, </w:t>
      </w:r>
      <w:r w:rsidR="00DB1E61">
        <w:rPr>
          <w:rFonts w:ascii="Times New Roman" w:hAnsi="Times New Roman" w:cs="Times New Roman"/>
          <w:sz w:val="24"/>
          <w:szCs w:val="24"/>
        </w:rPr>
        <w:t>two changes in PCS could occur.  First, f</w:t>
      </w:r>
      <w:r w:rsidR="00815127">
        <w:rPr>
          <w:rFonts w:ascii="Times New Roman" w:hAnsi="Times New Roman" w:cs="Times New Roman"/>
          <w:sz w:val="24"/>
          <w:szCs w:val="24"/>
        </w:rPr>
        <w:t xml:space="preserve">oundation species could simply </w:t>
      </w:r>
      <w:r w:rsidR="00815127">
        <w:rPr>
          <w:rFonts w:ascii="Times New Roman" w:hAnsi="Times New Roman" w:cs="Times New Roman"/>
          <w:sz w:val="24"/>
          <w:szCs w:val="24"/>
        </w:rPr>
        <w:t xml:space="preserve">contract </w:t>
      </w:r>
      <w:r w:rsidR="00DB1E61">
        <w:rPr>
          <w:rFonts w:ascii="Times New Roman" w:hAnsi="Times New Roman" w:cs="Times New Roman"/>
          <w:sz w:val="24"/>
          <w:szCs w:val="24"/>
        </w:rPr>
        <w:t xml:space="preserve">environmental filters in benign environments, exhibiting phylogenetic clustering relative to communities in the unmodified environment, and </w:t>
      </w:r>
      <w:r w:rsidR="00815127">
        <w:rPr>
          <w:rFonts w:ascii="Times New Roman" w:hAnsi="Times New Roman" w:cs="Times New Roman"/>
          <w:sz w:val="24"/>
          <w:szCs w:val="24"/>
        </w:rPr>
        <w:t xml:space="preserve">expand environmental filters in </w:t>
      </w:r>
      <w:r w:rsidR="00DB1E61">
        <w:rPr>
          <w:rFonts w:ascii="Times New Roman" w:hAnsi="Times New Roman" w:cs="Times New Roman"/>
          <w:sz w:val="24"/>
          <w:szCs w:val="24"/>
        </w:rPr>
        <w:t xml:space="preserve">more </w:t>
      </w:r>
      <w:r w:rsidR="00815127">
        <w:rPr>
          <w:rFonts w:ascii="Times New Roman" w:hAnsi="Times New Roman" w:cs="Times New Roman"/>
          <w:sz w:val="24"/>
          <w:szCs w:val="24"/>
        </w:rPr>
        <w:t>severe environments</w:t>
      </w:r>
      <w:r w:rsidR="00DB1E61">
        <w:rPr>
          <w:rFonts w:ascii="Times New Roman" w:hAnsi="Times New Roman" w:cs="Times New Roman"/>
          <w:sz w:val="24"/>
          <w:szCs w:val="24"/>
        </w:rPr>
        <w:t>, resulting in greater phylogenetic dispersion than the unmodified community</w:t>
      </w:r>
      <w:r w:rsidR="00815127">
        <w:rPr>
          <w:rFonts w:ascii="Times New Roman" w:hAnsi="Times New Roman" w:cs="Times New Roman"/>
          <w:sz w:val="24"/>
          <w:szCs w:val="24"/>
        </w:rPr>
        <w:t xml:space="preserve">.  </w:t>
      </w:r>
      <w:r w:rsidR="00DB1E61">
        <w:rPr>
          <w:rFonts w:ascii="Times New Roman" w:hAnsi="Times New Roman" w:cs="Times New Roman"/>
          <w:sz w:val="24"/>
          <w:szCs w:val="24"/>
        </w:rPr>
        <w:t xml:space="preserve">In this scenario αPCS of the two microsite types would be inversely related, resulting in no consistent pattern in βPCS and potentially little or no variation in </w:t>
      </w:r>
      <w:proofErr w:type="spellStart"/>
      <w:r w:rsidR="00DB1E61">
        <w:rPr>
          <w:rFonts w:ascii="Times New Roman" w:hAnsi="Times New Roman" w:cs="Times New Roman"/>
          <w:sz w:val="24"/>
          <w:szCs w:val="24"/>
        </w:rPr>
        <w:t>γPCS</w:t>
      </w:r>
      <w:proofErr w:type="spellEnd"/>
      <w:r w:rsidR="00815127">
        <w:rPr>
          <w:rFonts w:ascii="Times New Roman" w:hAnsi="Times New Roman" w:cs="Times New Roman"/>
          <w:sz w:val="24"/>
          <w:szCs w:val="24"/>
        </w:rPr>
        <w:t xml:space="preserve">. </w:t>
      </w:r>
      <w:r w:rsidR="00DB1E61">
        <w:rPr>
          <w:rFonts w:ascii="Times New Roman" w:hAnsi="Times New Roman" w:cs="Times New Roman"/>
          <w:sz w:val="24"/>
          <w:szCs w:val="24"/>
        </w:rPr>
        <w:t xml:space="preserve"> Alternatively, foundation species may create unique microenvironments that become more distinct from the surrounding environment in more severe </w:t>
      </w:r>
      <w:r w:rsidR="00DB1E61">
        <w:rPr>
          <w:rFonts w:ascii="Times New Roman" w:hAnsi="Times New Roman" w:cs="Times New Roman"/>
          <w:sz w:val="24"/>
          <w:szCs w:val="24"/>
        </w:rPr>
        <w:lastRenderedPageBreak/>
        <w:t>conditions.  In such cases the composition of foundation species-altered communities would be similar to the unmodified community in benign environments, but diverge with increasing environmental severity as foundation species more strongly buffer environmental extremes.</w:t>
      </w:r>
      <w:r w:rsidR="0042148F">
        <w:rPr>
          <w:rFonts w:ascii="Times New Roman" w:hAnsi="Times New Roman" w:cs="Times New Roman"/>
          <w:sz w:val="24"/>
          <w:szCs w:val="24"/>
        </w:rPr>
        <w:t xml:space="preserve">  A third possibility is that biogeographic and evolutionary history could play a predominant role in shaping PCS by influencing the phylogenetic diversity of regional species pools.  </w:t>
      </w:r>
      <w:r w:rsidR="0042148F">
        <w:rPr>
          <w:rFonts w:ascii="Times New Roman" w:hAnsi="Times New Roman" w:cs="Times New Roman"/>
          <w:sz w:val="24"/>
          <w:szCs w:val="24"/>
        </w:rPr>
        <w:t xml:space="preserve">More severe environments may have lower regional phylogenetic diversity due to adaptive radiations or </w:t>
      </w:r>
      <w:proofErr w:type="spellStart"/>
      <w:r w:rsidR="0042148F">
        <w:rPr>
          <w:rFonts w:ascii="Times New Roman" w:hAnsi="Times New Roman" w:cs="Times New Roman"/>
          <w:sz w:val="24"/>
          <w:szCs w:val="24"/>
        </w:rPr>
        <w:t>phylogenetically</w:t>
      </w:r>
      <w:proofErr w:type="spellEnd"/>
      <w:r w:rsidR="0042148F">
        <w:rPr>
          <w:rFonts w:ascii="Times New Roman" w:hAnsi="Times New Roman" w:cs="Times New Roman"/>
          <w:sz w:val="24"/>
          <w:szCs w:val="24"/>
        </w:rPr>
        <w:t xml:space="preserve"> biased extinctions </w:t>
      </w:r>
      <w:r w:rsidR="0042148F">
        <w:rPr>
          <w:rFonts w:ascii="Times New Roman" w:hAnsi="Times New Roman" w:cs="Times New Roman"/>
          <w:sz w:val="24"/>
          <w:szCs w:val="24"/>
        </w:rPr>
        <w:fldChar w:fldCharType="begin"/>
      </w:r>
      <w:r w:rsidR="0042148F">
        <w:rPr>
          <w:rFonts w:ascii="Times New Roman" w:hAnsi="Times New Roman" w:cs="Times New Roman"/>
          <w:sz w:val="24"/>
          <w:szCs w:val="24"/>
        </w:rPr>
        <w:instrText>ADDIN RW.CITE{{890 Mittelbach,G.G. 2007}}</w:instrText>
      </w:r>
      <w:r w:rsidR="0042148F">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Mittelbach</w:t>
      </w:r>
      <w:proofErr w:type="spellEnd"/>
      <w:r w:rsidR="002A40DD">
        <w:rPr>
          <w:rFonts w:ascii="Calibri" w:eastAsia="Times New Roman" w:hAnsi="Calibri" w:cs="Calibri"/>
          <w:i/>
          <w:iCs/>
        </w:rPr>
        <w:t xml:space="preserve"> et al</w:t>
      </w:r>
      <w:r w:rsidR="002A40DD">
        <w:rPr>
          <w:rFonts w:ascii="Calibri" w:eastAsia="Times New Roman" w:hAnsi="Calibri" w:cs="Calibri"/>
        </w:rPr>
        <w:t>, 2007)</w:t>
      </w:r>
      <w:r w:rsidR="0042148F">
        <w:rPr>
          <w:rFonts w:ascii="Times New Roman" w:hAnsi="Times New Roman" w:cs="Times New Roman"/>
          <w:sz w:val="24"/>
          <w:szCs w:val="24"/>
        </w:rPr>
        <w:fldChar w:fldCharType="end"/>
      </w:r>
      <w:r w:rsidR="0042148F">
        <w:rPr>
          <w:rFonts w:ascii="Times New Roman" w:hAnsi="Times New Roman" w:cs="Times New Roman"/>
          <w:sz w:val="24"/>
          <w:szCs w:val="24"/>
        </w:rPr>
        <w:t xml:space="preserve">, such that while positive effects of foundation species may enhance taxonomic diversity </w:t>
      </w:r>
      <w:r w:rsidR="0042148F">
        <w:rPr>
          <w:rFonts w:ascii="Times New Roman" w:hAnsi="Times New Roman" w:cs="Times New Roman"/>
          <w:sz w:val="24"/>
          <w:szCs w:val="24"/>
        </w:rPr>
        <w:fldChar w:fldCharType="begin"/>
      </w:r>
      <w:r w:rsidR="0042148F">
        <w:rPr>
          <w:rFonts w:ascii="Times New Roman" w:hAnsi="Times New Roman" w:cs="Times New Roman"/>
          <w:sz w:val="24"/>
          <w:szCs w:val="24"/>
        </w:rPr>
        <w:instrText>ADDIN RW.CITE{{234 Cavieres,L.A. 2009}}</w:instrText>
      </w:r>
      <w:r w:rsidR="0042148F">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Cavieres</w:t>
      </w:r>
      <w:proofErr w:type="spellEnd"/>
      <w:r w:rsidR="002A40DD">
        <w:rPr>
          <w:rFonts w:ascii="Calibri" w:eastAsia="Times New Roman" w:hAnsi="Calibri" w:cs="Calibri"/>
        </w:rPr>
        <w:t xml:space="preserve"> and </w:t>
      </w:r>
      <w:proofErr w:type="spellStart"/>
      <w:r w:rsidR="002A40DD">
        <w:rPr>
          <w:rFonts w:ascii="Calibri" w:eastAsia="Times New Roman" w:hAnsi="Calibri" w:cs="Calibri"/>
        </w:rPr>
        <w:t>Badano</w:t>
      </w:r>
      <w:proofErr w:type="spellEnd"/>
      <w:r w:rsidR="002A40DD">
        <w:rPr>
          <w:rFonts w:ascii="Calibri" w:eastAsia="Times New Roman" w:hAnsi="Calibri" w:cs="Calibri"/>
        </w:rPr>
        <w:t>, 2009)</w:t>
      </w:r>
      <w:r w:rsidR="0042148F">
        <w:rPr>
          <w:rFonts w:ascii="Times New Roman" w:hAnsi="Times New Roman" w:cs="Times New Roman"/>
          <w:sz w:val="24"/>
          <w:szCs w:val="24"/>
        </w:rPr>
        <w:fldChar w:fldCharType="end"/>
      </w:r>
      <w:r w:rsidR="0042148F">
        <w:rPr>
          <w:rFonts w:ascii="Times New Roman" w:hAnsi="Times New Roman" w:cs="Times New Roman"/>
          <w:sz w:val="24"/>
          <w:szCs w:val="24"/>
        </w:rPr>
        <w:t>, the facilitated species would be from the same clade(s) as those that occur in the unmodified environment.</w:t>
      </w:r>
      <w:r w:rsidR="004B6073">
        <w:rPr>
          <w:rFonts w:ascii="Times New Roman" w:hAnsi="Times New Roman" w:cs="Times New Roman"/>
          <w:sz w:val="24"/>
          <w:szCs w:val="24"/>
        </w:rPr>
        <w:t xml:space="preserve">  </w:t>
      </w:r>
      <w:r>
        <w:rPr>
          <w:rFonts w:ascii="Times New Roman" w:hAnsi="Times New Roman" w:cs="Times New Roman"/>
          <w:sz w:val="24"/>
          <w:szCs w:val="24"/>
        </w:rPr>
        <w:t xml:space="preserve">If such regional factors play an overriding role, </w:t>
      </w:r>
      <w:r w:rsidR="00646ACE">
        <w:rPr>
          <w:rFonts w:ascii="Times New Roman" w:hAnsi="Times New Roman" w:cs="Times New Roman"/>
          <w:sz w:val="24"/>
          <w:szCs w:val="24"/>
        </w:rPr>
        <w:t>phylogenetic clustering would increase with increasing environmental severity in both the foundation species-modified and unmodified communities, but the phylogenetic composition of those two communities would also converge on one another</w:t>
      </w:r>
      <w:r>
        <w:rPr>
          <w:rFonts w:ascii="Times New Roman" w:hAnsi="Times New Roman" w:cs="Times New Roman"/>
          <w:sz w:val="24"/>
          <w:szCs w:val="24"/>
        </w:rPr>
        <w:t>.</w:t>
      </w:r>
      <w:r w:rsidR="00D00860">
        <w:rPr>
          <w:rFonts w:ascii="Times New Roman" w:hAnsi="Times New Roman" w:cs="Times New Roman"/>
          <w:sz w:val="24"/>
          <w:szCs w:val="24"/>
        </w:rPr>
        <w:t xml:space="preserve">  </w:t>
      </w:r>
      <w:r w:rsidR="00646ACE">
        <w:rPr>
          <w:rFonts w:ascii="Times New Roman" w:hAnsi="Times New Roman" w:cs="Times New Roman"/>
          <w:sz w:val="24"/>
          <w:szCs w:val="24"/>
        </w:rPr>
        <w:t xml:space="preserve">Depending upon the relative strength of facilitative, competitive and regional factors, variation in α, β and </w:t>
      </w:r>
      <w:proofErr w:type="spellStart"/>
      <w:r w:rsidR="00646ACE">
        <w:rPr>
          <w:rFonts w:ascii="Times New Roman" w:hAnsi="Times New Roman" w:cs="Times New Roman"/>
          <w:sz w:val="24"/>
          <w:szCs w:val="24"/>
        </w:rPr>
        <w:t>γPCS</w:t>
      </w:r>
      <w:proofErr w:type="spellEnd"/>
      <w:r w:rsidR="00646ACE">
        <w:rPr>
          <w:rFonts w:ascii="Times New Roman" w:hAnsi="Times New Roman" w:cs="Times New Roman"/>
          <w:sz w:val="24"/>
          <w:szCs w:val="24"/>
        </w:rPr>
        <w:t xml:space="preserve"> could exhibit a variety of environmentally context-dependent patterns.</w:t>
      </w:r>
    </w:p>
    <w:p w:rsidR="002B1A8F" w:rsidRDefault="00943D3C" w:rsidP="00943D3C">
      <w:pPr>
        <w:spacing w:line="480" w:lineRule="auto"/>
        <w:rPr>
          <w:rFonts w:ascii="Times New Roman" w:hAnsi="Times New Roman" w:cs="Times New Roman"/>
          <w:sz w:val="24"/>
          <w:szCs w:val="24"/>
        </w:rPr>
      </w:pPr>
      <w:r>
        <w:rPr>
          <w:rFonts w:ascii="Times New Roman" w:hAnsi="Times New Roman" w:cs="Times New Roman"/>
          <w:sz w:val="24"/>
          <w:szCs w:val="24"/>
        </w:rPr>
        <w:tab/>
        <w:t>In this study, we assess variation in microsite and total community PCS across 77 alpine plant communities on 5 continents dominated by foundation cushion plants.  The cushion growth form has evolved more than 50 times in angiosperm evolutionary history and occurs in all major alpine and arctic regions around the world</w:t>
      </w:r>
      <w:r w:rsidR="002A40DD">
        <w:rPr>
          <w:rFonts w:ascii="Times New Roman" w:hAnsi="Times New Roman" w:cs="Times New Roman"/>
          <w:sz w:val="24"/>
          <w:szCs w:val="24"/>
        </w:rPr>
        <w:t xml:space="preserve"> </w:t>
      </w:r>
      <w:r w:rsidR="002A40DD">
        <w:rPr>
          <w:rFonts w:ascii="Times New Roman" w:hAnsi="Times New Roman" w:cs="Times New Roman"/>
          <w:sz w:val="24"/>
          <w:szCs w:val="24"/>
        </w:rPr>
        <w:fldChar w:fldCharType="begin"/>
      </w:r>
      <w:r w:rsidR="002A40DD">
        <w:rPr>
          <w:rFonts w:ascii="Times New Roman" w:hAnsi="Times New Roman" w:cs="Times New Roman"/>
          <w:sz w:val="24"/>
          <w:szCs w:val="24"/>
        </w:rPr>
        <w:instrText>ADDIN RW.CITE{{763 Hauri,H. 1914}}</w:instrText>
      </w:r>
      <w:r w:rsidR="002A40DD">
        <w:rPr>
          <w:rFonts w:ascii="Times New Roman" w:hAnsi="Times New Roman" w:cs="Times New Roman"/>
          <w:sz w:val="24"/>
          <w:szCs w:val="24"/>
        </w:rPr>
        <w:fldChar w:fldCharType="separate"/>
      </w:r>
      <w:r w:rsidR="002A40DD">
        <w:rPr>
          <w:rFonts w:eastAsia="Times New Roman"/>
        </w:rPr>
        <w:t>(</w:t>
      </w:r>
      <w:proofErr w:type="spellStart"/>
      <w:r w:rsidR="002A40DD">
        <w:rPr>
          <w:rFonts w:eastAsia="Times New Roman"/>
        </w:rPr>
        <w:t>Hauri</w:t>
      </w:r>
      <w:proofErr w:type="spellEnd"/>
      <w:r w:rsidR="002A40DD">
        <w:rPr>
          <w:rFonts w:eastAsia="Times New Roman"/>
        </w:rPr>
        <w:t xml:space="preserve"> and </w:t>
      </w:r>
      <w:proofErr w:type="spellStart"/>
      <w:r w:rsidR="002A40DD">
        <w:rPr>
          <w:rFonts w:eastAsia="Times New Roman"/>
        </w:rPr>
        <w:t>Schroter</w:t>
      </w:r>
      <w:proofErr w:type="spellEnd"/>
      <w:r w:rsidR="002A40DD">
        <w:rPr>
          <w:rFonts w:eastAsia="Times New Roman"/>
        </w:rPr>
        <w:t>, 1914)</w:t>
      </w:r>
      <w:r w:rsidR="002A40DD">
        <w:rPr>
          <w:rFonts w:ascii="Times New Roman" w:hAnsi="Times New Roman" w:cs="Times New Roman"/>
          <w:sz w:val="24"/>
          <w:szCs w:val="24"/>
        </w:rPr>
        <w:fldChar w:fldCharType="end"/>
      </w:r>
      <w:r>
        <w:rPr>
          <w:rFonts w:ascii="Times New Roman" w:hAnsi="Times New Roman" w:cs="Times New Roman"/>
          <w:sz w:val="24"/>
          <w:szCs w:val="24"/>
        </w:rPr>
        <w:t>.  Their</w:t>
      </w:r>
      <w:r w:rsidRPr="009B1B4A">
        <w:rPr>
          <w:rFonts w:ascii="Times New Roman" w:hAnsi="Times New Roman" w:cs="Times New Roman"/>
          <w:sz w:val="24"/>
          <w:szCs w:val="24"/>
        </w:rPr>
        <w:t xml:space="preserve"> tightly interlocking apical meristems and dense sub-canopy composed of stems and senesced </w:t>
      </w:r>
      <w:r>
        <w:rPr>
          <w:rFonts w:ascii="Times New Roman" w:hAnsi="Times New Roman" w:cs="Times New Roman"/>
          <w:sz w:val="24"/>
          <w:szCs w:val="24"/>
        </w:rPr>
        <w:t>leaves result in strong buffering of environmental extremes</w:t>
      </w:r>
      <w:r w:rsidR="00603AB1">
        <w:rPr>
          <w:rFonts w:ascii="Times New Roman" w:hAnsi="Times New Roman" w:cs="Times New Roman"/>
          <w:sz w:val="24"/>
          <w:szCs w:val="24"/>
        </w:rPr>
        <w:t xml:space="preserve"> </w:t>
      </w:r>
      <w:r w:rsidR="00603AB1">
        <w:rPr>
          <w:rFonts w:ascii="Times New Roman" w:hAnsi="Times New Roman" w:cs="Times New Roman"/>
          <w:sz w:val="24"/>
          <w:szCs w:val="24"/>
        </w:rPr>
        <w:fldChar w:fldCharType="begin"/>
      </w:r>
      <w:r w:rsidR="00603AB1">
        <w:rPr>
          <w:rFonts w:ascii="Times New Roman" w:hAnsi="Times New Roman" w:cs="Times New Roman"/>
          <w:sz w:val="24"/>
          <w:szCs w:val="24"/>
        </w:rPr>
        <w:instrText>ADDIN RW.CITE{{766 Badano,E.I. 2006}}</w:instrText>
      </w:r>
      <w:r w:rsidR="00603AB1">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Badano</w:t>
      </w:r>
      <w:proofErr w:type="spellEnd"/>
      <w:r w:rsidR="002A40DD">
        <w:rPr>
          <w:rFonts w:ascii="Calibri" w:eastAsia="Times New Roman" w:hAnsi="Calibri" w:cs="Calibri"/>
          <w:i/>
          <w:iCs/>
        </w:rPr>
        <w:t xml:space="preserve"> et al</w:t>
      </w:r>
      <w:r w:rsidR="002A40DD">
        <w:rPr>
          <w:rFonts w:ascii="Calibri" w:eastAsia="Times New Roman" w:hAnsi="Calibri" w:cs="Calibri"/>
        </w:rPr>
        <w:t>, 2006)</w:t>
      </w:r>
      <w:r w:rsidR="00603AB1">
        <w:rPr>
          <w:rFonts w:ascii="Times New Roman" w:hAnsi="Times New Roman" w:cs="Times New Roman"/>
          <w:sz w:val="24"/>
          <w:szCs w:val="24"/>
        </w:rPr>
        <w:fldChar w:fldCharType="end"/>
      </w:r>
      <w:r>
        <w:rPr>
          <w:rFonts w:ascii="Times New Roman" w:hAnsi="Times New Roman" w:cs="Times New Roman"/>
          <w:sz w:val="24"/>
          <w:szCs w:val="24"/>
        </w:rPr>
        <w:t xml:space="preserve">, making cushions important foundation species that facilitate many other species that perform poorly in, or are excluded entirely from, the surrounding </w:t>
      </w:r>
      <w:r w:rsidR="00C57D77">
        <w:rPr>
          <w:rFonts w:ascii="Times New Roman" w:hAnsi="Times New Roman" w:cs="Times New Roman"/>
          <w:sz w:val="24"/>
          <w:szCs w:val="24"/>
        </w:rPr>
        <w:t>bare ground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RW.CITE{{234 Cavieres,L.A. 2009}}</w:instrText>
      </w:r>
      <w:r>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Cavieres</w:t>
      </w:r>
      <w:proofErr w:type="spellEnd"/>
      <w:r w:rsidR="002A40DD">
        <w:rPr>
          <w:rFonts w:ascii="Calibri" w:eastAsia="Times New Roman" w:hAnsi="Calibri" w:cs="Calibri"/>
        </w:rPr>
        <w:t xml:space="preserve"> and </w:t>
      </w:r>
      <w:proofErr w:type="spellStart"/>
      <w:r w:rsidR="002A40DD">
        <w:rPr>
          <w:rFonts w:ascii="Calibri" w:eastAsia="Times New Roman" w:hAnsi="Calibri" w:cs="Calibri"/>
        </w:rPr>
        <w:t>Badano</w:t>
      </w:r>
      <w:proofErr w:type="spellEnd"/>
      <w:r w:rsidR="002A40DD">
        <w:rPr>
          <w:rFonts w:ascii="Calibri" w:eastAsia="Times New Roman" w:hAnsi="Calibri" w:cs="Calibri"/>
        </w:rPr>
        <w:t>, 2009)</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the effects of cushion plants </w:t>
      </w:r>
      <w:r>
        <w:rPr>
          <w:rFonts w:ascii="Times New Roman" w:hAnsi="Times New Roman" w:cs="Times New Roman"/>
          <w:sz w:val="24"/>
          <w:szCs w:val="24"/>
        </w:rPr>
        <w:lastRenderedPageBreak/>
        <w:t xml:space="preserve">on the </w:t>
      </w:r>
      <w:r w:rsidR="00AA780B">
        <w:rPr>
          <w:rFonts w:ascii="Times New Roman" w:hAnsi="Times New Roman" w:cs="Times New Roman"/>
          <w:sz w:val="24"/>
          <w:szCs w:val="24"/>
        </w:rPr>
        <w:t>taxonomic diversity</w:t>
      </w:r>
      <w:r>
        <w:rPr>
          <w:rFonts w:ascii="Times New Roman" w:hAnsi="Times New Roman" w:cs="Times New Roman"/>
          <w:sz w:val="24"/>
          <w:szCs w:val="24"/>
        </w:rPr>
        <w:t xml:space="preserve"> of the plant community can be highly variable</w:t>
      </w:r>
      <w:r w:rsidR="00AA780B">
        <w:rPr>
          <w:rFonts w:ascii="Times New Roman" w:hAnsi="Times New Roman" w:cs="Times New Roman"/>
          <w:sz w:val="24"/>
          <w:szCs w:val="24"/>
        </w:rPr>
        <w:t xml:space="preserve"> (</w:t>
      </w:r>
      <w:proofErr w:type="spellStart"/>
      <w:r w:rsidR="00603AB1" w:rsidRPr="005B1D47">
        <w:rPr>
          <w:rFonts w:ascii="Times New Roman" w:hAnsi="Times New Roman" w:cs="Times New Roman"/>
          <w:sz w:val="24"/>
          <w:szCs w:val="24"/>
        </w:rPr>
        <w:t>Cavieres</w:t>
      </w:r>
      <w:proofErr w:type="spellEnd"/>
      <w:r w:rsidR="00603AB1" w:rsidRPr="005B1D47">
        <w:rPr>
          <w:rFonts w:ascii="Times New Roman" w:hAnsi="Times New Roman" w:cs="Times New Roman"/>
          <w:sz w:val="24"/>
          <w:szCs w:val="24"/>
        </w:rPr>
        <w:t xml:space="preserve"> et al. </w:t>
      </w:r>
      <w:r w:rsidR="00603AB1" w:rsidRPr="005B1D47">
        <w:rPr>
          <w:rFonts w:ascii="Times New Roman" w:hAnsi="Times New Roman" w:cs="Times New Roman"/>
          <w:i/>
          <w:sz w:val="24"/>
          <w:szCs w:val="24"/>
        </w:rPr>
        <w:t>In review</w:t>
      </w:r>
      <w:r w:rsidR="00AA780B">
        <w:rPr>
          <w:rFonts w:ascii="Times New Roman" w:hAnsi="Times New Roman" w:cs="Times New Roman"/>
          <w:sz w:val="24"/>
          <w:szCs w:val="24"/>
        </w:rPr>
        <w:t>)</w:t>
      </w:r>
      <w:r>
        <w:rPr>
          <w:rFonts w:ascii="Times New Roman" w:hAnsi="Times New Roman" w:cs="Times New Roman"/>
          <w:sz w:val="24"/>
          <w:szCs w:val="24"/>
        </w:rPr>
        <w:t xml:space="preserve">, and despite occurring in similar habitat types (i.e. alpine fell-fields), </w:t>
      </w:r>
      <w:r w:rsidR="00C57D77">
        <w:rPr>
          <w:rFonts w:ascii="Times New Roman" w:hAnsi="Times New Roman" w:cs="Times New Roman"/>
          <w:sz w:val="24"/>
          <w:szCs w:val="24"/>
        </w:rPr>
        <w:t>our study</w:t>
      </w:r>
      <w:r>
        <w:rPr>
          <w:rFonts w:ascii="Times New Roman" w:hAnsi="Times New Roman" w:cs="Times New Roman"/>
          <w:sz w:val="24"/>
          <w:szCs w:val="24"/>
        </w:rPr>
        <w:t xml:space="preserve"> communities vary substantially with respect to climate, allowing us to test </w:t>
      </w:r>
      <w:r w:rsidR="005B1D47">
        <w:rPr>
          <w:rFonts w:ascii="Times New Roman" w:hAnsi="Times New Roman" w:cs="Times New Roman"/>
          <w:sz w:val="24"/>
          <w:szCs w:val="24"/>
        </w:rPr>
        <w:t>several hypotheses</w:t>
      </w:r>
      <w:r w:rsidR="00646ACE">
        <w:rPr>
          <w:rFonts w:ascii="Times New Roman" w:hAnsi="Times New Roman" w:cs="Times New Roman"/>
          <w:sz w:val="24"/>
          <w:szCs w:val="24"/>
        </w:rPr>
        <w:t xml:space="preserve"> </w:t>
      </w:r>
      <w:r>
        <w:rPr>
          <w:rFonts w:ascii="Times New Roman" w:hAnsi="Times New Roman" w:cs="Times New Roman"/>
          <w:sz w:val="24"/>
          <w:szCs w:val="24"/>
        </w:rPr>
        <w:t xml:space="preserve">regarding the </w:t>
      </w:r>
      <w:r w:rsidR="00AA780B">
        <w:rPr>
          <w:rFonts w:ascii="Times New Roman" w:hAnsi="Times New Roman" w:cs="Times New Roman"/>
          <w:sz w:val="24"/>
          <w:szCs w:val="24"/>
        </w:rPr>
        <w:t>environmental context-dependence of foundation species effects on PCS</w:t>
      </w:r>
      <w:r>
        <w:rPr>
          <w:rFonts w:ascii="Times New Roman" w:hAnsi="Times New Roman" w:cs="Times New Roman"/>
          <w:sz w:val="24"/>
          <w:szCs w:val="24"/>
        </w:rPr>
        <w:t xml:space="preserve">.  Specifically, we tested hypotheses that </w:t>
      </w:r>
      <w:r w:rsidR="00646ACE">
        <w:rPr>
          <w:rFonts w:ascii="Times New Roman" w:hAnsi="Times New Roman" w:cs="Times New Roman"/>
          <w:sz w:val="24"/>
          <w:szCs w:val="24"/>
        </w:rPr>
        <w:t>1</w:t>
      </w:r>
      <w:r w:rsidR="005B1D47">
        <w:rPr>
          <w:rFonts w:ascii="Times New Roman" w:hAnsi="Times New Roman" w:cs="Times New Roman"/>
          <w:sz w:val="24"/>
          <w:szCs w:val="24"/>
        </w:rPr>
        <w:t>) C</w:t>
      </w:r>
      <w:r w:rsidR="00646ACE">
        <w:rPr>
          <w:rFonts w:ascii="Times New Roman" w:hAnsi="Times New Roman" w:cs="Times New Roman"/>
          <w:sz w:val="24"/>
          <w:szCs w:val="24"/>
        </w:rPr>
        <w:t>ushion and open community PCS are inversely related, resulting in no changes in total community PCS with environmental severity (Compensation Hypothesis)</w:t>
      </w:r>
      <w:r w:rsidR="00646ACE">
        <w:rPr>
          <w:rFonts w:ascii="Times New Roman" w:hAnsi="Times New Roman" w:cs="Times New Roman"/>
          <w:sz w:val="24"/>
          <w:szCs w:val="24"/>
        </w:rPr>
        <w:t>, 2</w:t>
      </w:r>
      <w:r>
        <w:rPr>
          <w:rFonts w:ascii="Times New Roman" w:hAnsi="Times New Roman" w:cs="Times New Roman"/>
          <w:sz w:val="24"/>
          <w:szCs w:val="24"/>
        </w:rPr>
        <w:t xml:space="preserve">) </w:t>
      </w:r>
      <w:r w:rsidR="00AA780B">
        <w:rPr>
          <w:rFonts w:ascii="Times New Roman" w:hAnsi="Times New Roman" w:cs="Times New Roman"/>
          <w:sz w:val="24"/>
          <w:szCs w:val="24"/>
        </w:rPr>
        <w:t>cushion communities enhance phylogenetic diversity more in severe environments by supporting clades that do not occur in the open</w:t>
      </w:r>
      <w:r w:rsidR="00830B0F">
        <w:rPr>
          <w:rFonts w:ascii="Times New Roman" w:hAnsi="Times New Roman" w:cs="Times New Roman"/>
          <w:sz w:val="24"/>
          <w:szCs w:val="24"/>
        </w:rPr>
        <w:t xml:space="preserve"> and excluding those that do</w:t>
      </w:r>
      <w:r w:rsidR="00646ACE">
        <w:rPr>
          <w:rFonts w:ascii="Times New Roman" w:hAnsi="Times New Roman" w:cs="Times New Roman"/>
          <w:sz w:val="24"/>
          <w:szCs w:val="24"/>
        </w:rPr>
        <w:t xml:space="preserve"> (Divergence Hypothesis)</w:t>
      </w:r>
      <w:r w:rsidR="00AA780B">
        <w:rPr>
          <w:rFonts w:ascii="Times New Roman" w:hAnsi="Times New Roman" w:cs="Times New Roman"/>
          <w:sz w:val="24"/>
          <w:szCs w:val="24"/>
        </w:rPr>
        <w:t xml:space="preserve"> , and 3) both open and cushion communities become more </w:t>
      </w:r>
      <w:proofErr w:type="spellStart"/>
      <w:r w:rsidR="00AA780B">
        <w:rPr>
          <w:rFonts w:ascii="Times New Roman" w:hAnsi="Times New Roman" w:cs="Times New Roman"/>
          <w:sz w:val="24"/>
          <w:szCs w:val="24"/>
        </w:rPr>
        <w:t>phylogenetically</w:t>
      </w:r>
      <w:proofErr w:type="spellEnd"/>
      <w:r w:rsidR="00AA780B">
        <w:rPr>
          <w:rFonts w:ascii="Times New Roman" w:hAnsi="Times New Roman" w:cs="Times New Roman"/>
          <w:sz w:val="24"/>
          <w:szCs w:val="24"/>
        </w:rPr>
        <w:t xml:space="preserve"> constrained in severe environments, resulting in a strong decline in phylogenetic diversity with increasing severity </w:t>
      </w:r>
      <w:r w:rsidR="00830B0F">
        <w:rPr>
          <w:rFonts w:ascii="Times New Roman" w:hAnsi="Times New Roman" w:cs="Times New Roman"/>
          <w:sz w:val="24"/>
          <w:szCs w:val="24"/>
        </w:rPr>
        <w:t xml:space="preserve">despite positive effects of cushions on taxonomic diversity </w:t>
      </w:r>
      <w:r w:rsidR="005B1D47">
        <w:rPr>
          <w:rFonts w:ascii="Times New Roman" w:hAnsi="Times New Roman" w:cs="Times New Roman"/>
          <w:sz w:val="24"/>
          <w:szCs w:val="24"/>
        </w:rPr>
        <w:t>(Convergence</w:t>
      </w:r>
      <w:r w:rsidR="00AA780B">
        <w:rPr>
          <w:rFonts w:ascii="Times New Roman" w:hAnsi="Times New Roman" w:cs="Times New Roman"/>
          <w:sz w:val="24"/>
          <w:szCs w:val="24"/>
        </w:rPr>
        <w:t xml:space="preserve"> Hypothesis).</w:t>
      </w:r>
    </w:p>
    <w:p w:rsidR="0032558E" w:rsidRDefault="0032558E" w:rsidP="00E3760B">
      <w:pPr>
        <w:rPr>
          <w:rFonts w:ascii="Times New Roman" w:hAnsi="Times New Roman" w:cs="Times New Roman"/>
          <w:sz w:val="24"/>
          <w:szCs w:val="24"/>
        </w:rPr>
      </w:pPr>
    </w:p>
    <w:p w:rsidR="00E3760B" w:rsidRPr="00A005EF" w:rsidRDefault="00E3760B" w:rsidP="00E3760B">
      <w:pPr>
        <w:pStyle w:val="NoSpacing"/>
        <w:spacing w:line="480" w:lineRule="auto"/>
        <w:rPr>
          <w:rFonts w:ascii="Arial" w:hAnsi="Arial" w:cs="Arial"/>
          <w:b/>
          <w:sz w:val="24"/>
          <w:szCs w:val="24"/>
        </w:rPr>
      </w:pPr>
      <w:r w:rsidRPr="00A005EF">
        <w:rPr>
          <w:rFonts w:ascii="Arial" w:hAnsi="Arial" w:cs="Arial"/>
          <w:b/>
          <w:sz w:val="24"/>
          <w:szCs w:val="24"/>
        </w:rPr>
        <w:t>MATERIALS AND METHODS</w:t>
      </w:r>
    </w:p>
    <w:p w:rsidR="00E3760B" w:rsidRDefault="00E3760B" w:rsidP="00E3760B">
      <w:pPr>
        <w:spacing w:line="480" w:lineRule="auto"/>
        <w:contextualSpacing/>
        <w:rPr>
          <w:rFonts w:ascii="Arial" w:hAnsi="Arial" w:cs="Arial"/>
          <w:b/>
          <w:sz w:val="24"/>
          <w:szCs w:val="24"/>
        </w:rPr>
      </w:pPr>
    </w:p>
    <w:p w:rsidR="00E3760B" w:rsidRPr="00A90541" w:rsidRDefault="00E3760B" w:rsidP="00E3760B">
      <w:pPr>
        <w:spacing w:line="480" w:lineRule="auto"/>
        <w:contextualSpacing/>
        <w:rPr>
          <w:rFonts w:ascii="Arial" w:hAnsi="Arial" w:cs="Arial"/>
          <w:b/>
          <w:sz w:val="24"/>
          <w:szCs w:val="24"/>
        </w:rPr>
      </w:pPr>
      <w:r>
        <w:rPr>
          <w:rFonts w:ascii="Arial" w:hAnsi="Arial" w:cs="Arial"/>
          <w:b/>
          <w:sz w:val="24"/>
          <w:szCs w:val="24"/>
        </w:rPr>
        <w:t>Data C</w:t>
      </w:r>
      <w:r w:rsidRPr="00A90541">
        <w:rPr>
          <w:rFonts w:ascii="Arial" w:hAnsi="Arial" w:cs="Arial"/>
          <w:b/>
          <w:sz w:val="24"/>
          <w:szCs w:val="24"/>
        </w:rPr>
        <w:t>ollection</w:t>
      </w:r>
    </w:p>
    <w:p w:rsidR="00E3760B" w:rsidRPr="00BD6D61" w:rsidRDefault="00E3760B" w:rsidP="00E3760B">
      <w:pPr>
        <w:spacing w:line="480" w:lineRule="auto"/>
        <w:contextualSpacing/>
        <w:rPr>
          <w:rFonts w:ascii="Times New Roman" w:hAnsi="Times New Roman" w:cs="Times New Roman"/>
          <w:sz w:val="24"/>
          <w:szCs w:val="24"/>
        </w:rPr>
      </w:pPr>
      <w:r w:rsidRPr="00BD6D61">
        <w:rPr>
          <w:rFonts w:ascii="Times New Roman" w:hAnsi="Times New Roman" w:cs="Times New Roman"/>
          <w:sz w:val="24"/>
          <w:szCs w:val="24"/>
        </w:rPr>
        <w:t xml:space="preserve">Data were collected from 77 alpine plant communities in North and South America, Europe, Asia and New Zealand.  Sites were selected to include sufficiently large populations of cushion plants, which were located in generally low productivity habitats within alpine belts (i.e. above natural tree line).  Forty </w:t>
      </w:r>
      <w:proofErr w:type="spellStart"/>
      <w:r w:rsidRPr="00BD6D61">
        <w:rPr>
          <w:rFonts w:ascii="Times New Roman" w:hAnsi="Times New Roman" w:cs="Times New Roman"/>
          <w:sz w:val="24"/>
          <w:szCs w:val="24"/>
        </w:rPr>
        <w:t>eudicot</w:t>
      </w:r>
      <w:proofErr w:type="spellEnd"/>
      <w:r w:rsidRPr="00BD6D61">
        <w:rPr>
          <w:rFonts w:ascii="Times New Roman" w:hAnsi="Times New Roman" w:cs="Times New Roman"/>
          <w:sz w:val="24"/>
          <w:szCs w:val="24"/>
        </w:rPr>
        <w:t xml:space="preserve"> cushion plant species were sampled across the 77 sites (</w:t>
      </w:r>
      <w:r w:rsidRPr="00824C7F">
        <w:rPr>
          <w:rFonts w:ascii="Times New Roman" w:hAnsi="Times New Roman" w:cs="Times New Roman"/>
          <w:sz w:val="24"/>
          <w:szCs w:val="24"/>
        </w:rPr>
        <w:t xml:space="preserve">see Appendix </w:t>
      </w:r>
      <w:r w:rsidR="00824C7F" w:rsidRPr="00824C7F">
        <w:rPr>
          <w:rFonts w:ascii="Times New Roman" w:hAnsi="Times New Roman" w:cs="Times New Roman"/>
          <w:sz w:val="24"/>
          <w:szCs w:val="24"/>
        </w:rPr>
        <w:t>S1</w:t>
      </w:r>
      <w:r w:rsidRPr="00824C7F">
        <w:rPr>
          <w:rFonts w:ascii="Times New Roman" w:hAnsi="Times New Roman" w:cs="Times New Roman"/>
          <w:sz w:val="24"/>
          <w:szCs w:val="24"/>
        </w:rPr>
        <w:t xml:space="preserve"> </w:t>
      </w:r>
      <w:r w:rsidR="00824C7F" w:rsidRPr="00824C7F">
        <w:rPr>
          <w:rFonts w:ascii="Times New Roman" w:hAnsi="Times New Roman" w:cs="Times New Roman"/>
          <w:sz w:val="24"/>
          <w:szCs w:val="24"/>
        </w:rPr>
        <w:t xml:space="preserve">in Supporting Information </w:t>
      </w:r>
      <w:r w:rsidRPr="00824C7F">
        <w:rPr>
          <w:rFonts w:ascii="Times New Roman" w:hAnsi="Times New Roman" w:cs="Times New Roman"/>
          <w:sz w:val="24"/>
          <w:szCs w:val="24"/>
        </w:rPr>
        <w:t>for location and cushion species</w:t>
      </w:r>
      <w:r w:rsidRPr="00BD6D61">
        <w:rPr>
          <w:rFonts w:ascii="Times New Roman" w:hAnsi="Times New Roman" w:cs="Times New Roman"/>
          <w:sz w:val="24"/>
          <w:szCs w:val="24"/>
        </w:rPr>
        <w:t xml:space="preserve">).  At each site, the number of individuals of each vascular plant species was counted in paired cushion and open plots of equal size, with a mean (±1 SE) of 81 (±3) sets of paired plots per cushion species and </w:t>
      </w:r>
      <w:r w:rsidRPr="00BD6D61">
        <w:rPr>
          <w:rFonts w:ascii="Times New Roman" w:hAnsi="Times New Roman" w:cs="Times New Roman"/>
          <w:sz w:val="24"/>
          <w:szCs w:val="24"/>
        </w:rPr>
        <w:lastRenderedPageBreak/>
        <w:t>site.  Total percent cover of vegetation was directly estimated using line-intercept methods, and the Global Land Data Assimilation System (GLDAS, a global, high-resolution, offline terrestrial modeling system that merges satellite and ground-based observations to produce optimal estimates of land surface states and fluxes) was used to obtain near-surface monthly minimum, maximum, and mean air temperatures, near-surface relative humidity, precipitation</w:t>
      </w:r>
      <w:r w:rsidR="00CF6A26">
        <w:rPr>
          <w:rFonts w:ascii="Times New Roman" w:hAnsi="Times New Roman" w:cs="Times New Roman"/>
          <w:sz w:val="24"/>
          <w:szCs w:val="24"/>
        </w:rPr>
        <w:t>,</w:t>
      </w:r>
      <w:r w:rsidRPr="00BD6D61">
        <w:rPr>
          <w:rFonts w:ascii="Times New Roman" w:hAnsi="Times New Roman" w:cs="Times New Roman"/>
          <w:sz w:val="24"/>
          <w:szCs w:val="24"/>
        </w:rPr>
        <w:t xml:space="preserve"> actual </w:t>
      </w:r>
      <w:proofErr w:type="spellStart"/>
      <w:r w:rsidRPr="00BD6D61">
        <w:rPr>
          <w:rFonts w:ascii="Times New Roman" w:hAnsi="Times New Roman" w:cs="Times New Roman"/>
          <w:sz w:val="24"/>
          <w:szCs w:val="24"/>
        </w:rPr>
        <w:t>evapo</w:t>
      </w:r>
      <w:proofErr w:type="spellEnd"/>
      <w:r w:rsidRPr="00BD6D61">
        <w:rPr>
          <w:rFonts w:ascii="Times New Roman" w:hAnsi="Times New Roman" w:cs="Times New Roman"/>
          <w:sz w:val="24"/>
          <w:szCs w:val="24"/>
        </w:rPr>
        <w:t xml:space="preserve">-transpiration and net difference vegetation index (NDVI) at all sites.  These data were condensed to summer means, </w:t>
      </w:r>
      <w:proofErr w:type="gramStart"/>
      <w:r w:rsidRPr="00BD6D61">
        <w:rPr>
          <w:rFonts w:ascii="Times New Roman" w:hAnsi="Times New Roman" w:cs="Times New Roman"/>
          <w:sz w:val="24"/>
          <w:szCs w:val="24"/>
        </w:rPr>
        <w:t>calculated</w:t>
      </w:r>
      <w:proofErr w:type="gramEnd"/>
      <w:r w:rsidRPr="00BD6D61">
        <w:rPr>
          <w:rFonts w:ascii="Times New Roman" w:hAnsi="Times New Roman" w:cs="Times New Roman"/>
          <w:sz w:val="24"/>
          <w:szCs w:val="24"/>
        </w:rPr>
        <w:t xml:space="preserve"> as </w:t>
      </w:r>
      <w:commentRangeStart w:id="2"/>
      <w:r w:rsidRPr="00BD6D61">
        <w:rPr>
          <w:rFonts w:ascii="Times New Roman" w:hAnsi="Times New Roman" w:cs="Times New Roman"/>
          <w:sz w:val="24"/>
          <w:szCs w:val="24"/>
          <w:highlight w:val="yellow"/>
        </w:rPr>
        <w:t>[which months in each hemisphere?]</w:t>
      </w:r>
      <w:commentRangeEnd w:id="2"/>
      <w:r w:rsidR="005B1D47">
        <w:rPr>
          <w:rStyle w:val="CommentReference"/>
          <w:rFonts w:ascii="Calibri" w:eastAsia="Times New Roman" w:hAnsi="Calibri" w:cs="Times New Roman"/>
        </w:rPr>
        <w:commentReference w:id="2"/>
      </w:r>
      <w:r w:rsidRPr="00BD6D61">
        <w:rPr>
          <w:rFonts w:ascii="Times New Roman" w:hAnsi="Times New Roman" w:cs="Times New Roman"/>
          <w:sz w:val="24"/>
          <w:szCs w:val="24"/>
        </w:rPr>
        <w:t>.</w:t>
      </w:r>
    </w:p>
    <w:p w:rsidR="00E3760B" w:rsidRPr="00BD6D61" w:rsidRDefault="00E3760B" w:rsidP="00E3760B">
      <w:pPr>
        <w:pStyle w:val="NoSpacing"/>
        <w:spacing w:line="480" w:lineRule="auto"/>
        <w:rPr>
          <w:rFonts w:ascii="Times New Roman" w:hAnsi="Times New Roman" w:cs="Times New Roman"/>
          <w:sz w:val="24"/>
          <w:szCs w:val="24"/>
        </w:rPr>
      </w:pPr>
      <w:r w:rsidRPr="00BD6D61">
        <w:rPr>
          <w:rFonts w:ascii="Times New Roman" w:hAnsi="Times New Roman" w:cs="Times New Roman"/>
          <w:sz w:val="24"/>
          <w:szCs w:val="24"/>
        </w:rPr>
        <w:tab/>
        <w:t xml:space="preserve">Phylogenetic relationships among all 1045 species were </w:t>
      </w:r>
      <w:r>
        <w:rPr>
          <w:rFonts w:ascii="Times New Roman" w:hAnsi="Times New Roman" w:cs="Times New Roman"/>
          <w:sz w:val="24"/>
          <w:szCs w:val="24"/>
        </w:rPr>
        <w:t>constructed by grafting</w:t>
      </w:r>
      <w:r w:rsidRPr="00BD6D61">
        <w:rPr>
          <w:rFonts w:ascii="Times New Roman" w:hAnsi="Times New Roman" w:cs="Times New Roman"/>
          <w:sz w:val="24"/>
          <w:szCs w:val="24"/>
        </w:rPr>
        <w:t xml:space="preserve"> </w:t>
      </w:r>
      <w:r>
        <w:rPr>
          <w:rFonts w:ascii="Times New Roman" w:hAnsi="Times New Roman" w:cs="Times New Roman"/>
          <w:sz w:val="24"/>
          <w:szCs w:val="24"/>
        </w:rPr>
        <w:t>published phylogenies onto a family-level backbone,</w:t>
      </w:r>
      <w:r w:rsidRPr="00BD6D61">
        <w:rPr>
          <w:rFonts w:ascii="Times New Roman" w:hAnsi="Times New Roman" w:cs="Times New Roman"/>
          <w:sz w:val="24"/>
          <w:szCs w:val="24"/>
        </w:rPr>
        <w:t xml:space="preserve"> </w:t>
      </w:r>
      <w:r>
        <w:rPr>
          <w:rFonts w:ascii="Times New Roman" w:hAnsi="Times New Roman" w:cs="Times New Roman"/>
          <w:sz w:val="24"/>
          <w:szCs w:val="24"/>
        </w:rPr>
        <w:t>based on</w:t>
      </w:r>
      <w:r w:rsidRPr="00BD6D61">
        <w:rPr>
          <w:rFonts w:ascii="Times New Roman" w:hAnsi="Times New Roman" w:cs="Times New Roman"/>
          <w:sz w:val="24"/>
          <w:szCs w:val="24"/>
        </w:rPr>
        <w:t xml:space="preserve"> the APG3 derived </w:t>
      </w:r>
      <w:proofErr w:type="spellStart"/>
      <w:r w:rsidRPr="00BD6D61">
        <w:rPr>
          <w:rFonts w:ascii="Times New Roman" w:hAnsi="Times New Roman" w:cs="Times New Roman"/>
          <w:sz w:val="24"/>
          <w:szCs w:val="24"/>
        </w:rPr>
        <w:t>megatree</w:t>
      </w:r>
      <w:proofErr w:type="spellEnd"/>
      <w:r w:rsidRPr="00BD6D61">
        <w:rPr>
          <w:rFonts w:ascii="Times New Roman" w:hAnsi="Times New Roman" w:cs="Times New Roman"/>
          <w:sz w:val="24"/>
          <w:szCs w:val="24"/>
        </w:rPr>
        <w:t xml:space="preserve"> </w:t>
      </w:r>
      <w:r>
        <w:rPr>
          <w:rFonts w:ascii="Times New Roman" w:hAnsi="Times New Roman" w:cs="Times New Roman"/>
          <w:sz w:val="24"/>
          <w:szCs w:val="24"/>
        </w:rPr>
        <w:t xml:space="preserve">produced with </w:t>
      </w:r>
      <w:proofErr w:type="spellStart"/>
      <w:r w:rsidRPr="00BD6D61">
        <w:rPr>
          <w:rFonts w:ascii="Times New Roman" w:hAnsi="Times New Roman" w:cs="Times New Roman"/>
          <w:sz w:val="24"/>
          <w:szCs w:val="24"/>
        </w:rPr>
        <w:t>Phylomatic</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RW.CITE{{760 Webb,C.O. 2005}}</w:instrText>
      </w:r>
      <w:r>
        <w:rPr>
          <w:rFonts w:ascii="Times New Roman" w:hAnsi="Times New Roman" w:cs="Times New Roman"/>
          <w:sz w:val="24"/>
          <w:szCs w:val="24"/>
        </w:rPr>
        <w:fldChar w:fldCharType="separate"/>
      </w:r>
      <w:r w:rsidR="002A40DD">
        <w:rPr>
          <w:rFonts w:ascii="Calibri" w:eastAsia="Times New Roman" w:hAnsi="Calibri" w:cs="Calibri"/>
        </w:rPr>
        <w:t>(Webb and Donoghue, 2005)</w:t>
      </w:r>
      <w:r>
        <w:rPr>
          <w:rFonts w:ascii="Times New Roman" w:hAnsi="Times New Roman" w:cs="Times New Roman"/>
          <w:sz w:val="24"/>
          <w:szCs w:val="24"/>
        </w:rPr>
        <w:fldChar w:fldCharType="end"/>
      </w:r>
      <w:r w:rsidRPr="00BD6D61">
        <w:rPr>
          <w:rFonts w:ascii="Times New Roman" w:hAnsi="Times New Roman" w:cs="Times New Roman"/>
          <w:sz w:val="24"/>
          <w:szCs w:val="24"/>
        </w:rPr>
        <w:t xml:space="preserve">.  </w:t>
      </w:r>
      <w:proofErr w:type="spellStart"/>
      <w:r w:rsidRPr="00BD6D61">
        <w:rPr>
          <w:rFonts w:ascii="Times New Roman" w:hAnsi="Times New Roman" w:cs="Times New Roman"/>
          <w:sz w:val="24"/>
          <w:szCs w:val="24"/>
        </w:rPr>
        <w:t>Polytomies</w:t>
      </w:r>
      <w:proofErr w:type="spellEnd"/>
      <w:r w:rsidRPr="00BD6D61">
        <w:rPr>
          <w:rFonts w:ascii="Times New Roman" w:hAnsi="Times New Roman" w:cs="Times New Roman"/>
          <w:sz w:val="24"/>
          <w:szCs w:val="24"/>
        </w:rPr>
        <w:t xml:space="preserve"> were present below the family level, and were resolved from published, clade-specific phylogenies </w:t>
      </w:r>
      <w:r>
        <w:rPr>
          <w:rFonts w:ascii="Times New Roman" w:hAnsi="Times New Roman" w:cs="Times New Roman"/>
          <w:sz w:val="24"/>
          <w:szCs w:val="24"/>
        </w:rPr>
        <w:t>to the genus level</w:t>
      </w:r>
      <w:r w:rsidRPr="00BD6D61">
        <w:rPr>
          <w:rFonts w:ascii="Times New Roman" w:hAnsi="Times New Roman" w:cs="Times New Roman"/>
          <w:sz w:val="24"/>
          <w:szCs w:val="24"/>
        </w:rPr>
        <w:t xml:space="preserve"> (</w:t>
      </w:r>
      <w:r w:rsidRPr="007202A9">
        <w:rPr>
          <w:rFonts w:ascii="Times New Roman" w:hAnsi="Times New Roman" w:cs="Times New Roman"/>
          <w:sz w:val="24"/>
          <w:szCs w:val="24"/>
        </w:rPr>
        <w:t xml:space="preserve">see Appendix </w:t>
      </w:r>
      <w:r w:rsidR="00824C7F" w:rsidRPr="007202A9">
        <w:rPr>
          <w:rFonts w:ascii="Times New Roman" w:hAnsi="Times New Roman" w:cs="Times New Roman"/>
          <w:sz w:val="24"/>
          <w:szCs w:val="24"/>
        </w:rPr>
        <w:t>S2</w:t>
      </w:r>
      <w:r w:rsidRPr="007202A9">
        <w:rPr>
          <w:rFonts w:ascii="Times New Roman" w:hAnsi="Times New Roman" w:cs="Times New Roman"/>
          <w:sz w:val="24"/>
          <w:szCs w:val="24"/>
        </w:rPr>
        <w:t xml:space="preserve"> for references </w:t>
      </w:r>
      <w:r w:rsidRPr="0006779A">
        <w:rPr>
          <w:rFonts w:ascii="Times New Roman" w:hAnsi="Times New Roman" w:cs="Times New Roman"/>
          <w:sz w:val="24"/>
          <w:szCs w:val="24"/>
        </w:rPr>
        <w:t xml:space="preserve">and Appendix </w:t>
      </w:r>
      <w:r w:rsidR="00824C7F" w:rsidRPr="0006779A">
        <w:rPr>
          <w:rFonts w:ascii="Times New Roman" w:hAnsi="Times New Roman" w:cs="Times New Roman"/>
          <w:sz w:val="24"/>
          <w:szCs w:val="24"/>
        </w:rPr>
        <w:t>S3</w:t>
      </w:r>
      <w:r w:rsidRPr="0006779A">
        <w:rPr>
          <w:rFonts w:ascii="Times New Roman" w:hAnsi="Times New Roman" w:cs="Times New Roman"/>
          <w:sz w:val="24"/>
          <w:szCs w:val="24"/>
        </w:rPr>
        <w:t xml:space="preserve"> for the </w:t>
      </w:r>
      <w:proofErr w:type="spellStart"/>
      <w:r w:rsidRPr="0006779A">
        <w:rPr>
          <w:rFonts w:ascii="Times New Roman" w:hAnsi="Times New Roman" w:cs="Times New Roman"/>
          <w:sz w:val="24"/>
          <w:szCs w:val="24"/>
        </w:rPr>
        <w:t>Newick</w:t>
      </w:r>
      <w:proofErr w:type="spellEnd"/>
      <w:r w:rsidRPr="0006779A">
        <w:rPr>
          <w:rFonts w:ascii="Times New Roman" w:hAnsi="Times New Roman" w:cs="Times New Roman"/>
          <w:sz w:val="24"/>
          <w:szCs w:val="24"/>
        </w:rPr>
        <w:t xml:space="preserve"> file</w:t>
      </w:r>
      <w:r w:rsidRPr="00BD6D61">
        <w:rPr>
          <w:rFonts w:ascii="Times New Roman" w:hAnsi="Times New Roman" w:cs="Times New Roman"/>
          <w:sz w:val="24"/>
          <w:szCs w:val="24"/>
        </w:rPr>
        <w:t xml:space="preserve">).  </w:t>
      </w:r>
      <w:proofErr w:type="spellStart"/>
      <w:r w:rsidRPr="00BD6D61">
        <w:rPr>
          <w:rFonts w:ascii="Times New Roman" w:hAnsi="Times New Roman" w:cs="Times New Roman"/>
          <w:sz w:val="24"/>
          <w:szCs w:val="24"/>
        </w:rPr>
        <w:t>Polytomies</w:t>
      </w:r>
      <w:proofErr w:type="spellEnd"/>
      <w:r w:rsidRPr="00BD6D61">
        <w:rPr>
          <w:rFonts w:ascii="Times New Roman" w:hAnsi="Times New Roman" w:cs="Times New Roman"/>
          <w:sz w:val="24"/>
          <w:szCs w:val="24"/>
        </w:rPr>
        <w:t xml:space="preserve"> among species within genera were randomly broken, as species-level phylogenetic information was rarely available or consistent across studies.  </w:t>
      </w:r>
      <w:r>
        <w:rPr>
          <w:rFonts w:ascii="Times New Roman" w:hAnsi="Times New Roman" w:cs="Times New Roman"/>
          <w:sz w:val="24"/>
          <w:szCs w:val="24"/>
        </w:rPr>
        <w:t xml:space="preserve">The lack of resolution at terminal nodes is likely to make subsequent tests slightly conservative, if they are affected at all </w:t>
      </w:r>
      <w:r>
        <w:rPr>
          <w:rFonts w:ascii="Times New Roman" w:hAnsi="Times New Roman" w:cs="Times New Roman"/>
          <w:sz w:val="24"/>
          <w:szCs w:val="24"/>
        </w:rPr>
        <w:fldChar w:fldCharType="begin"/>
      </w:r>
      <w:r>
        <w:rPr>
          <w:rFonts w:ascii="Times New Roman" w:hAnsi="Times New Roman" w:cs="Times New Roman"/>
          <w:sz w:val="24"/>
          <w:szCs w:val="24"/>
        </w:rPr>
        <w:instrText>ADDIN RW.CITE{{327 Swenson,N.G. 2009}}</w:instrText>
      </w:r>
      <w:r>
        <w:rPr>
          <w:rFonts w:ascii="Times New Roman" w:hAnsi="Times New Roman" w:cs="Times New Roman"/>
          <w:sz w:val="24"/>
          <w:szCs w:val="24"/>
        </w:rPr>
        <w:fldChar w:fldCharType="separate"/>
      </w:r>
      <w:r w:rsidR="002A40DD">
        <w:rPr>
          <w:rFonts w:ascii="Calibri" w:eastAsia="Times New Roman" w:hAnsi="Calibri" w:cs="Calibri"/>
        </w:rPr>
        <w:t>(Swenson,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D6D61">
        <w:rPr>
          <w:rFonts w:ascii="Times New Roman" w:hAnsi="Times New Roman" w:cs="Times New Roman"/>
          <w:sz w:val="24"/>
          <w:szCs w:val="24"/>
        </w:rPr>
        <w:t xml:space="preserve">Dated nodes from </w:t>
      </w:r>
      <w:proofErr w:type="spellStart"/>
      <w:r w:rsidRPr="00BD6D61">
        <w:rPr>
          <w:rFonts w:ascii="Times New Roman" w:hAnsi="Times New Roman" w:cs="Times New Roman"/>
          <w:sz w:val="24"/>
          <w:szCs w:val="24"/>
        </w:rPr>
        <w:t>Wikstrom</w:t>
      </w:r>
      <w:proofErr w:type="spellEnd"/>
      <w:r w:rsidRPr="00BD6D61">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ADDIN RW.CITE{{761 Wikstrom,N. 2001}}</w:instrText>
      </w:r>
      <w:r>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Wikstrom</w:t>
      </w:r>
      <w:proofErr w:type="spellEnd"/>
      <w:r w:rsidR="002A40DD">
        <w:rPr>
          <w:rFonts w:ascii="Calibri" w:eastAsia="Times New Roman" w:hAnsi="Calibri" w:cs="Calibri"/>
          <w:i/>
          <w:iCs/>
        </w:rPr>
        <w:t xml:space="preserve"> et al</w:t>
      </w:r>
      <w:r w:rsidR="002A40DD">
        <w:rPr>
          <w:rFonts w:ascii="Calibri" w:eastAsia="Times New Roman" w:hAnsi="Calibri" w:cs="Calibri"/>
        </w:rPr>
        <w:t>, 2001)</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spellStart"/>
      <w:r>
        <w:rPr>
          <w:rFonts w:ascii="Times New Roman" w:hAnsi="Times New Roman" w:cs="Times New Roman"/>
          <w:sz w:val="24"/>
          <w:szCs w:val="24"/>
        </w:rPr>
        <w:t>TimeTree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RW.CITE{{926 Hedges,S.Blair 2006}}</w:instrText>
      </w:r>
      <w:r>
        <w:rPr>
          <w:rFonts w:ascii="Times New Roman" w:hAnsi="Times New Roman" w:cs="Times New Roman"/>
          <w:sz w:val="24"/>
          <w:szCs w:val="24"/>
        </w:rPr>
        <w:fldChar w:fldCharType="separate"/>
      </w:r>
      <w:r w:rsidR="002A40DD">
        <w:rPr>
          <w:rFonts w:ascii="Calibri" w:eastAsia="Times New Roman" w:hAnsi="Calibri" w:cs="Calibri"/>
        </w:rPr>
        <w:t>(Hedges</w:t>
      </w:r>
      <w:r w:rsidR="002A40DD">
        <w:rPr>
          <w:rFonts w:ascii="Calibri" w:eastAsia="Times New Roman" w:hAnsi="Calibri" w:cs="Calibri"/>
          <w:i/>
          <w:iCs/>
        </w:rPr>
        <w:t xml:space="preserve"> et al</w:t>
      </w:r>
      <w:r w:rsidR="002A40DD">
        <w:rPr>
          <w:rFonts w:ascii="Calibri" w:eastAsia="Times New Roman" w:hAnsi="Calibri" w:cs="Calibri"/>
        </w:rPr>
        <w:t>, 2006)</w:t>
      </w:r>
      <w:r>
        <w:rPr>
          <w:rFonts w:ascii="Times New Roman" w:hAnsi="Times New Roman" w:cs="Times New Roman"/>
          <w:sz w:val="24"/>
          <w:szCs w:val="24"/>
        </w:rPr>
        <w:fldChar w:fldCharType="end"/>
      </w:r>
      <w:r w:rsidRPr="00BD6D61">
        <w:rPr>
          <w:rFonts w:ascii="Times New Roman" w:hAnsi="Times New Roman" w:cs="Times New Roman"/>
          <w:sz w:val="24"/>
          <w:szCs w:val="24"/>
        </w:rPr>
        <w:t xml:space="preserve"> were used to restrict branch-lengths based on estimated divergence dates, with undated descendant nodes evenly spaced using the </w:t>
      </w:r>
      <w:proofErr w:type="spellStart"/>
      <w:r w:rsidRPr="00BD6D61">
        <w:rPr>
          <w:rFonts w:ascii="Times New Roman" w:hAnsi="Times New Roman" w:cs="Times New Roman"/>
          <w:sz w:val="24"/>
          <w:szCs w:val="24"/>
        </w:rPr>
        <w:t>bladj</w:t>
      </w:r>
      <w:proofErr w:type="spellEnd"/>
      <w:r w:rsidRPr="00BD6D61">
        <w:rPr>
          <w:rFonts w:ascii="Times New Roman" w:hAnsi="Times New Roman" w:cs="Times New Roman"/>
          <w:sz w:val="24"/>
          <w:szCs w:val="24"/>
        </w:rPr>
        <w:t xml:space="preserve"> algorithm in </w:t>
      </w:r>
      <w:proofErr w:type="spellStart"/>
      <w:r w:rsidRPr="00BD6D61">
        <w:rPr>
          <w:rFonts w:ascii="Times New Roman" w:hAnsi="Times New Roman" w:cs="Times New Roman"/>
          <w:sz w:val="24"/>
          <w:szCs w:val="24"/>
        </w:rPr>
        <w:t>Phylocom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RW.CITE{{762 Webb,C.O. 2008}}</w:instrText>
      </w:r>
      <w:r>
        <w:rPr>
          <w:rFonts w:ascii="Times New Roman" w:hAnsi="Times New Roman" w:cs="Times New Roman"/>
          <w:sz w:val="24"/>
          <w:szCs w:val="24"/>
        </w:rPr>
        <w:fldChar w:fldCharType="separate"/>
      </w:r>
      <w:r w:rsidR="002A40DD">
        <w:rPr>
          <w:rFonts w:ascii="Calibri" w:eastAsia="Times New Roman" w:hAnsi="Calibri" w:cs="Calibri"/>
        </w:rPr>
        <w:t>(Webb</w:t>
      </w:r>
      <w:r w:rsidR="002A40DD">
        <w:rPr>
          <w:rFonts w:ascii="Calibri" w:eastAsia="Times New Roman" w:hAnsi="Calibri" w:cs="Calibri"/>
          <w:i/>
          <w:iCs/>
        </w:rPr>
        <w:t xml:space="preserve"> et al</w:t>
      </w:r>
      <w:r w:rsidR="002A40DD">
        <w:rPr>
          <w:rFonts w:ascii="Calibri" w:eastAsia="Times New Roman" w:hAnsi="Calibri" w:cs="Calibri"/>
        </w:rPr>
        <w:t>, 2008)</w:t>
      </w:r>
      <w:r>
        <w:rPr>
          <w:rFonts w:ascii="Times New Roman" w:hAnsi="Times New Roman" w:cs="Times New Roman"/>
          <w:sz w:val="24"/>
          <w:szCs w:val="24"/>
        </w:rPr>
        <w:fldChar w:fldCharType="end"/>
      </w:r>
      <w:r w:rsidRPr="00BD6D61">
        <w:rPr>
          <w:rFonts w:ascii="Times New Roman" w:hAnsi="Times New Roman" w:cs="Times New Roman"/>
          <w:sz w:val="24"/>
          <w:szCs w:val="24"/>
        </w:rPr>
        <w:t>.</w:t>
      </w:r>
    </w:p>
    <w:p w:rsidR="00E3760B" w:rsidRDefault="00E3760B" w:rsidP="00E3760B">
      <w:pPr>
        <w:pStyle w:val="NoSpacing"/>
        <w:spacing w:line="480" w:lineRule="auto"/>
        <w:rPr>
          <w:rFonts w:ascii="Times New Roman" w:hAnsi="Times New Roman" w:cs="Times New Roman"/>
          <w:sz w:val="24"/>
          <w:szCs w:val="24"/>
        </w:rPr>
      </w:pPr>
    </w:p>
    <w:p w:rsidR="00E3760B" w:rsidRPr="00A90541" w:rsidRDefault="00E3760B" w:rsidP="00E3760B">
      <w:pPr>
        <w:pStyle w:val="NoSpacing"/>
        <w:spacing w:line="480" w:lineRule="auto"/>
        <w:rPr>
          <w:rFonts w:ascii="Arial" w:hAnsi="Arial" w:cs="Arial"/>
          <w:b/>
          <w:sz w:val="24"/>
          <w:szCs w:val="24"/>
        </w:rPr>
      </w:pPr>
      <w:r w:rsidRPr="00A90541">
        <w:rPr>
          <w:rFonts w:ascii="Arial" w:hAnsi="Arial" w:cs="Arial"/>
          <w:b/>
          <w:sz w:val="24"/>
          <w:szCs w:val="24"/>
        </w:rPr>
        <w:t>Community Phylogenetic Structure</w:t>
      </w:r>
    </w:p>
    <w:p w:rsidR="00E3760B" w:rsidRDefault="00E3760B" w:rsidP="00E3760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w:t>
      </w:r>
      <w:r w:rsidRPr="00BD6D61">
        <w:rPr>
          <w:rFonts w:ascii="Times New Roman" w:hAnsi="Times New Roman" w:cs="Times New Roman"/>
          <w:sz w:val="24"/>
          <w:szCs w:val="24"/>
        </w:rPr>
        <w:t xml:space="preserve">hylogenetic structure was estimated </w:t>
      </w:r>
      <w:r>
        <w:rPr>
          <w:rFonts w:ascii="Times New Roman" w:hAnsi="Times New Roman" w:cs="Times New Roman"/>
          <w:sz w:val="24"/>
          <w:szCs w:val="24"/>
        </w:rPr>
        <w:t>within and between open and cushion communities at</w:t>
      </w:r>
      <w:r w:rsidRPr="00BD6D61">
        <w:rPr>
          <w:rFonts w:ascii="Times New Roman" w:hAnsi="Times New Roman" w:cs="Times New Roman"/>
          <w:sz w:val="24"/>
          <w:szCs w:val="24"/>
        </w:rPr>
        <w:t xml:space="preserve"> two different </w:t>
      </w:r>
      <w:r>
        <w:rPr>
          <w:rFonts w:ascii="Times New Roman" w:hAnsi="Times New Roman" w:cs="Times New Roman"/>
          <w:sz w:val="24"/>
          <w:szCs w:val="24"/>
        </w:rPr>
        <w:t>scales</w:t>
      </w:r>
      <w:r w:rsidRPr="00BD6D61">
        <w:rPr>
          <w:rFonts w:ascii="Times New Roman" w:hAnsi="Times New Roman" w:cs="Times New Roman"/>
          <w:sz w:val="24"/>
          <w:szCs w:val="24"/>
        </w:rPr>
        <w:t xml:space="preserve">.  </w:t>
      </w:r>
      <w:r>
        <w:rPr>
          <w:rFonts w:ascii="Times New Roman" w:hAnsi="Times New Roman" w:cs="Times New Roman"/>
          <w:sz w:val="24"/>
          <w:szCs w:val="24"/>
        </w:rPr>
        <w:t xml:space="preserve">A global species pool consisting of the full suite of </w:t>
      </w:r>
      <w:r w:rsidRPr="00BD6D61">
        <w:rPr>
          <w:rFonts w:ascii="Times New Roman" w:hAnsi="Times New Roman" w:cs="Times New Roman"/>
          <w:sz w:val="24"/>
          <w:szCs w:val="24"/>
        </w:rPr>
        <w:t>non-cushion species found across</w:t>
      </w:r>
      <w:r>
        <w:rPr>
          <w:rFonts w:ascii="Times New Roman" w:hAnsi="Times New Roman" w:cs="Times New Roman"/>
          <w:sz w:val="24"/>
          <w:szCs w:val="24"/>
        </w:rPr>
        <w:t xml:space="preserve"> all sites was utilized for comparisons across sites, whereas comparisons among plots </w:t>
      </w:r>
      <w:r>
        <w:rPr>
          <w:rFonts w:ascii="Times New Roman" w:hAnsi="Times New Roman" w:cs="Times New Roman"/>
          <w:sz w:val="24"/>
          <w:szCs w:val="24"/>
        </w:rPr>
        <w:lastRenderedPageBreak/>
        <w:t>within a site utilized individual</w:t>
      </w:r>
      <w:r w:rsidRPr="00BD6D61">
        <w:rPr>
          <w:rFonts w:ascii="Times New Roman" w:hAnsi="Times New Roman" w:cs="Times New Roman"/>
          <w:sz w:val="24"/>
          <w:szCs w:val="24"/>
        </w:rPr>
        <w:t xml:space="preserve"> local species pools </w:t>
      </w:r>
      <w:r>
        <w:rPr>
          <w:rFonts w:ascii="Times New Roman" w:hAnsi="Times New Roman" w:cs="Times New Roman"/>
          <w:sz w:val="24"/>
          <w:szCs w:val="24"/>
        </w:rPr>
        <w:t>that comprised both the open and cushion microsites</w:t>
      </w:r>
      <w:r w:rsidRPr="00BD6D61">
        <w:rPr>
          <w:rFonts w:ascii="Times New Roman" w:hAnsi="Times New Roman" w:cs="Times New Roman"/>
          <w:sz w:val="24"/>
          <w:szCs w:val="24"/>
        </w:rPr>
        <w:t xml:space="preserve">.  </w:t>
      </w:r>
      <w:r w:rsidR="00C17D2D">
        <w:rPr>
          <w:rFonts w:ascii="Times New Roman" w:hAnsi="Times New Roman" w:cs="Times New Roman"/>
          <w:sz w:val="24"/>
          <w:szCs w:val="24"/>
        </w:rPr>
        <w:t>All measures of phylogenetic structure were based on the log</w:t>
      </w:r>
      <w:r w:rsidR="00C17D2D" w:rsidRPr="00C17D2D">
        <w:rPr>
          <w:rFonts w:ascii="Times New Roman" w:hAnsi="Times New Roman" w:cs="Times New Roman"/>
          <w:sz w:val="24"/>
          <w:szCs w:val="24"/>
          <w:vertAlign w:val="subscript"/>
        </w:rPr>
        <w:t>10</w:t>
      </w:r>
      <w:r w:rsidR="00C17D2D">
        <w:rPr>
          <w:rFonts w:ascii="Times New Roman" w:hAnsi="Times New Roman" w:cs="Times New Roman"/>
          <w:sz w:val="24"/>
          <w:szCs w:val="24"/>
        </w:rPr>
        <w:t xml:space="preserve">-transformed abundance (+1) in order to minimize effects of particularly abundant species.   </w:t>
      </w:r>
      <w:r w:rsidRPr="00BD6D61">
        <w:rPr>
          <w:rFonts w:ascii="Times New Roman" w:hAnsi="Times New Roman" w:cs="Times New Roman"/>
          <w:sz w:val="24"/>
          <w:szCs w:val="24"/>
        </w:rPr>
        <w:t xml:space="preserve">Phylogenetic structure across sites was calculated for </w:t>
      </w:r>
      <w:r>
        <w:rPr>
          <w:rFonts w:ascii="Times New Roman" w:hAnsi="Times New Roman" w:cs="Times New Roman"/>
          <w:sz w:val="24"/>
          <w:szCs w:val="24"/>
        </w:rPr>
        <w:t xml:space="preserve">the </w:t>
      </w:r>
      <w:r w:rsidRPr="00BD6D61">
        <w:rPr>
          <w:rFonts w:ascii="Times New Roman" w:hAnsi="Times New Roman" w:cs="Times New Roman"/>
          <w:sz w:val="24"/>
          <w:szCs w:val="24"/>
        </w:rPr>
        <w:t>open, cushion</w:t>
      </w:r>
      <w:r>
        <w:rPr>
          <w:rFonts w:ascii="Times New Roman" w:hAnsi="Times New Roman" w:cs="Times New Roman"/>
          <w:sz w:val="24"/>
          <w:szCs w:val="24"/>
        </w:rPr>
        <w:t>s and both microsite types combined</w:t>
      </w:r>
      <w:r w:rsidRPr="00BD6D61">
        <w:rPr>
          <w:rFonts w:ascii="Times New Roman" w:hAnsi="Times New Roman" w:cs="Times New Roman"/>
          <w:sz w:val="24"/>
          <w:szCs w:val="24"/>
        </w:rPr>
        <w:t xml:space="preserve"> (open plus cushion), as well as within each site for open plots, cushion plots and paired open and cushion plots.  </w:t>
      </w:r>
      <w:r>
        <w:rPr>
          <w:rFonts w:ascii="Times New Roman" w:hAnsi="Times New Roman" w:cs="Times New Roman"/>
          <w:sz w:val="24"/>
          <w:szCs w:val="24"/>
        </w:rPr>
        <w:t>For each of these six community levels, a</w:t>
      </w:r>
      <w:r w:rsidRPr="00BD6D61">
        <w:rPr>
          <w:rFonts w:ascii="Times New Roman" w:hAnsi="Times New Roman" w:cs="Times New Roman"/>
          <w:sz w:val="24"/>
          <w:szCs w:val="24"/>
        </w:rPr>
        <w:t xml:space="preserve">bundance-weighted </w:t>
      </w:r>
      <w:r>
        <w:rPr>
          <w:rFonts w:ascii="Times New Roman" w:hAnsi="Times New Roman" w:cs="Times New Roman"/>
          <w:sz w:val="24"/>
          <w:szCs w:val="24"/>
        </w:rPr>
        <w:t xml:space="preserve">mean phylogenetic distance (MPD) was calculated among species in a community </w:t>
      </w:r>
      <w:r>
        <w:rPr>
          <w:rFonts w:ascii="Times New Roman" w:hAnsi="Times New Roman" w:cs="Times New Roman"/>
          <w:sz w:val="24"/>
          <w:szCs w:val="24"/>
        </w:rPr>
        <w:fldChar w:fldCharType="begin"/>
      </w:r>
      <w:r>
        <w:rPr>
          <w:rFonts w:ascii="Times New Roman" w:hAnsi="Times New Roman" w:cs="Times New Roman"/>
          <w:sz w:val="24"/>
          <w:szCs w:val="24"/>
        </w:rPr>
        <w:instrText>ADDIN RW.CITE{{927 Webb,C.O. 2000}}</w:instrText>
      </w:r>
      <w:r>
        <w:rPr>
          <w:rFonts w:ascii="Times New Roman" w:hAnsi="Times New Roman" w:cs="Times New Roman"/>
          <w:sz w:val="24"/>
          <w:szCs w:val="24"/>
        </w:rPr>
        <w:fldChar w:fldCharType="separate"/>
      </w:r>
      <w:r w:rsidR="002A40DD">
        <w:rPr>
          <w:rFonts w:ascii="Calibri" w:eastAsia="Times New Roman" w:hAnsi="Calibri" w:cs="Calibri"/>
        </w:rPr>
        <w:t>(Webb, 2000)</w:t>
      </w:r>
      <w:r>
        <w:rPr>
          <w:rFonts w:ascii="Times New Roman" w:hAnsi="Times New Roman" w:cs="Times New Roman"/>
          <w:sz w:val="24"/>
          <w:szCs w:val="24"/>
        </w:rPr>
        <w:fldChar w:fldCharType="end"/>
      </w:r>
      <w:r w:rsidRPr="00BD6D61">
        <w:rPr>
          <w:rFonts w:ascii="Times New Roman" w:hAnsi="Times New Roman" w:cs="Times New Roman"/>
          <w:sz w:val="24"/>
          <w:szCs w:val="24"/>
        </w:rPr>
        <w:t xml:space="preserve">.  </w:t>
      </w:r>
      <w:r>
        <w:rPr>
          <w:rFonts w:ascii="Times New Roman" w:hAnsi="Times New Roman" w:cs="Times New Roman"/>
          <w:sz w:val="24"/>
          <w:szCs w:val="24"/>
        </w:rPr>
        <w:t>O</w:t>
      </w:r>
      <w:r w:rsidRPr="00BD6D61">
        <w:rPr>
          <w:rFonts w:ascii="Times New Roman" w:hAnsi="Times New Roman" w:cs="Times New Roman"/>
          <w:sz w:val="24"/>
          <w:szCs w:val="24"/>
        </w:rPr>
        <w:t>bserved values</w:t>
      </w:r>
      <w:r>
        <w:rPr>
          <w:rFonts w:ascii="Times New Roman" w:hAnsi="Times New Roman" w:cs="Times New Roman"/>
          <w:sz w:val="24"/>
          <w:szCs w:val="24"/>
        </w:rPr>
        <w:t xml:space="preserve"> of MPD</w:t>
      </w:r>
      <w:r w:rsidRPr="00BD6D61">
        <w:rPr>
          <w:rFonts w:ascii="Times New Roman" w:hAnsi="Times New Roman" w:cs="Times New Roman"/>
          <w:sz w:val="24"/>
          <w:szCs w:val="24"/>
        </w:rPr>
        <w:t xml:space="preserve"> </w:t>
      </w:r>
      <w:r>
        <w:rPr>
          <w:rFonts w:ascii="Times New Roman" w:hAnsi="Times New Roman" w:cs="Times New Roman"/>
          <w:sz w:val="24"/>
          <w:szCs w:val="24"/>
        </w:rPr>
        <w:t xml:space="preserve">were compared </w:t>
      </w:r>
      <w:r w:rsidRPr="00BD6D61">
        <w:rPr>
          <w:rFonts w:ascii="Times New Roman" w:hAnsi="Times New Roman" w:cs="Times New Roman"/>
          <w:sz w:val="24"/>
          <w:szCs w:val="24"/>
        </w:rPr>
        <w:t xml:space="preserve">to the mean and standard deviation of </w:t>
      </w:r>
      <w:r>
        <w:rPr>
          <w:rFonts w:ascii="Times New Roman" w:hAnsi="Times New Roman" w:cs="Times New Roman"/>
          <w:sz w:val="24"/>
          <w:szCs w:val="24"/>
        </w:rPr>
        <w:t>MPD</w:t>
      </w:r>
      <w:r w:rsidRPr="00BD6D61">
        <w:rPr>
          <w:rFonts w:ascii="Times New Roman" w:hAnsi="Times New Roman" w:cs="Times New Roman"/>
          <w:sz w:val="24"/>
          <w:szCs w:val="24"/>
        </w:rPr>
        <w:t xml:space="preserve"> from 999 random communities generated with an independent swap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RW.CITE{{764 Kembel,S.W. 2010}}</w:instrText>
      </w:r>
      <w:r>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Kembel</w:t>
      </w:r>
      <w:proofErr w:type="spellEnd"/>
      <w:r w:rsidR="002A40DD">
        <w:rPr>
          <w:rFonts w:ascii="Calibri" w:eastAsia="Times New Roman" w:hAnsi="Calibri" w:cs="Calibri"/>
          <w:i/>
          <w:iCs/>
        </w:rPr>
        <w:t xml:space="preserve"> et al</w:t>
      </w:r>
      <w:r w:rsidR="002A40DD">
        <w:rPr>
          <w:rFonts w:ascii="Calibri" w:eastAsia="Times New Roman" w:hAnsi="Calibri" w:cs="Calibri"/>
        </w:rPr>
        <w:t>, 2010)</w:t>
      </w:r>
      <w:r>
        <w:rPr>
          <w:rFonts w:ascii="Times New Roman" w:hAnsi="Times New Roman" w:cs="Times New Roman"/>
          <w:sz w:val="24"/>
          <w:szCs w:val="24"/>
        </w:rPr>
        <w:fldChar w:fldCharType="end"/>
      </w:r>
      <w:r w:rsidRPr="00BD6D61">
        <w:rPr>
          <w:rFonts w:ascii="Times New Roman" w:hAnsi="Times New Roman" w:cs="Times New Roman"/>
          <w:sz w:val="24"/>
          <w:szCs w:val="24"/>
        </w:rPr>
        <w:t>, which maintains species occurrence frequency and sample species richness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RW.CITE{{928 Gotelli,N.J. 2000}}</w:instrText>
      </w:r>
      <w:r>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Gotelli</w:t>
      </w:r>
      <w:proofErr w:type="spellEnd"/>
      <w:r w:rsidR="002A40DD">
        <w:rPr>
          <w:rFonts w:ascii="Calibri" w:eastAsia="Times New Roman" w:hAnsi="Calibri" w:cs="Calibri"/>
        </w:rPr>
        <w:t>, 2000)</w:t>
      </w:r>
      <w:r>
        <w:rPr>
          <w:rFonts w:ascii="Times New Roman" w:hAnsi="Times New Roman" w:cs="Times New Roman"/>
          <w:sz w:val="24"/>
          <w:szCs w:val="24"/>
        </w:rPr>
        <w:fldChar w:fldCharType="end"/>
      </w:r>
      <w:r w:rsidRPr="00BD6D61">
        <w:rPr>
          <w:rFonts w:ascii="Times New Roman" w:hAnsi="Times New Roman" w:cs="Times New Roman"/>
          <w:sz w:val="24"/>
          <w:szCs w:val="24"/>
        </w:rPr>
        <w:t xml:space="preserve">.  </w:t>
      </w:r>
      <w:r>
        <w:rPr>
          <w:rFonts w:ascii="Times New Roman" w:hAnsi="Times New Roman" w:cs="Times New Roman"/>
          <w:sz w:val="24"/>
          <w:szCs w:val="24"/>
        </w:rPr>
        <w:t xml:space="preserve">This quotient was converted to net relatedness index, where NRI = </w:t>
      </w:r>
      <m:oMath>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MPD</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MPD</m:t>
                    </m:r>
                  </m:e>
                </m:acc>
              </m:e>
              <m:sub>
                <m:r>
                  <w:rPr>
                    <w:rFonts w:ascii="Cambria Math" w:hAnsi="Cambria Math" w:cs="Times New Roman"/>
                    <w:sz w:val="24"/>
                    <w:szCs w:val="24"/>
                  </w:rPr>
                  <m:t>rand</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rand</m:t>
            </m:r>
          </m:sub>
        </m:sSub>
      </m:oMath>
      <w:r>
        <w:rPr>
          <w:rFonts w:ascii="Times New Roman" w:eastAsiaTheme="minorEastAsia" w:hAnsi="Times New Roman" w:cs="Times New Roman"/>
          <w:sz w:val="24"/>
          <w:szCs w:val="24"/>
        </w:rPr>
        <w:t>, such that p</w:t>
      </w:r>
      <w:r w:rsidRPr="00BD6D61">
        <w:rPr>
          <w:rFonts w:ascii="Times New Roman" w:hAnsi="Times New Roman" w:cs="Times New Roman"/>
          <w:sz w:val="24"/>
          <w:szCs w:val="24"/>
        </w:rPr>
        <w:t>ositive values of NRI indicate that species within a community are more closely related than random, whereas negative values indicate they are more distantly related than random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RW.CITE{{927 Webb,C.O. 2000}}</w:instrText>
      </w:r>
      <w:r>
        <w:rPr>
          <w:rFonts w:ascii="Times New Roman" w:hAnsi="Times New Roman" w:cs="Times New Roman"/>
          <w:sz w:val="24"/>
          <w:szCs w:val="24"/>
        </w:rPr>
        <w:fldChar w:fldCharType="separate"/>
      </w:r>
      <w:r w:rsidR="002A40DD">
        <w:rPr>
          <w:rFonts w:ascii="Calibri" w:eastAsia="Times New Roman" w:hAnsi="Calibri" w:cs="Calibri"/>
        </w:rPr>
        <w:t>(Webb, 2000)</w:t>
      </w:r>
      <w:r>
        <w:rPr>
          <w:rFonts w:ascii="Times New Roman" w:hAnsi="Times New Roman" w:cs="Times New Roman"/>
          <w:sz w:val="24"/>
          <w:szCs w:val="24"/>
        </w:rPr>
        <w:fldChar w:fldCharType="end"/>
      </w:r>
      <w:r w:rsidRPr="00BD6D61">
        <w:rPr>
          <w:rFonts w:ascii="Times New Roman" w:hAnsi="Times New Roman" w:cs="Times New Roman"/>
          <w:sz w:val="24"/>
          <w:szCs w:val="24"/>
        </w:rPr>
        <w:t>.  Plots with fewer than two species were exclud</w:t>
      </w:r>
      <w:r>
        <w:rPr>
          <w:rFonts w:ascii="Times New Roman" w:hAnsi="Times New Roman" w:cs="Times New Roman"/>
          <w:sz w:val="24"/>
          <w:szCs w:val="24"/>
        </w:rPr>
        <w:t>ed from these analyses as they we</w:t>
      </w:r>
      <w:r w:rsidRPr="00BD6D61">
        <w:rPr>
          <w:rFonts w:ascii="Times New Roman" w:hAnsi="Times New Roman" w:cs="Times New Roman"/>
          <w:sz w:val="24"/>
          <w:szCs w:val="24"/>
        </w:rPr>
        <w:t xml:space="preserve">re </w:t>
      </w:r>
      <w:proofErr w:type="spellStart"/>
      <w:r w:rsidRPr="00BD6D61">
        <w:rPr>
          <w:rFonts w:ascii="Times New Roman" w:hAnsi="Times New Roman" w:cs="Times New Roman"/>
          <w:sz w:val="24"/>
          <w:szCs w:val="24"/>
        </w:rPr>
        <w:t>phylogenetically</w:t>
      </w:r>
      <w:proofErr w:type="spellEnd"/>
      <w:r w:rsidRPr="00BD6D61">
        <w:rPr>
          <w:rFonts w:ascii="Times New Roman" w:hAnsi="Times New Roman" w:cs="Times New Roman"/>
          <w:sz w:val="24"/>
          <w:szCs w:val="24"/>
        </w:rPr>
        <w:t xml:space="preserve"> uninformative.  Since the local-scale analyses produced </w:t>
      </w:r>
      <w:r>
        <w:rPr>
          <w:rFonts w:ascii="Times New Roman" w:hAnsi="Times New Roman" w:cs="Times New Roman"/>
          <w:sz w:val="24"/>
          <w:szCs w:val="24"/>
        </w:rPr>
        <w:t>values</w:t>
      </w:r>
      <w:r w:rsidRPr="00BD6D61">
        <w:rPr>
          <w:rFonts w:ascii="Times New Roman" w:hAnsi="Times New Roman" w:cs="Times New Roman"/>
          <w:sz w:val="24"/>
          <w:szCs w:val="24"/>
        </w:rPr>
        <w:t xml:space="preserve"> of NRI </w:t>
      </w:r>
      <w:r>
        <w:rPr>
          <w:rFonts w:ascii="Times New Roman" w:hAnsi="Times New Roman" w:cs="Times New Roman"/>
          <w:sz w:val="24"/>
          <w:szCs w:val="24"/>
        </w:rPr>
        <w:t xml:space="preserve">for every plot (or set of paired plots) within a site, </w:t>
      </w:r>
      <w:r w:rsidRPr="00BD6D61">
        <w:rPr>
          <w:rFonts w:ascii="Times New Roman" w:hAnsi="Times New Roman" w:cs="Times New Roman"/>
          <w:sz w:val="24"/>
          <w:szCs w:val="24"/>
        </w:rPr>
        <w:t xml:space="preserve">standard scores of NRI [Z(NRI)] were used as point-estimates for the tendency of plots within a site to be </w:t>
      </w:r>
      <w:proofErr w:type="spellStart"/>
      <w:r w:rsidRPr="00BD6D61">
        <w:rPr>
          <w:rFonts w:ascii="Times New Roman" w:hAnsi="Times New Roman" w:cs="Times New Roman"/>
          <w:sz w:val="24"/>
          <w:szCs w:val="24"/>
        </w:rPr>
        <w:t>phylogenetically</w:t>
      </w:r>
      <w:proofErr w:type="spellEnd"/>
      <w:r w:rsidRPr="00BD6D61">
        <w:rPr>
          <w:rFonts w:ascii="Times New Roman" w:hAnsi="Times New Roman" w:cs="Times New Roman"/>
          <w:sz w:val="24"/>
          <w:szCs w:val="24"/>
        </w:rPr>
        <w:t xml:space="preserve"> under- or over-dispersed, calculated as the mean divided by the standard error across plots within a site</w:t>
      </w:r>
      <w:r>
        <w:rPr>
          <w:rFonts w:ascii="Times New Roman" w:hAnsi="Times New Roman" w:cs="Times New Roman"/>
          <w:sz w:val="24"/>
          <w:szCs w:val="24"/>
        </w:rPr>
        <w:t>.  Changes in phylogenetic community structure due to the addition of the cushion communities (ΔNR</w:t>
      </w:r>
      <w:r w:rsidR="00C17D2D">
        <w:rPr>
          <w:rFonts w:ascii="Times New Roman" w:hAnsi="Times New Roman" w:cs="Times New Roman"/>
          <w:sz w:val="24"/>
          <w:szCs w:val="24"/>
        </w:rPr>
        <w:t>I) was calculated as total NRI -</w:t>
      </w:r>
      <w:r>
        <w:rPr>
          <w:rFonts w:ascii="Times New Roman" w:hAnsi="Times New Roman" w:cs="Times New Roman"/>
          <w:sz w:val="24"/>
          <w:szCs w:val="24"/>
        </w:rPr>
        <w:t xml:space="preserve"> open NRI</w:t>
      </w:r>
      <w:r w:rsidR="00C17D2D">
        <w:rPr>
          <w:rFonts w:ascii="Times New Roman" w:hAnsi="Times New Roman" w:cs="Times New Roman"/>
          <w:sz w:val="24"/>
          <w:szCs w:val="24"/>
        </w:rPr>
        <w:t>.</w:t>
      </w:r>
    </w:p>
    <w:p w:rsidR="00E3760B" w:rsidRDefault="00E3760B" w:rsidP="00E3760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Phylogenetic similarity across communities was also calculated, both at the global and local scale.  An net relatedness index was calculated based on the mean phylogenetic distance between taxa across two communities (βNRI),</w:t>
      </w:r>
      <w:r w:rsidRPr="00BD6D61">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BD6D61">
        <w:rPr>
          <w:rFonts w:ascii="Times New Roman" w:hAnsi="Times New Roman" w:cs="Times New Roman"/>
          <w:sz w:val="24"/>
          <w:szCs w:val="24"/>
        </w:rPr>
        <w:t>estimated in</w:t>
      </w:r>
      <w:r>
        <w:rPr>
          <w:rFonts w:ascii="Times New Roman" w:hAnsi="Times New Roman" w:cs="Times New Roman"/>
          <w:sz w:val="24"/>
          <w:szCs w:val="24"/>
        </w:rPr>
        <w:t xml:space="preserve"> the same manner as for NRI </w:t>
      </w:r>
      <w:r>
        <w:rPr>
          <w:rFonts w:ascii="Times New Roman" w:hAnsi="Times New Roman" w:cs="Times New Roman"/>
          <w:sz w:val="24"/>
          <w:szCs w:val="24"/>
        </w:rPr>
        <w:lastRenderedPageBreak/>
        <w:t>except that</w:t>
      </w:r>
      <w:r w:rsidRPr="00BD6D61">
        <w:rPr>
          <w:rFonts w:ascii="Times New Roman" w:hAnsi="Times New Roman" w:cs="Times New Roman"/>
          <w:sz w:val="24"/>
          <w:szCs w:val="24"/>
        </w:rPr>
        <w:t xml:space="preserve"> random communities were generated by randomizing tip labels to maintain observed species richness and abundance distributions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RW.CITE{{765 Bryant,J.A. 2008}}</w:instrText>
      </w:r>
      <w:r>
        <w:rPr>
          <w:rFonts w:ascii="Times New Roman" w:hAnsi="Times New Roman" w:cs="Times New Roman"/>
          <w:sz w:val="24"/>
          <w:szCs w:val="24"/>
        </w:rPr>
        <w:fldChar w:fldCharType="separate"/>
      </w:r>
      <w:r w:rsidR="002A40DD">
        <w:rPr>
          <w:rFonts w:ascii="Calibri" w:eastAsia="Times New Roman" w:hAnsi="Calibri" w:cs="Calibri"/>
        </w:rPr>
        <w:t>(Bryant</w:t>
      </w:r>
      <w:r w:rsidR="002A40DD">
        <w:rPr>
          <w:rFonts w:ascii="Calibri" w:eastAsia="Times New Roman" w:hAnsi="Calibri" w:cs="Calibri"/>
          <w:i/>
          <w:iCs/>
        </w:rPr>
        <w:t xml:space="preserve"> et al</w:t>
      </w:r>
      <w:r w:rsidR="002A40DD">
        <w:rPr>
          <w:rFonts w:ascii="Calibri" w:eastAsia="Times New Roman" w:hAnsi="Calibri" w:cs="Calibri"/>
        </w:rPr>
        <w:t>, 2008)</w:t>
      </w:r>
      <w:r>
        <w:rPr>
          <w:rFonts w:ascii="Times New Roman" w:hAnsi="Times New Roman" w:cs="Times New Roman"/>
          <w:sz w:val="24"/>
          <w:szCs w:val="24"/>
        </w:rPr>
        <w:fldChar w:fldCharType="end"/>
      </w:r>
      <w:r w:rsidRPr="00BD6D61">
        <w:rPr>
          <w:rFonts w:ascii="Times New Roman" w:hAnsi="Times New Roman" w:cs="Times New Roman"/>
          <w:sz w:val="24"/>
          <w:szCs w:val="24"/>
        </w:rPr>
        <w:t xml:space="preserve">.  Positive values of </w:t>
      </w:r>
      <w:r>
        <w:rPr>
          <w:rFonts w:ascii="Times New Roman" w:hAnsi="Times New Roman" w:cs="Times New Roman"/>
          <w:sz w:val="24"/>
          <w:szCs w:val="24"/>
        </w:rPr>
        <w:t>βNRI</w:t>
      </w:r>
      <w:r w:rsidRPr="00BD6D61">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BD6D61">
        <w:rPr>
          <w:rFonts w:ascii="Times New Roman" w:hAnsi="Times New Roman" w:cs="Times New Roman"/>
          <w:sz w:val="24"/>
          <w:szCs w:val="24"/>
        </w:rPr>
        <w:t xml:space="preserve">indicate that taxa across two communities are more closely related than </w:t>
      </w:r>
      <w:proofErr w:type="gramStart"/>
      <w:r w:rsidRPr="00BD6D61">
        <w:rPr>
          <w:rFonts w:ascii="Times New Roman" w:hAnsi="Times New Roman" w:cs="Times New Roman"/>
          <w:sz w:val="24"/>
          <w:szCs w:val="24"/>
        </w:rPr>
        <w:t>random,</w:t>
      </w:r>
      <w:proofErr w:type="gramEnd"/>
      <w:r w:rsidRPr="00BD6D61">
        <w:rPr>
          <w:rFonts w:ascii="Times New Roman" w:hAnsi="Times New Roman" w:cs="Times New Roman"/>
          <w:sz w:val="24"/>
          <w:szCs w:val="24"/>
        </w:rPr>
        <w:t xml:space="preserve"> and negative values indicate the two communities are more distantly related.</w:t>
      </w:r>
      <w:r>
        <w:rPr>
          <w:rFonts w:ascii="Times New Roman" w:hAnsi="Times New Roman" w:cs="Times New Roman"/>
          <w:sz w:val="24"/>
          <w:szCs w:val="24"/>
        </w:rPr>
        <w:t xml:space="preserve">  βNRI between open and cushion communities at the same site was calculated relative to global and local phylogenies, as for NRI, but only using paired plots at the local scale.</w:t>
      </w:r>
    </w:p>
    <w:p w:rsidR="00A9605D" w:rsidRDefault="00A9605D" w:rsidP="00E3760B">
      <w:pPr>
        <w:pStyle w:val="NoSpacing"/>
        <w:spacing w:line="480" w:lineRule="auto"/>
        <w:rPr>
          <w:rFonts w:ascii="Times New Roman" w:hAnsi="Times New Roman" w:cs="Times New Roman"/>
          <w:sz w:val="24"/>
          <w:szCs w:val="24"/>
        </w:rPr>
      </w:pPr>
    </w:p>
    <w:p w:rsidR="00A9605D" w:rsidRPr="00A90541" w:rsidRDefault="00A9605D" w:rsidP="00A9605D">
      <w:pPr>
        <w:pStyle w:val="NoSpacing"/>
        <w:spacing w:line="480" w:lineRule="auto"/>
        <w:rPr>
          <w:rFonts w:ascii="Arial" w:hAnsi="Arial" w:cs="Arial"/>
          <w:b/>
          <w:sz w:val="24"/>
          <w:szCs w:val="24"/>
        </w:rPr>
      </w:pPr>
      <w:r w:rsidRPr="00A90541">
        <w:rPr>
          <w:rFonts w:ascii="Arial" w:hAnsi="Arial" w:cs="Arial"/>
          <w:b/>
          <w:sz w:val="24"/>
          <w:szCs w:val="24"/>
        </w:rPr>
        <w:t>Phylogenetic Signal</w:t>
      </w:r>
    </w:p>
    <w:p w:rsidR="00A9605D" w:rsidRDefault="00A9605D" w:rsidP="00A9605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degree of phylogenetic conservatism or convergence in microsite preference (the tendency to occur in cushions versus the open) was assessed in order to </w:t>
      </w:r>
      <w:r w:rsidR="00CF6A26">
        <w:rPr>
          <w:rFonts w:ascii="Times New Roman" w:hAnsi="Times New Roman" w:cs="Times New Roman"/>
          <w:sz w:val="24"/>
          <w:szCs w:val="24"/>
        </w:rPr>
        <w:t>aid</w:t>
      </w:r>
      <w:r>
        <w:rPr>
          <w:rFonts w:ascii="Times New Roman" w:hAnsi="Times New Roman" w:cs="Times New Roman"/>
          <w:sz w:val="24"/>
          <w:szCs w:val="24"/>
        </w:rPr>
        <w:t xml:space="preserve"> interpret</w:t>
      </w:r>
      <w:r w:rsidR="00CF6A26">
        <w:rPr>
          <w:rFonts w:ascii="Times New Roman" w:hAnsi="Times New Roman" w:cs="Times New Roman"/>
          <w:sz w:val="24"/>
          <w:szCs w:val="24"/>
        </w:rPr>
        <w:t>ation of</w:t>
      </w:r>
      <w:r>
        <w:rPr>
          <w:rFonts w:ascii="Times New Roman" w:hAnsi="Times New Roman" w:cs="Times New Roman"/>
          <w:sz w:val="24"/>
          <w:szCs w:val="24"/>
        </w:rPr>
        <w:t xml:space="preserve"> patterns of community phylogenetic structure.  T</w:t>
      </w:r>
      <w:r w:rsidRPr="00BD6D61">
        <w:rPr>
          <w:rFonts w:ascii="Times New Roman" w:hAnsi="Times New Roman" w:cs="Times New Roman"/>
          <w:sz w:val="24"/>
          <w:szCs w:val="24"/>
        </w:rPr>
        <w:t>he tendency to prefer cushion versus open microsites was calculated for each species at each site using a static, spatially inferred derivation of relative interaction intensity (RII;</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RW.CITE{{758 Armas,C. 2004}}</w:instrText>
      </w:r>
      <w:r>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Armas</w:t>
      </w:r>
      <w:proofErr w:type="spellEnd"/>
      <w:r w:rsidR="002A40DD">
        <w:rPr>
          <w:rFonts w:ascii="Calibri" w:eastAsia="Times New Roman" w:hAnsi="Calibri" w:cs="Calibri"/>
          <w:i/>
          <w:iCs/>
        </w:rPr>
        <w:t xml:space="preserve"> et al</w:t>
      </w:r>
      <w:r w:rsidR="002A40DD">
        <w:rPr>
          <w:rFonts w:ascii="Calibri" w:eastAsia="Times New Roman" w:hAnsi="Calibri" w:cs="Calibri"/>
        </w:rPr>
        <w:t>, 2004)</w:t>
      </w:r>
      <w:r>
        <w:rPr>
          <w:rFonts w:ascii="Times New Roman" w:hAnsi="Times New Roman" w:cs="Times New Roman"/>
          <w:sz w:val="24"/>
          <w:szCs w:val="24"/>
        </w:rPr>
        <w:fldChar w:fldCharType="end"/>
      </w:r>
      <w:r w:rsidRPr="00BD6D61">
        <w:rPr>
          <w:rFonts w:ascii="Times New Roman" w:hAnsi="Times New Roman" w:cs="Times New Roman"/>
          <w:sz w:val="24"/>
          <w:szCs w:val="24"/>
        </w:rPr>
        <w:t xml:space="preserve">), calculated as </w:t>
      </w:r>
      <m:oMath>
        <m:r>
          <w:rPr>
            <w:rFonts w:ascii="Cambria Math" w:hAnsi="Cambria Math" w:cs="Times New Roman"/>
            <w:sz w:val="24"/>
            <w:szCs w:val="24"/>
          </w:rPr>
          <m:t>RII=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Ni</m:t>
                </m:r>
              </m:e>
              <m:sub>
                <m:r>
                  <w:rPr>
                    <w:rFonts w:ascii="Cambria Math" w:hAnsi="Cambria Math" w:cs="Times New Roman"/>
                    <w:sz w:val="24"/>
                    <w:szCs w:val="24"/>
                  </w:rPr>
                  <m:t>cushion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Ni</m:t>
                </m:r>
              </m:e>
              <m:sub>
                <m:r>
                  <w:rPr>
                    <w:rFonts w:ascii="Cambria Math" w:hAnsi="Cambria Math" w:cs="Times New Roman"/>
                    <w:sz w:val="24"/>
                    <w:szCs w:val="24"/>
                  </w:rPr>
                  <m:t>open</m:t>
                </m:r>
              </m:sub>
            </m:sSub>
          </m:num>
          <m:den>
            <m:sSub>
              <m:sSubPr>
                <m:ctrlPr>
                  <w:rPr>
                    <w:rFonts w:ascii="Cambria Math" w:hAnsi="Cambria Math" w:cs="Times New Roman"/>
                    <w:i/>
                    <w:sz w:val="24"/>
                    <w:szCs w:val="24"/>
                  </w:rPr>
                </m:ctrlPr>
              </m:sSubPr>
              <m:e>
                <m:r>
                  <w:rPr>
                    <w:rFonts w:ascii="Cambria Math" w:hAnsi="Cambria Math" w:cs="Times New Roman"/>
                    <w:sz w:val="24"/>
                    <w:szCs w:val="24"/>
                  </w:rPr>
                  <m:t>Ni</m:t>
                </m:r>
              </m:e>
              <m:sub>
                <m:r>
                  <w:rPr>
                    <w:rFonts w:ascii="Cambria Math" w:hAnsi="Cambria Math" w:cs="Times New Roman"/>
                    <w:sz w:val="24"/>
                    <w:szCs w:val="24"/>
                  </w:rPr>
                  <m:t>cushion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Ni</m:t>
                </m:r>
              </m:e>
              <m:sub>
                <m:r>
                  <w:rPr>
                    <w:rFonts w:ascii="Cambria Math" w:hAnsi="Cambria Math" w:cs="Times New Roman"/>
                    <w:sz w:val="24"/>
                    <w:szCs w:val="24"/>
                  </w:rPr>
                  <m:t>open</m:t>
                </m:r>
              </m:sub>
            </m:sSub>
          </m:den>
        </m:f>
      </m:oMath>
      <w:r>
        <w:rPr>
          <w:rFonts w:ascii="Times New Roman" w:hAnsi="Times New Roman" w:cs="Times New Roman"/>
          <w:sz w:val="24"/>
          <w:szCs w:val="24"/>
        </w:rPr>
        <w:t xml:space="preserve"> for each species </w:t>
      </w:r>
      <w:proofErr w:type="spellStart"/>
      <w:r w:rsidRPr="00201DEC">
        <w:rPr>
          <w:rFonts w:ascii="Times New Roman" w:hAnsi="Times New Roman" w:cs="Times New Roman"/>
          <w:i/>
          <w:sz w:val="24"/>
          <w:szCs w:val="24"/>
        </w:rPr>
        <w:t>i</w:t>
      </w:r>
      <w:proofErr w:type="spellEnd"/>
      <w:r w:rsidRPr="00BD6D61">
        <w:rPr>
          <w:rFonts w:ascii="Times New Roman" w:hAnsi="Times New Roman" w:cs="Times New Roman"/>
          <w:sz w:val="24"/>
          <w:szCs w:val="24"/>
        </w:rPr>
        <w:t>.  Thus</w:t>
      </w:r>
      <w:r>
        <w:rPr>
          <w:rFonts w:ascii="Times New Roman" w:hAnsi="Times New Roman" w:cs="Times New Roman"/>
          <w:sz w:val="24"/>
          <w:szCs w:val="24"/>
        </w:rPr>
        <w:t>,</w:t>
      </w:r>
      <w:r w:rsidRPr="00BD6D61">
        <w:rPr>
          <w:rFonts w:ascii="Times New Roman" w:hAnsi="Times New Roman" w:cs="Times New Roman"/>
          <w:sz w:val="24"/>
          <w:szCs w:val="24"/>
        </w:rPr>
        <w:t xml:space="preserve"> RII has a value of 1 when all individuals of a species </w:t>
      </w:r>
      <w:r>
        <w:rPr>
          <w:rFonts w:ascii="Times New Roman" w:hAnsi="Times New Roman" w:cs="Times New Roman"/>
          <w:sz w:val="24"/>
          <w:szCs w:val="24"/>
        </w:rPr>
        <w:t>occur in cushions</w:t>
      </w:r>
      <w:r w:rsidRPr="00BD6D61">
        <w:rPr>
          <w:rFonts w:ascii="Times New Roman" w:hAnsi="Times New Roman" w:cs="Times New Roman"/>
          <w:sz w:val="24"/>
          <w:szCs w:val="24"/>
        </w:rPr>
        <w:t xml:space="preserve"> and -1 when all occur in the open.  </w:t>
      </w:r>
      <w:r>
        <w:rPr>
          <w:rFonts w:ascii="Times New Roman" w:hAnsi="Times New Roman" w:cs="Times New Roman"/>
          <w:sz w:val="24"/>
          <w:szCs w:val="24"/>
        </w:rPr>
        <w:t xml:space="preserve">In addition to </w:t>
      </w:r>
      <w:r w:rsidRPr="00BD6D61">
        <w:rPr>
          <w:rFonts w:ascii="Times New Roman" w:hAnsi="Times New Roman" w:cs="Times New Roman"/>
          <w:sz w:val="24"/>
          <w:szCs w:val="24"/>
        </w:rPr>
        <w:t>species mean RII across sites (</w:t>
      </w:r>
      <w:proofErr w:type="spellStart"/>
      <w:r w:rsidRPr="00BD6D61">
        <w:rPr>
          <w:rFonts w:ascii="Times New Roman" w:hAnsi="Times New Roman" w:cs="Times New Roman"/>
          <w:sz w:val="24"/>
          <w:szCs w:val="24"/>
        </w:rPr>
        <w:t>RII</w:t>
      </w:r>
      <w:r w:rsidRPr="00BD6D61">
        <w:rPr>
          <w:rFonts w:ascii="Times New Roman" w:hAnsi="Times New Roman" w:cs="Times New Roman"/>
          <w:sz w:val="24"/>
          <w:szCs w:val="24"/>
          <w:vertAlign w:val="subscript"/>
        </w:rPr>
        <w:t>sp</w:t>
      </w:r>
      <w:proofErr w:type="spellEnd"/>
      <w:r w:rsidRPr="00BD6D61">
        <w:rPr>
          <w:rFonts w:ascii="Times New Roman" w:hAnsi="Times New Roman" w:cs="Times New Roman"/>
          <w:sz w:val="24"/>
          <w:szCs w:val="24"/>
          <w:vertAlign w:val="subscript"/>
        </w:rPr>
        <w:t>.µ</w:t>
      </w:r>
      <w:r w:rsidRPr="00BD6D61">
        <w:rPr>
          <w:rFonts w:ascii="Times New Roman" w:hAnsi="Times New Roman" w:cs="Times New Roman"/>
          <w:sz w:val="24"/>
          <w:szCs w:val="24"/>
        </w:rPr>
        <w:t>)</w:t>
      </w:r>
      <w:r>
        <w:rPr>
          <w:rFonts w:ascii="Times New Roman" w:hAnsi="Times New Roman" w:cs="Times New Roman"/>
          <w:sz w:val="24"/>
          <w:szCs w:val="24"/>
        </w:rPr>
        <w:t>, two</w:t>
      </w:r>
      <w:r w:rsidRPr="00BD6D61">
        <w:rPr>
          <w:rFonts w:ascii="Times New Roman" w:hAnsi="Times New Roman" w:cs="Times New Roman"/>
          <w:sz w:val="24"/>
          <w:szCs w:val="24"/>
        </w:rPr>
        <w:t xml:space="preserve"> variants of RII were </w:t>
      </w:r>
      <w:r>
        <w:rPr>
          <w:rFonts w:ascii="Times New Roman" w:hAnsi="Times New Roman" w:cs="Times New Roman"/>
          <w:sz w:val="24"/>
          <w:szCs w:val="24"/>
        </w:rPr>
        <w:t>calculated in order to account for variation across sites that might blur the phylogenetic signal in microsite preference</w:t>
      </w:r>
      <w:r w:rsidRPr="00BD6D61">
        <w:rPr>
          <w:rFonts w:ascii="Times New Roman" w:hAnsi="Times New Roman" w:cs="Times New Roman"/>
          <w:sz w:val="24"/>
          <w:szCs w:val="24"/>
        </w:rPr>
        <w:t>: 1) species mean residual RII after accounting for variation in total cover across sites (</w:t>
      </w:r>
      <w:proofErr w:type="spellStart"/>
      <w:r w:rsidRPr="00BD6D61">
        <w:rPr>
          <w:rFonts w:ascii="Times New Roman" w:hAnsi="Times New Roman" w:cs="Times New Roman"/>
          <w:sz w:val="24"/>
          <w:szCs w:val="24"/>
        </w:rPr>
        <w:t>RII</w:t>
      </w:r>
      <w:r w:rsidRPr="00BD6D61">
        <w:rPr>
          <w:rFonts w:ascii="Times New Roman" w:hAnsi="Times New Roman" w:cs="Times New Roman"/>
          <w:sz w:val="24"/>
          <w:szCs w:val="24"/>
          <w:vertAlign w:val="subscript"/>
        </w:rPr>
        <w:t>sp.resid</w:t>
      </w:r>
      <w:proofErr w:type="spellEnd"/>
      <w:r w:rsidRPr="00BD6D61">
        <w:rPr>
          <w:rFonts w:ascii="Times New Roman" w:hAnsi="Times New Roman" w:cs="Times New Roman"/>
          <w:sz w:val="24"/>
          <w:szCs w:val="24"/>
        </w:rPr>
        <w:t xml:space="preserve">), which was the best predictor of variation in site-level RII </w:t>
      </w:r>
      <w:r w:rsidR="0006779A">
        <w:rPr>
          <w:rFonts w:ascii="Times New Roman" w:hAnsi="Times New Roman" w:cs="Times New Roman"/>
          <w:sz w:val="24"/>
          <w:szCs w:val="24"/>
        </w:rPr>
        <w:t>(</w:t>
      </w:r>
      <w:proofErr w:type="spellStart"/>
      <w:r w:rsidR="0006779A">
        <w:rPr>
          <w:rFonts w:ascii="Times New Roman" w:hAnsi="Times New Roman" w:cs="Times New Roman"/>
          <w:sz w:val="24"/>
          <w:szCs w:val="24"/>
        </w:rPr>
        <w:t>Cavieres</w:t>
      </w:r>
      <w:proofErr w:type="spellEnd"/>
      <w:r w:rsidR="0006779A">
        <w:rPr>
          <w:rFonts w:ascii="Times New Roman" w:hAnsi="Times New Roman" w:cs="Times New Roman"/>
          <w:sz w:val="24"/>
          <w:szCs w:val="24"/>
        </w:rPr>
        <w:t xml:space="preserve"> </w:t>
      </w:r>
      <w:r w:rsidR="0006779A" w:rsidRPr="0006779A">
        <w:rPr>
          <w:rFonts w:ascii="Times New Roman" w:hAnsi="Times New Roman" w:cs="Times New Roman"/>
          <w:i/>
          <w:sz w:val="24"/>
          <w:szCs w:val="24"/>
        </w:rPr>
        <w:t>et al. In review</w:t>
      </w:r>
      <w:r w:rsidR="0006779A">
        <w:rPr>
          <w:rFonts w:ascii="Times New Roman" w:hAnsi="Times New Roman" w:cs="Times New Roman"/>
          <w:sz w:val="24"/>
          <w:szCs w:val="24"/>
        </w:rPr>
        <w:t>)</w:t>
      </w:r>
      <w:r>
        <w:rPr>
          <w:rFonts w:ascii="Times New Roman" w:hAnsi="Times New Roman" w:cs="Times New Roman"/>
          <w:sz w:val="24"/>
          <w:szCs w:val="24"/>
        </w:rPr>
        <w:t>, and 2</w:t>
      </w:r>
      <w:r w:rsidRPr="00BD6D61">
        <w:rPr>
          <w:rFonts w:ascii="Times New Roman" w:hAnsi="Times New Roman" w:cs="Times New Roman"/>
          <w:sz w:val="24"/>
          <w:szCs w:val="24"/>
        </w:rPr>
        <w:t>) species mean deviance from site mean RII (</w:t>
      </w:r>
      <w:proofErr w:type="spellStart"/>
      <w:r w:rsidRPr="00BD6D61">
        <w:rPr>
          <w:rFonts w:ascii="Times New Roman" w:hAnsi="Times New Roman" w:cs="Times New Roman"/>
          <w:sz w:val="24"/>
          <w:szCs w:val="24"/>
        </w:rPr>
        <w:t>RII</w:t>
      </w:r>
      <w:r w:rsidRPr="00BD6D61">
        <w:rPr>
          <w:rFonts w:ascii="Times New Roman" w:hAnsi="Times New Roman" w:cs="Times New Roman"/>
          <w:sz w:val="24"/>
          <w:szCs w:val="24"/>
          <w:vertAlign w:val="subscript"/>
        </w:rPr>
        <w:t>sp.dev</w:t>
      </w:r>
      <w:proofErr w:type="spellEnd"/>
      <w:r w:rsidRPr="00BD6D61">
        <w:rPr>
          <w:rFonts w:ascii="Times New Roman" w:hAnsi="Times New Roman" w:cs="Times New Roman"/>
          <w:sz w:val="24"/>
          <w:szCs w:val="24"/>
        </w:rPr>
        <w:t>).</w:t>
      </w:r>
    </w:p>
    <w:p w:rsidR="00A9605D" w:rsidRDefault="00A9605D" w:rsidP="00A9605D">
      <w:pPr>
        <w:pStyle w:val="NoSpacing"/>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Blomberg’s</w:t>
      </w:r>
      <w:proofErr w:type="spellEnd"/>
      <w:r>
        <w:rPr>
          <w:rFonts w:ascii="Times New Roman" w:hAnsi="Times New Roman" w:cs="Times New Roman"/>
          <w:sz w:val="24"/>
          <w:szCs w:val="24"/>
        </w:rPr>
        <w:t xml:space="preserve"> K was estimated for the three RII metrics as </w:t>
      </w:r>
      <w:r w:rsidR="005F5BF6">
        <w:rPr>
          <w:rFonts w:ascii="Times New Roman" w:hAnsi="Times New Roman" w:cs="Times New Roman"/>
          <w:sz w:val="24"/>
          <w:szCs w:val="24"/>
        </w:rPr>
        <w:t>a measure</w:t>
      </w:r>
      <w:r>
        <w:rPr>
          <w:rFonts w:ascii="Times New Roman" w:hAnsi="Times New Roman" w:cs="Times New Roman"/>
          <w:sz w:val="24"/>
          <w:szCs w:val="24"/>
        </w:rPr>
        <w:t xml:space="preserve"> of phylogenetic signal in microsite preference. </w:t>
      </w:r>
      <w:r w:rsidRPr="00BD6D61">
        <w:rPr>
          <w:rFonts w:ascii="Times New Roman" w:hAnsi="Times New Roman" w:cs="Times New Roman"/>
          <w:sz w:val="24"/>
          <w:szCs w:val="24"/>
        </w:rPr>
        <w:t xml:space="preserve"> </w:t>
      </w:r>
      <w:proofErr w:type="spellStart"/>
      <w:r>
        <w:rPr>
          <w:rFonts w:ascii="Times New Roman" w:hAnsi="Times New Roman" w:cs="Times New Roman"/>
          <w:sz w:val="24"/>
          <w:szCs w:val="24"/>
        </w:rPr>
        <w:t>Blomberg’s</w:t>
      </w:r>
      <w:proofErr w:type="spellEnd"/>
      <w:r>
        <w:rPr>
          <w:rFonts w:ascii="Times New Roman" w:hAnsi="Times New Roman" w:cs="Times New Roman"/>
          <w:sz w:val="24"/>
          <w:szCs w:val="24"/>
        </w:rPr>
        <w:t xml:space="preserve"> K can range from zero to infinity</w:t>
      </w:r>
      <w:r w:rsidRPr="00BD6D61">
        <w:rPr>
          <w:rFonts w:ascii="Times New Roman" w:hAnsi="Times New Roman" w:cs="Times New Roman"/>
          <w:sz w:val="24"/>
          <w:szCs w:val="24"/>
        </w:rPr>
        <w:t xml:space="preserve">, where K&gt;1, =1 and &lt;1 </w:t>
      </w:r>
      <w:r>
        <w:rPr>
          <w:rFonts w:ascii="Times New Roman" w:hAnsi="Times New Roman" w:cs="Times New Roman"/>
          <w:sz w:val="24"/>
          <w:szCs w:val="24"/>
        </w:rPr>
        <w:t xml:space="preserve">respectively </w:t>
      </w:r>
      <w:r w:rsidRPr="00BD6D61">
        <w:rPr>
          <w:rFonts w:ascii="Times New Roman" w:hAnsi="Times New Roman" w:cs="Times New Roman"/>
          <w:sz w:val="24"/>
          <w:szCs w:val="24"/>
        </w:rPr>
        <w:t xml:space="preserve">indicate </w:t>
      </w:r>
      <w:r>
        <w:rPr>
          <w:rFonts w:ascii="Times New Roman" w:hAnsi="Times New Roman" w:cs="Times New Roman"/>
          <w:sz w:val="24"/>
          <w:szCs w:val="24"/>
        </w:rPr>
        <w:t>that the trait in question, in this case microsite preference, is more similar among relatives than expected from their phylogenetic distance (</w:t>
      </w:r>
      <w:r w:rsidRPr="00BD6D61">
        <w:rPr>
          <w:rFonts w:ascii="Times New Roman" w:hAnsi="Times New Roman" w:cs="Times New Roman"/>
          <w:sz w:val="24"/>
          <w:szCs w:val="24"/>
        </w:rPr>
        <w:t>conservative</w:t>
      </w:r>
      <w:r>
        <w:rPr>
          <w:rFonts w:ascii="Times New Roman" w:hAnsi="Times New Roman" w:cs="Times New Roman"/>
          <w:sz w:val="24"/>
          <w:szCs w:val="24"/>
        </w:rPr>
        <w:t>)</w:t>
      </w:r>
      <w:r w:rsidRPr="00BD6D61">
        <w:rPr>
          <w:rFonts w:ascii="Times New Roman" w:hAnsi="Times New Roman" w:cs="Times New Roman"/>
          <w:sz w:val="24"/>
          <w:szCs w:val="24"/>
        </w:rPr>
        <w:t>, approximately</w:t>
      </w:r>
      <w:r>
        <w:rPr>
          <w:rFonts w:ascii="Times New Roman" w:hAnsi="Times New Roman" w:cs="Times New Roman"/>
          <w:sz w:val="24"/>
          <w:szCs w:val="24"/>
        </w:rPr>
        <w:t xml:space="preserve"> </w:t>
      </w:r>
      <w:r>
        <w:rPr>
          <w:rFonts w:ascii="Times New Roman" w:hAnsi="Times New Roman" w:cs="Times New Roman"/>
          <w:sz w:val="24"/>
          <w:szCs w:val="24"/>
        </w:rPr>
        <w:lastRenderedPageBreak/>
        <w:t>proportional to their phylogenetic distance (</w:t>
      </w:r>
      <w:r w:rsidRPr="00BD6D61">
        <w:rPr>
          <w:rFonts w:ascii="Times New Roman" w:hAnsi="Times New Roman" w:cs="Times New Roman"/>
          <w:sz w:val="24"/>
          <w:szCs w:val="24"/>
        </w:rPr>
        <w:t>Brownian-Motion</w:t>
      </w:r>
      <w:r>
        <w:rPr>
          <w:rFonts w:ascii="Times New Roman" w:hAnsi="Times New Roman" w:cs="Times New Roman"/>
          <w:sz w:val="24"/>
          <w:szCs w:val="24"/>
        </w:rPr>
        <w:t>)</w:t>
      </w:r>
      <w:r w:rsidRPr="00BD6D61">
        <w:rPr>
          <w:rFonts w:ascii="Times New Roman" w:hAnsi="Times New Roman" w:cs="Times New Roman"/>
          <w:sz w:val="24"/>
          <w:szCs w:val="24"/>
        </w:rPr>
        <w:t xml:space="preserve">, </w:t>
      </w:r>
      <w:r>
        <w:rPr>
          <w:rFonts w:ascii="Times New Roman" w:hAnsi="Times New Roman" w:cs="Times New Roman"/>
          <w:sz w:val="24"/>
          <w:szCs w:val="24"/>
        </w:rPr>
        <w:t>or more different than expected from their phylogenetic distance (convergent) on average across the entire phylogeny</w:t>
      </w:r>
      <w:r w:rsidRPr="00BD6D61">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ADDIN RW.CITE{{756 Blomberg,S.P. 2003}}</w:instrText>
      </w:r>
      <w:r>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Blomberg</w:t>
      </w:r>
      <w:proofErr w:type="spellEnd"/>
      <w:r w:rsidR="002A40DD">
        <w:rPr>
          <w:rFonts w:ascii="Calibri" w:eastAsia="Times New Roman" w:hAnsi="Calibri" w:cs="Calibri"/>
          <w:i/>
          <w:iCs/>
        </w:rPr>
        <w:t xml:space="preserve"> et al</w:t>
      </w:r>
      <w:r w:rsidR="002A40DD">
        <w:rPr>
          <w:rFonts w:ascii="Calibri" w:eastAsia="Times New Roman" w:hAnsi="Calibri" w:cs="Calibri"/>
        </w:rPr>
        <w:t>, 2003)</w:t>
      </w:r>
      <w:r>
        <w:rPr>
          <w:rFonts w:ascii="Times New Roman" w:hAnsi="Times New Roman" w:cs="Times New Roman"/>
          <w:sz w:val="24"/>
          <w:szCs w:val="24"/>
        </w:rPr>
        <w:fldChar w:fldCharType="end"/>
      </w:r>
      <w:r w:rsidRPr="00BD6D61">
        <w:rPr>
          <w:rFonts w:ascii="Times New Roman" w:hAnsi="Times New Roman" w:cs="Times New Roman"/>
          <w:sz w:val="24"/>
          <w:szCs w:val="24"/>
        </w:rPr>
        <w:t xml:space="preserve">.  </w:t>
      </w:r>
      <w:r>
        <w:rPr>
          <w:rFonts w:ascii="Times New Roman" w:hAnsi="Times New Roman" w:cs="Times New Roman"/>
          <w:sz w:val="24"/>
          <w:szCs w:val="24"/>
        </w:rPr>
        <w:t xml:space="preserve">In order to determine if the divergences in microsite preference associated with the descendants of each node were relatively consistent across the phylogeny, the observed variance in </w:t>
      </w:r>
      <w:proofErr w:type="spellStart"/>
      <w:r>
        <w:rPr>
          <w:rFonts w:ascii="Times New Roman" w:hAnsi="Times New Roman" w:cs="Times New Roman"/>
          <w:sz w:val="24"/>
          <w:szCs w:val="24"/>
        </w:rPr>
        <w:t>phylogenetically</w:t>
      </w:r>
      <w:proofErr w:type="spellEnd"/>
      <w:r w:rsidRPr="00BD6D61">
        <w:rPr>
          <w:rFonts w:ascii="Times New Roman" w:hAnsi="Times New Roman" w:cs="Times New Roman"/>
          <w:sz w:val="24"/>
          <w:szCs w:val="24"/>
        </w:rPr>
        <w:t xml:space="preserve"> independent contrasts (PICs)</w:t>
      </w:r>
      <w:r>
        <w:rPr>
          <w:rFonts w:ascii="Times New Roman" w:hAnsi="Times New Roman" w:cs="Times New Roman"/>
          <w:sz w:val="24"/>
          <w:szCs w:val="24"/>
        </w:rPr>
        <w:t xml:space="preserve"> across all nodes in the phylogeny </w:t>
      </w:r>
      <w:r w:rsidRPr="00BD6D61">
        <w:rPr>
          <w:rFonts w:ascii="Times New Roman" w:hAnsi="Times New Roman" w:cs="Times New Roman"/>
          <w:sz w:val="24"/>
          <w:szCs w:val="24"/>
        </w:rPr>
        <w:t xml:space="preserve">was compared to </w:t>
      </w:r>
      <w:r>
        <w:rPr>
          <w:rFonts w:ascii="Times New Roman" w:hAnsi="Times New Roman" w:cs="Times New Roman"/>
          <w:sz w:val="24"/>
          <w:szCs w:val="24"/>
        </w:rPr>
        <w:t>the mean and standard deviation of PIC variances generated by</w:t>
      </w:r>
      <w:r w:rsidRPr="00BD6D61">
        <w:rPr>
          <w:rFonts w:ascii="Times New Roman" w:hAnsi="Times New Roman" w:cs="Times New Roman"/>
          <w:sz w:val="24"/>
          <w:szCs w:val="24"/>
        </w:rPr>
        <w:t xml:space="preserve"> 999 tip-shuffling randomizations of the phylogeny. </w:t>
      </w:r>
      <w:r>
        <w:rPr>
          <w:rFonts w:ascii="Times New Roman" w:hAnsi="Times New Roman" w:cs="Times New Roman"/>
          <w:sz w:val="24"/>
          <w:szCs w:val="24"/>
        </w:rPr>
        <w:t xml:space="preserve"> A PIC is the absolute value of the trait difference between two descendant nodes divided by the square root of their summed branch lengths, and should be less variable across nodes in the observed phylogeny than PICs generated by a null model in order for the estimate of phylogenetic signal (in this case, </w:t>
      </w:r>
      <w:proofErr w:type="spellStart"/>
      <w:r>
        <w:rPr>
          <w:rFonts w:ascii="Times New Roman" w:hAnsi="Times New Roman" w:cs="Times New Roman"/>
          <w:sz w:val="24"/>
          <w:szCs w:val="24"/>
        </w:rPr>
        <w:t>Blomberg’s</w:t>
      </w:r>
      <w:proofErr w:type="spellEnd"/>
      <w:r>
        <w:rPr>
          <w:rFonts w:ascii="Times New Roman" w:hAnsi="Times New Roman" w:cs="Times New Roman"/>
          <w:sz w:val="24"/>
          <w:szCs w:val="24"/>
        </w:rPr>
        <w:t xml:space="preserve"> K) to be considered significantly different from random.  In order to assess how microsite preference may vary at different node depths, phylogenies were constructed at the genus, family and order levels, with the mean values of the three RII metrics for all species within each of those hierarchical levels used as the indices of microsite preference.</w:t>
      </w:r>
    </w:p>
    <w:p w:rsidR="00A9605D" w:rsidRDefault="00A9605D" w:rsidP="00E3760B">
      <w:pPr>
        <w:pStyle w:val="NoSpacing"/>
        <w:spacing w:line="480" w:lineRule="auto"/>
        <w:rPr>
          <w:rFonts w:ascii="Times New Roman" w:hAnsi="Times New Roman" w:cs="Times New Roman"/>
          <w:sz w:val="24"/>
          <w:szCs w:val="24"/>
        </w:rPr>
      </w:pPr>
    </w:p>
    <w:p w:rsidR="00A9605D" w:rsidRPr="004B4AE4" w:rsidRDefault="00A9605D" w:rsidP="00E3760B">
      <w:pPr>
        <w:pStyle w:val="NoSpacing"/>
        <w:spacing w:line="480" w:lineRule="auto"/>
        <w:rPr>
          <w:rFonts w:ascii="Arial" w:hAnsi="Arial" w:cs="Arial"/>
          <w:b/>
          <w:sz w:val="24"/>
          <w:szCs w:val="24"/>
        </w:rPr>
      </w:pPr>
      <w:r w:rsidRPr="004B4AE4">
        <w:rPr>
          <w:rFonts w:ascii="Arial" w:hAnsi="Arial" w:cs="Arial"/>
          <w:b/>
          <w:sz w:val="24"/>
          <w:szCs w:val="24"/>
        </w:rPr>
        <w:t>Statistical Analysis</w:t>
      </w:r>
    </w:p>
    <w:p w:rsidR="00E3760B" w:rsidRDefault="000F3542" w:rsidP="00E3760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Multiple regression models were used to predict variation in phylogenetic structure, based on other dimensions of phylogenetic structure and environmental variation.  With the exception of αNRI at the global scale</w:t>
      </w:r>
      <w:r w:rsidR="00603AB1">
        <w:rPr>
          <w:rFonts w:ascii="Times New Roman" w:hAnsi="Times New Roman" w:cs="Times New Roman"/>
          <w:sz w:val="24"/>
          <w:szCs w:val="24"/>
        </w:rPr>
        <w:t xml:space="preserve"> (the “control”)</w:t>
      </w:r>
      <w:r>
        <w:rPr>
          <w:rFonts w:ascii="Times New Roman" w:hAnsi="Times New Roman" w:cs="Times New Roman"/>
          <w:sz w:val="24"/>
          <w:szCs w:val="24"/>
        </w:rPr>
        <w:t xml:space="preserve">, for which only environmental variation was considered, three models were tested for each metric of phylogenetic structure at both the global and local scales: environmental, phylogenetic, and environmental + phylogenetic.  Comparisons among models for a single dependent variable were based on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and adjusted R</w:t>
      </w:r>
      <w:r w:rsidRPr="000F3542">
        <w:rPr>
          <w:rFonts w:ascii="Times New Roman" w:hAnsi="Times New Roman" w:cs="Times New Roman"/>
          <w:sz w:val="24"/>
          <w:szCs w:val="24"/>
          <w:vertAlign w:val="superscript"/>
        </w:rPr>
        <w:t>2</w:t>
      </w:r>
      <w:r>
        <w:rPr>
          <w:rFonts w:ascii="Times New Roman" w:hAnsi="Times New Roman" w:cs="Times New Roman"/>
          <w:sz w:val="24"/>
          <w:szCs w:val="24"/>
        </w:rPr>
        <w:t xml:space="preserve">.  The </w:t>
      </w:r>
      <w:r w:rsidR="009B1339">
        <w:rPr>
          <w:rFonts w:ascii="Times New Roman" w:hAnsi="Times New Roman" w:cs="Times New Roman"/>
          <w:sz w:val="24"/>
          <w:szCs w:val="24"/>
        </w:rPr>
        <w:t xml:space="preserve">phylogenetic variables included in each model differed, with </w:t>
      </w:r>
      <w:r>
        <w:rPr>
          <w:rFonts w:ascii="Times New Roman" w:hAnsi="Times New Roman" w:cs="Times New Roman"/>
          <w:sz w:val="24"/>
          <w:szCs w:val="24"/>
        </w:rPr>
        <w:t>α</w:t>
      </w:r>
      <w:r w:rsidR="009B1339">
        <w:rPr>
          <w:rFonts w:ascii="Times New Roman" w:hAnsi="Times New Roman" w:cs="Times New Roman"/>
          <w:sz w:val="24"/>
          <w:szCs w:val="24"/>
        </w:rPr>
        <w:t xml:space="preserve">NRI open included in the model for αNRI </w:t>
      </w:r>
      <w:r w:rsidR="009B1339">
        <w:rPr>
          <w:rFonts w:ascii="Times New Roman" w:hAnsi="Times New Roman" w:cs="Times New Roman"/>
          <w:sz w:val="24"/>
          <w:szCs w:val="24"/>
        </w:rPr>
        <w:lastRenderedPageBreak/>
        <w:t>cushion; αNRI open and cushion for βNRI; αNRI open,</w:t>
      </w:r>
      <w:r w:rsidR="009B1339" w:rsidRPr="009B1339">
        <w:rPr>
          <w:rFonts w:ascii="Times New Roman" w:hAnsi="Times New Roman" w:cs="Times New Roman"/>
          <w:sz w:val="24"/>
          <w:szCs w:val="24"/>
        </w:rPr>
        <w:t xml:space="preserve"> </w:t>
      </w:r>
      <w:r w:rsidR="009B1339">
        <w:rPr>
          <w:rFonts w:ascii="Times New Roman" w:hAnsi="Times New Roman" w:cs="Times New Roman"/>
          <w:sz w:val="24"/>
          <w:szCs w:val="24"/>
        </w:rPr>
        <w:t xml:space="preserve">αNRI cushion and βNRI for </w:t>
      </w:r>
      <w:proofErr w:type="spellStart"/>
      <w:r w:rsidR="009B1339">
        <w:rPr>
          <w:rFonts w:ascii="Times New Roman" w:hAnsi="Times New Roman" w:cs="Times New Roman"/>
          <w:sz w:val="24"/>
          <w:szCs w:val="24"/>
        </w:rPr>
        <w:t>γNRI</w:t>
      </w:r>
      <w:proofErr w:type="spellEnd"/>
      <w:r w:rsidR="009B1339">
        <w:rPr>
          <w:rFonts w:ascii="Times New Roman" w:hAnsi="Times New Roman" w:cs="Times New Roman"/>
          <w:sz w:val="24"/>
          <w:szCs w:val="24"/>
        </w:rPr>
        <w:t xml:space="preserve">; and αNRI cushion and βNRI for ΔNRI (α and γ were excluded from this model due to their additive contribution to Δ).  </w:t>
      </w:r>
      <w:r w:rsidR="00E3760B" w:rsidRPr="009B1339">
        <w:rPr>
          <w:rFonts w:ascii="Times New Roman" w:hAnsi="Times New Roman" w:cs="Times New Roman"/>
          <w:sz w:val="24"/>
          <w:szCs w:val="24"/>
        </w:rPr>
        <w:t>All analyses were conducted in R 2.14.1, including the</w:t>
      </w:r>
      <w:r w:rsidR="00603AB1">
        <w:rPr>
          <w:rFonts w:ascii="Times New Roman" w:hAnsi="Times New Roman" w:cs="Times New Roman"/>
          <w:sz w:val="24"/>
          <w:szCs w:val="24"/>
        </w:rPr>
        <w:t xml:space="preserve"> MASS </w:t>
      </w:r>
      <w:r w:rsidR="00603AB1">
        <w:rPr>
          <w:rFonts w:ascii="Times New Roman" w:hAnsi="Times New Roman" w:cs="Times New Roman"/>
          <w:sz w:val="24"/>
          <w:szCs w:val="24"/>
        </w:rPr>
        <w:fldChar w:fldCharType="begin"/>
      </w:r>
      <w:r w:rsidR="00603AB1">
        <w:rPr>
          <w:rFonts w:ascii="Times New Roman" w:hAnsi="Times New Roman" w:cs="Times New Roman"/>
          <w:sz w:val="24"/>
          <w:szCs w:val="24"/>
        </w:rPr>
        <w:instrText>ADDIN RW.CITE{{1040 Venables, W.N 2002}}</w:instrText>
      </w:r>
      <w:r w:rsidR="00603AB1">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Venables</w:t>
      </w:r>
      <w:proofErr w:type="spellEnd"/>
      <w:r w:rsidR="002A40DD">
        <w:rPr>
          <w:rFonts w:ascii="Calibri" w:eastAsia="Times New Roman" w:hAnsi="Calibri" w:cs="Calibri"/>
        </w:rPr>
        <w:t xml:space="preserve"> and Ripley, 2002)</w:t>
      </w:r>
      <w:r w:rsidR="00603AB1">
        <w:rPr>
          <w:rFonts w:ascii="Times New Roman" w:hAnsi="Times New Roman" w:cs="Times New Roman"/>
          <w:sz w:val="24"/>
          <w:szCs w:val="24"/>
        </w:rPr>
        <w:fldChar w:fldCharType="end"/>
      </w:r>
      <w:r w:rsidR="00830B0F">
        <w:rPr>
          <w:rFonts w:ascii="Times New Roman" w:hAnsi="Times New Roman" w:cs="Times New Roman"/>
          <w:sz w:val="24"/>
          <w:szCs w:val="24"/>
        </w:rPr>
        <w:t>,</w:t>
      </w:r>
      <w:r w:rsidR="00E3760B" w:rsidRPr="009B1339">
        <w:rPr>
          <w:rFonts w:ascii="Times New Roman" w:hAnsi="Times New Roman" w:cs="Times New Roman"/>
          <w:sz w:val="24"/>
          <w:szCs w:val="24"/>
        </w:rPr>
        <w:t xml:space="preserve"> ape </w:t>
      </w:r>
      <w:r w:rsidR="00E3760B" w:rsidRPr="009B1339">
        <w:rPr>
          <w:rFonts w:ascii="Times New Roman" w:hAnsi="Times New Roman" w:cs="Times New Roman"/>
          <w:sz w:val="24"/>
          <w:szCs w:val="24"/>
        </w:rPr>
        <w:fldChar w:fldCharType="begin"/>
      </w:r>
      <w:r w:rsidR="00E3760B" w:rsidRPr="009B1339">
        <w:rPr>
          <w:rFonts w:ascii="Times New Roman" w:hAnsi="Times New Roman" w:cs="Times New Roman"/>
          <w:sz w:val="24"/>
          <w:szCs w:val="24"/>
        </w:rPr>
        <w:instrText>ADDIN RW.CITE{{820 Paradis,E. 2004}}</w:instrText>
      </w:r>
      <w:r w:rsidR="00E3760B" w:rsidRPr="009B1339">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Paradis</w:t>
      </w:r>
      <w:proofErr w:type="spellEnd"/>
      <w:r w:rsidR="002A40DD">
        <w:rPr>
          <w:rFonts w:ascii="Calibri" w:eastAsia="Times New Roman" w:hAnsi="Calibri" w:cs="Calibri"/>
          <w:i/>
          <w:iCs/>
        </w:rPr>
        <w:t xml:space="preserve"> et al</w:t>
      </w:r>
      <w:r w:rsidR="002A40DD">
        <w:rPr>
          <w:rFonts w:ascii="Calibri" w:eastAsia="Times New Roman" w:hAnsi="Calibri" w:cs="Calibri"/>
        </w:rPr>
        <w:t>, 2004)</w:t>
      </w:r>
      <w:r w:rsidR="00E3760B" w:rsidRPr="009B1339">
        <w:rPr>
          <w:rFonts w:ascii="Times New Roman" w:hAnsi="Times New Roman" w:cs="Times New Roman"/>
          <w:sz w:val="24"/>
          <w:szCs w:val="24"/>
        </w:rPr>
        <w:fldChar w:fldCharType="end"/>
      </w:r>
      <w:r w:rsidR="00E3760B" w:rsidRPr="009B1339">
        <w:rPr>
          <w:rFonts w:ascii="Times New Roman" w:hAnsi="Times New Roman" w:cs="Times New Roman"/>
          <w:sz w:val="24"/>
          <w:szCs w:val="24"/>
        </w:rPr>
        <w:t xml:space="preserve">, picante </w:t>
      </w:r>
      <w:r w:rsidR="00E3760B" w:rsidRPr="009B1339">
        <w:rPr>
          <w:rFonts w:ascii="Times New Roman" w:hAnsi="Times New Roman" w:cs="Times New Roman"/>
          <w:sz w:val="24"/>
          <w:szCs w:val="24"/>
        </w:rPr>
        <w:fldChar w:fldCharType="begin"/>
      </w:r>
      <w:r w:rsidR="00E3760B" w:rsidRPr="009B1339">
        <w:rPr>
          <w:rFonts w:ascii="Times New Roman" w:hAnsi="Times New Roman" w:cs="Times New Roman"/>
          <w:sz w:val="24"/>
          <w:szCs w:val="24"/>
        </w:rPr>
        <w:instrText>ADDIN RW.CITE{{764 Kembel,S.W. 2010}}</w:instrText>
      </w:r>
      <w:r w:rsidR="00E3760B" w:rsidRPr="009B1339">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Kembel</w:t>
      </w:r>
      <w:proofErr w:type="spellEnd"/>
      <w:r w:rsidR="002A40DD">
        <w:rPr>
          <w:rFonts w:ascii="Calibri" w:eastAsia="Times New Roman" w:hAnsi="Calibri" w:cs="Calibri"/>
          <w:i/>
          <w:iCs/>
        </w:rPr>
        <w:t xml:space="preserve"> et al</w:t>
      </w:r>
      <w:r w:rsidR="002A40DD">
        <w:rPr>
          <w:rFonts w:ascii="Calibri" w:eastAsia="Times New Roman" w:hAnsi="Calibri" w:cs="Calibri"/>
        </w:rPr>
        <w:t>, 2010)</w:t>
      </w:r>
      <w:r w:rsidR="00E3760B" w:rsidRPr="009B1339">
        <w:rPr>
          <w:rFonts w:ascii="Times New Roman" w:hAnsi="Times New Roman" w:cs="Times New Roman"/>
          <w:sz w:val="24"/>
          <w:szCs w:val="24"/>
        </w:rPr>
        <w:fldChar w:fldCharType="end"/>
      </w:r>
      <w:r w:rsidR="00E3760B" w:rsidRPr="009B1339">
        <w:rPr>
          <w:rFonts w:ascii="Times New Roman" w:hAnsi="Times New Roman" w:cs="Times New Roman"/>
          <w:sz w:val="24"/>
          <w:szCs w:val="24"/>
        </w:rPr>
        <w:t xml:space="preserve"> and vegan </w:t>
      </w:r>
      <w:r w:rsidR="00E3760B" w:rsidRPr="009B1339">
        <w:rPr>
          <w:rFonts w:ascii="Times New Roman" w:hAnsi="Times New Roman" w:cs="Times New Roman"/>
          <w:sz w:val="24"/>
          <w:szCs w:val="24"/>
        </w:rPr>
        <w:fldChar w:fldCharType="begin"/>
      </w:r>
      <w:r w:rsidR="00E3760B" w:rsidRPr="009B1339">
        <w:rPr>
          <w:rFonts w:ascii="Times New Roman" w:hAnsi="Times New Roman" w:cs="Times New Roman"/>
          <w:sz w:val="24"/>
          <w:szCs w:val="24"/>
        </w:rPr>
        <w:instrText>ADDIN RW.CITE{{1004 Oksanen, J. 2011}}</w:instrText>
      </w:r>
      <w:r w:rsidR="00E3760B" w:rsidRPr="009B1339">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Oksanen</w:t>
      </w:r>
      <w:proofErr w:type="spellEnd"/>
      <w:r w:rsidR="002A40DD">
        <w:rPr>
          <w:rFonts w:ascii="Calibri" w:eastAsia="Times New Roman" w:hAnsi="Calibri" w:cs="Calibri"/>
          <w:i/>
          <w:iCs/>
        </w:rPr>
        <w:t xml:space="preserve"> et al</w:t>
      </w:r>
      <w:r w:rsidR="002A40DD">
        <w:rPr>
          <w:rFonts w:ascii="Calibri" w:eastAsia="Times New Roman" w:hAnsi="Calibri" w:cs="Calibri"/>
        </w:rPr>
        <w:t>, 2011)</w:t>
      </w:r>
      <w:r w:rsidR="00E3760B" w:rsidRPr="009B1339">
        <w:rPr>
          <w:rFonts w:ascii="Times New Roman" w:hAnsi="Times New Roman" w:cs="Times New Roman"/>
          <w:sz w:val="24"/>
          <w:szCs w:val="24"/>
        </w:rPr>
        <w:fldChar w:fldCharType="end"/>
      </w:r>
      <w:r w:rsidR="00E3760B" w:rsidRPr="009B1339">
        <w:rPr>
          <w:rFonts w:ascii="Times New Roman" w:hAnsi="Times New Roman" w:cs="Times New Roman"/>
          <w:sz w:val="24"/>
          <w:szCs w:val="24"/>
        </w:rPr>
        <w:t xml:space="preserve"> libraries.</w:t>
      </w:r>
    </w:p>
    <w:p w:rsidR="00E3760B" w:rsidRPr="00BD6D61" w:rsidRDefault="00E3760B" w:rsidP="00E3760B">
      <w:pPr>
        <w:pStyle w:val="NoSpacing"/>
        <w:spacing w:line="480" w:lineRule="auto"/>
        <w:rPr>
          <w:rFonts w:ascii="Times New Roman" w:hAnsi="Times New Roman" w:cs="Times New Roman"/>
          <w:sz w:val="24"/>
          <w:szCs w:val="24"/>
        </w:rPr>
      </w:pPr>
    </w:p>
    <w:p w:rsidR="008D31DB" w:rsidRPr="008D31DB" w:rsidRDefault="00E3760B" w:rsidP="008D31DB">
      <w:pPr>
        <w:pStyle w:val="NoSpacing"/>
        <w:spacing w:line="480" w:lineRule="auto"/>
        <w:rPr>
          <w:rFonts w:ascii="Arial" w:hAnsi="Arial" w:cs="Arial"/>
          <w:b/>
          <w:sz w:val="24"/>
          <w:szCs w:val="24"/>
        </w:rPr>
      </w:pPr>
      <w:r w:rsidRPr="00A005EF">
        <w:rPr>
          <w:rFonts w:ascii="Arial" w:hAnsi="Arial" w:cs="Arial"/>
          <w:b/>
          <w:sz w:val="24"/>
          <w:szCs w:val="24"/>
        </w:rPr>
        <w:t>RESULTS</w:t>
      </w:r>
    </w:p>
    <w:p w:rsidR="00E3760B" w:rsidRPr="00A9605D" w:rsidRDefault="00233825" w:rsidP="00A9605D">
      <w:pPr>
        <w:spacing w:line="480" w:lineRule="auto"/>
        <w:rPr>
          <w:rFonts w:ascii="Times New Roman" w:hAnsi="Times New Roman" w:cs="Times New Roman"/>
          <w:sz w:val="24"/>
          <w:szCs w:val="24"/>
        </w:rPr>
      </w:pPr>
      <w:r w:rsidRPr="00A9605D">
        <w:rPr>
          <w:rFonts w:ascii="Times New Roman" w:hAnsi="Times New Roman" w:cs="Times New Roman"/>
          <w:sz w:val="24"/>
          <w:szCs w:val="24"/>
        </w:rPr>
        <w:t>When compared to the global phylogeny, m</w:t>
      </w:r>
      <w:r w:rsidR="00F959AF" w:rsidRPr="00A9605D">
        <w:rPr>
          <w:rFonts w:ascii="Times New Roman" w:hAnsi="Times New Roman" w:cs="Times New Roman"/>
          <w:sz w:val="24"/>
          <w:szCs w:val="24"/>
        </w:rPr>
        <w:t>easures of community phylogenetic structure exhibited strong interrelationship</w:t>
      </w:r>
      <w:r w:rsidRPr="00A9605D">
        <w:rPr>
          <w:rFonts w:ascii="Times New Roman" w:hAnsi="Times New Roman" w:cs="Times New Roman"/>
          <w:sz w:val="24"/>
          <w:szCs w:val="24"/>
        </w:rPr>
        <w:t>s</w:t>
      </w:r>
      <w:r w:rsidR="00F959AF" w:rsidRPr="00A9605D">
        <w:rPr>
          <w:rFonts w:ascii="Times New Roman" w:hAnsi="Times New Roman" w:cs="Times New Roman"/>
          <w:sz w:val="24"/>
          <w:szCs w:val="24"/>
        </w:rPr>
        <w:t xml:space="preserve"> as well as responses to environmental variation</w:t>
      </w:r>
      <w:r w:rsidR="00603AB1">
        <w:rPr>
          <w:rFonts w:ascii="Times New Roman" w:hAnsi="Times New Roman" w:cs="Times New Roman"/>
          <w:sz w:val="24"/>
          <w:szCs w:val="24"/>
        </w:rPr>
        <w:t xml:space="preserve"> (Table 2</w:t>
      </w:r>
      <w:r w:rsidR="000571C7">
        <w:rPr>
          <w:rFonts w:ascii="Times New Roman" w:hAnsi="Times New Roman" w:cs="Times New Roman"/>
          <w:sz w:val="24"/>
          <w:szCs w:val="24"/>
        </w:rPr>
        <w:t>a</w:t>
      </w:r>
      <w:r w:rsidR="00603AB1">
        <w:rPr>
          <w:rFonts w:ascii="Times New Roman" w:hAnsi="Times New Roman" w:cs="Times New Roman"/>
          <w:sz w:val="24"/>
          <w:szCs w:val="24"/>
        </w:rPr>
        <w:t>)</w:t>
      </w:r>
      <w:r w:rsidR="00F959AF" w:rsidRPr="00A9605D">
        <w:rPr>
          <w:rFonts w:ascii="Times New Roman" w:hAnsi="Times New Roman" w:cs="Times New Roman"/>
          <w:sz w:val="24"/>
          <w:szCs w:val="24"/>
        </w:rPr>
        <w:t xml:space="preserve">.  NRI </w:t>
      </w:r>
      <w:r w:rsidRPr="00A9605D">
        <w:rPr>
          <w:rFonts w:ascii="Times New Roman" w:hAnsi="Times New Roman" w:cs="Times New Roman"/>
          <w:sz w:val="24"/>
          <w:szCs w:val="24"/>
        </w:rPr>
        <w:t xml:space="preserve">in open communities </w:t>
      </w:r>
      <w:r w:rsidR="00F959AF" w:rsidRPr="00A9605D">
        <w:rPr>
          <w:rFonts w:ascii="Times New Roman" w:hAnsi="Times New Roman" w:cs="Times New Roman"/>
          <w:sz w:val="24"/>
          <w:szCs w:val="24"/>
        </w:rPr>
        <w:t>increased with declining productivity, indicating increased clu</w:t>
      </w:r>
      <w:r w:rsidRPr="00A9605D">
        <w:rPr>
          <w:rFonts w:ascii="Times New Roman" w:hAnsi="Times New Roman" w:cs="Times New Roman"/>
          <w:sz w:val="24"/>
          <w:szCs w:val="24"/>
        </w:rPr>
        <w:t xml:space="preserve">stering in severe (low productivity) environments </w:t>
      </w:r>
      <w:r w:rsidR="00F959AF" w:rsidRPr="00A9605D">
        <w:rPr>
          <w:rFonts w:ascii="Times New Roman" w:hAnsi="Times New Roman" w:cs="Times New Roman"/>
          <w:sz w:val="24"/>
          <w:szCs w:val="24"/>
        </w:rPr>
        <w:t xml:space="preserve">and greater dispersion in less severe </w:t>
      </w:r>
      <w:r w:rsidRPr="00A9605D">
        <w:rPr>
          <w:rFonts w:ascii="Times New Roman" w:hAnsi="Times New Roman" w:cs="Times New Roman"/>
          <w:sz w:val="24"/>
          <w:szCs w:val="24"/>
        </w:rPr>
        <w:t xml:space="preserve">(productive) </w:t>
      </w:r>
      <w:r w:rsidR="00F959AF" w:rsidRPr="00A9605D">
        <w:rPr>
          <w:rFonts w:ascii="Times New Roman" w:hAnsi="Times New Roman" w:cs="Times New Roman"/>
          <w:sz w:val="24"/>
          <w:szCs w:val="24"/>
        </w:rPr>
        <w:t>environments</w:t>
      </w:r>
      <w:r w:rsidR="00603AB1">
        <w:rPr>
          <w:rFonts w:ascii="Times New Roman" w:hAnsi="Times New Roman" w:cs="Times New Roman"/>
          <w:sz w:val="24"/>
          <w:szCs w:val="24"/>
        </w:rPr>
        <w:t xml:space="preserve"> (Table 2</w:t>
      </w:r>
      <w:r w:rsidR="000571C7">
        <w:rPr>
          <w:rFonts w:ascii="Times New Roman" w:hAnsi="Times New Roman" w:cs="Times New Roman"/>
          <w:sz w:val="24"/>
          <w:szCs w:val="24"/>
        </w:rPr>
        <w:t>a</w:t>
      </w:r>
      <w:r w:rsidR="00603AB1">
        <w:rPr>
          <w:rFonts w:ascii="Times New Roman" w:hAnsi="Times New Roman" w:cs="Times New Roman"/>
          <w:sz w:val="24"/>
          <w:szCs w:val="24"/>
        </w:rPr>
        <w:t>; Fig 2a)</w:t>
      </w:r>
      <w:r w:rsidR="00F959AF" w:rsidRPr="00A9605D">
        <w:rPr>
          <w:rFonts w:ascii="Times New Roman" w:hAnsi="Times New Roman" w:cs="Times New Roman"/>
          <w:sz w:val="24"/>
          <w:szCs w:val="24"/>
        </w:rPr>
        <w:t>.  NRI of cushion</w:t>
      </w:r>
      <w:r w:rsidRPr="00A9605D">
        <w:rPr>
          <w:rFonts w:ascii="Times New Roman" w:hAnsi="Times New Roman" w:cs="Times New Roman"/>
          <w:sz w:val="24"/>
          <w:szCs w:val="24"/>
        </w:rPr>
        <w:t xml:space="preserve"> communities did not respond to environmental</w:t>
      </w:r>
      <w:r w:rsidR="00F959AF" w:rsidRPr="00A9605D">
        <w:rPr>
          <w:rFonts w:ascii="Times New Roman" w:hAnsi="Times New Roman" w:cs="Times New Roman"/>
          <w:sz w:val="24"/>
          <w:szCs w:val="24"/>
        </w:rPr>
        <w:t xml:space="preserve"> variation, </w:t>
      </w:r>
      <w:r w:rsidRPr="00A9605D">
        <w:rPr>
          <w:rFonts w:ascii="Times New Roman" w:hAnsi="Times New Roman" w:cs="Times New Roman"/>
          <w:sz w:val="24"/>
          <w:szCs w:val="24"/>
        </w:rPr>
        <w:t xml:space="preserve">but did </w:t>
      </w:r>
      <w:proofErr w:type="spellStart"/>
      <w:r w:rsidRPr="00A9605D">
        <w:rPr>
          <w:rFonts w:ascii="Times New Roman" w:hAnsi="Times New Roman" w:cs="Times New Roman"/>
          <w:sz w:val="24"/>
          <w:szCs w:val="24"/>
        </w:rPr>
        <w:t>covary</w:t>
      </w:r>
      <w:proofErr w:type="spellEnd"/>
      <w:r w:rsidR="00F959AF" w:rsidRPr="00A9605D">
        <w:rPr>
          <w:rFonts w:ascii="Times New Roman" w:hAnsi="Times New Roman" w:cs="Times New Roman"/>
          <w:sz w:val="24"/>
          <w:szCs w:val="24"/>
        </w:rPr>
        <w:t xml:space="preserve"> positively with NRI of the open communities.  </w:t>
      </w:r>
      <w:r w:rsidR="000053E6" w:rsidRPr="00A9605D">
        <w:rPr>
          <w:rFonts w:ascii="Times New Roman" w:hAnsi="Times New Roman" w:cs="Times New Roman"/>
          <w:sz w:val="24"/>
          <w:szCs w:val="24"/>
        </w:rPr>
        <w:t xml:space="preserve">Relatedness between open and cushion communities </w:t>
      </w:r>
      <w:r w:rsidR="00C37342">
        <w:rPr>
          <w:rFonts w:ascii="Times New Roman" w:hAnsi="Times New Roman" w:cs="Times New Roman"/>
          <w:sz w:val="24"/>
          <w:szCs w:val="24"/>
        </w:rPr>
        <w:t>(βNRI) increased</w:t>
      </w:r>
      <w:r w:rsidR="000053E6" w:rsidRPr="00A9605D">
        <w:rPr>
          <w:rFonts w:ascii="Times New Roman" w:hAnsi="Times New Roman" w:cs="Times New Roman"/>
          <w:sz w:val="24"/>
          <w:szCs w:val="24"/>
        </w:rPr>
        <w:t xml:space="preserve"> </w:t>
      </w:r>
      <w:r w:rsidR="00C37342">
        <w:rPr>
          <w:rFonts w:ascii="Times New Roman" w:hAnsi="Times New Roman" w:cs="Times New Roman"/>
          <w:sz w:val="24"/>
          <w:szCs w:val="24"/>
        </w:rPr>
        <w:t xml:space="preserve">with </w:t>
      </w:r>
      <w:r w:rsidR="000053E6" w:rsidRPr="00A9605D">
        <w:rPr>
          <w:rFonts w:ascii="Times New Roman" w:hAnsi="Times New Roman" w:cs="Times New Roman"/>
          <w:sz w:val="24"/>
          <w:szCs w:val="24"/>
        </w:rPr>
        <w:t>productivity</w:t>
      </w:r>
      <w:r w:rsidR="00603AB1">
        <w:rPr>
          <w:rFonts w:ascii="Times New Roman" w:hAnsi="Times New Roman" w:cs="Times New Roman"/>
          <w:sz w:val="24"/>
          <w:szCs w:val="24"/>
        </w:rPr>
        <w:t xml:space="preserve"> (Fig. 2b)</w:t>
      </w:r>
      <w:r w:rsidR="00C37342">
        <w:rPr>
          <w:rFonts w:ascii="Times New Roman" w:hAnsi="Times New Roman" w:cs="Times New Roman"/>
          <w:sz w:val="24"/>
          <w:szCs w:val="24"/>
        </w:rPr>
        <w:t xml:space="preserve"> and decreased</w:t>
      </w:r>
      <w:r w:rsidR="000053E6" w:rsidRPr="00A9605D">
        <w:rPr>
          <w:rFonts w:ascii="Times New Roman" w:hAnsi="Times New Roman" w:cs="Times New Roman"/>
          <w:sz w:val="24"/>
          <w:szCs w:val="24"/>
        </w:rPr>
        <w:t xml:space="preserve"> with </w:t>
      </w:r>
      <w:r w:rsidR="00C37342">
        <w:rPr>
          <w:rFonts w:ascii="Times New Roman" w:hAnsi="Times New Roman" w:cs="Times New Roman"/>
          <w:sz w:val="24"/>
          <w:szCs w:val="24"/>
        </w:rPr>
        <w:t>α</w:t>
      </w:r>
      <w:r w:rsidR="000053E6" w:rsidRPr="00A9605D">
        <w:rPr>
          <w:rFonts w:ascii="Times New Roman" w:hAnsi="Times New Roman" w:cs="Times New Roman"/>
          <w:sz w:val="24"/>
          <w:szCs w:val="24"/>
        </w:rPr>
        <w:t xml:space="preserve">NRI in either open or cushion communities.  Relatedness at the whole community level </w:t>
      </w:r>
      <w:r w:rsidR="00C37342">
        <w:rPr>
          <w:rFonts w:ascii="Times New Roman" w:hAnsi="Times New Roman" w:cs="Times New Roman"/>
          <w:sz w:val="24"/>
          <w:szCs w:val="24"/>
        </w:rPr>
        <w:t>(</w:t>
      </w:r>
      <w:proofErr w:type="spellStart"/>
      <w:r w:rsidR="00C37342">
        <w:rPr>
          <w:rFonts w:ascii="Times New Roman" w:hAnsi="Times New Roman" w:cs="Times New Roman"/>
          <w:sz w:val="24"/>
          <w:szCs w:val="24"/>
        </w:rPr>
        <w:t>γNRI</w:t>
      </w:r>
      <w:proofErr w:type="spellEnd"/>
      <w:r w:rsidR="00C37342">
        <w:rPr>
          <w:rFonts w:ascii="Times New Roman" w:hAnsi="Times New Roman" w:cs="Times New Roman"/>
          <w:sz w:val="24"/>
          <w:szCs w:val="24"/>
        </w:rPr>
        <w:t xml:space="preserve">) </w:t>
      </w:r>
      <w:r w:rsidR="000053E6" w:rsidRPr="00A9605D">
        <w:rPr>
          <w:rFonts w:ascii="Times New Roman" w:hAnsi="Times New Roman" w:cs="Times New Roman"/>
          <w:sz w:val="24"/>
          <w:szCs w:val="24"/>
        </w:rPr>
        <w:t xml:space="preserve">increased with </w:t>
      </w:r>
      <w:r w:rsidR="00C37342">
        <w:rPr>
          <w:rFonts w:ascii="Times New Roman" w:hAnsi="Times New Roman" w:cs="Times New Roman"/>
          <w:sz w:val="24"/>
          <w:szCs w:val="24"/>
        </w:rPr>
        <w:t>α</w:t>
      </w:r>
      <w:r w:rsidR="000053E6" w:rsidRPr="00A9605D">
        <w:rPr>
          <w:rFonts w:ascii="Times New Roman" w:hAnsi="Times New Roman" w:cs="Times New Roman"/>
          <w:sz w:val="24"/>
          <w:szCs w:val="24"/>
        </w:rPr>
        <w:t>N</w:t>
      </w:r>
      <w:r w:rsidR="00603AB1">
        <w:rPr>
          <w:rFonts w:ascii="Times New Roman" w:hAnsi="Times New Roman" w:cs="Times New Roman"/>
          <w:sz w:val="24"/>
          <w:szCs w:val="24"/>
        </w:rPr>
        <w:t>RI in both microsite types</w:t>
      </w:r>
      <w:r w:rsidR="000053E6" w:rsidRPr="00A9605D">
        <w:rPr>
          <w:rFonts w:ascii="Times New Roman" w:hAnsi="Times New Roman" w:cs="Times New Roman"/>
          <w:sz w:val="24"/>
          <w:szCs w:val="24"/>
        </w:rPr>
        <w:t xml:space="preserve">, </w:t>
      </w:r>
      <w:r w:rsidR="005B1D47">
        <w:rPr>
          <w:rFonts w:ascii="Times New Roman" w:hAnsi="Times New Roman" w:cs="Times New Roman"/>
          <w:sz w:val="24"/>
          <w:szCs w:val="24"/>
        </w:rPr>
        <w:t>but not with the environment</w:t>
      </w:r>
      <w:r w:rsidR="000053E6" w:rsidRPr="00A9605D">
        <w:rPr>
          <w:rFonts w:ascii="Times New Roman" w:hAnsi="Times New Roman" w:cs="Times New Roman"/>
          <w:sz w:val="24"/>
          <w:szCs w:val="24"/>
        </w:rPr>
        <w:t xml:space="preserve">.  The effect of cushions on relatedness at the whole community level </w:t>
      </w:r>
      <w:r w:rsidR="00C37342">
        <w:rPr>
          <w:rFonts w:ascii="Times New Roman" w:hAnsi="Times New Roman" w:cs="Times New Roman"/>
          <w:sz w:val="24"/>
          <w:szCs w:val="24"/>
        </w:rPr>
        <w:t xml:space="preserve">(ΔNRI) </w:t>
      </w:r>
      <w:r w:rsidR="000053E6" w:rsidRPr="00A9605D">
        <w:rPr>
          <w:rFonts w:ascii="Times New Roman" w:hAnsi="Times New Roman" w:cs="Times New Roman"/>
          <w:sz w:val="24"/>
          <w:szCs w:val="24"/>
        </w:rPr>
        <w:t>increased with productivity</w:t>
      </w:r>
      <w:r w:rsidR="00603AB1">
        <w:rPr>
          <w:rFonts w:ascii="Times New Roman" w:hAnsi="Times New Roman" w:cs="Times New Roman"/>
          <w:sz w:val="24"/>
          <w:szCs w:val="24"/>
        </w:rPr>
        <w:t xml:space="preserve"> (Fig. 1c)</w:t>
      </w:r>
      <w:r w:rsidR="000053E6" w:rsidRPr="00A9605D">
        <w:rPr>
          <w:rFonts w:ascii="Times New Roman" w:hAnsi="Times New Roman" w:cs="Times New Roman"/>
          <w:sz w:val="24"/>
          <w:szCs w:val="24"/>
        </w:rPr>
        <w:t>, with cushions causing greater phylogenetic clustering in less severe (productive) environments while causing greater phylogenetic dispersion in severe (low productivity) environments.</w:t>
      </w:r>
    </w:p>
    <w:p w:rsidR="000053E6" w:rsidRDefault="00321D1A" w:rsidP="00A9605D">
      <w:pPr>
        <w:spacing w:line="480" w:lineRule="auto"/>
        <w:rPr>
          <w:rFonts w:ascii="Times New Roman" w:hAnsi="Times New Roman" w:cs="Times New Roman"/>
          <w:sz w:val="24"/>
          <w:szCs w:val="24"/>
        </w:rPr>
      </w:pPr>
      <w:r>
        <w:rPr>
          <w:rFonts w:ascii="Times New Roman" w:hAnsi="Times New Roman" w:cs="Times New Roman"/>
          <w:sz w:val="24"/>
          <w:szCs w:val="24"/>
        </w:rPr>
        <w:tab/>
      </w:r>
      <w:r w:rsidR="00C37342">
        <w:rPr>
          <w:rFonts w:ascii="Times New Roman" w:hAnsi="Times New Roman" w:cs="Times New Roman"/>
          <w:sz w:val="24"/>
          <w:szCs w:val="24"/>
        </w:rPr>
        <w:t>When compared to local phylogenies, patterns of phylogenetic community structure differed substantially from those related to the global pool</w:t>
      </w:r>
      <w:r w:rsidR="00603AB1">
        <w:rPr>
          <w:rFonts w:ascii="Times New Roman" w:hAnsi="Times New Roman" w:cs="Times New Roman"/>
          <w:sz w:val="24"/>
          <w:szCs w:val="24"/>
        </w:rPr>
        <w:t xml:space="preserve"> (Table 2</w:t>
      </w:r>
      <w:r w:rsidR="000571C7">
        <w:rPr>
          <w:rFonts w:ascii="Times New Roman" w:hAnsi="Times New Roman" w:cs="Times New Roman"/>
          <w:sz w:val="24"/>
          <w:szCs w:val="24"/>
        </w:rPr>
        <w:t>b</w:t>
      </w:r>
      <w:r w:rsidR="00603AB1">
        <w:rPr>
          <w:rFonts w:ascii="Times New Roman" w:hAnsi="Times New Roman" w:cs="Times New Roman"/>
          <w:sz w:val="24"/>
          <w:szCs w:val="24"/>
        </w:rPr>
        <w:t>)</w:t>
      </w:r>
      <w:r>
        <w:rPr>
          <w:rFonts w:ascii="Times New Roman" w:hAnsi="Times New Roman" w:cs="Times New Roman"/>
          <w:sz w:val="24"/>
          <w:szCs w:val="24"/>
        </w:rPr>
        <w:t xml:space="preserve">.  </w:t>
      </w:r>
      <w:r w:rsidR="00603AB1">
        <w:rPr>
          <w:rFonts w:ascii="Times New Roman" w:hAnsi="Times New Roman" w:cs="Times New Roman"/>
          <w:sz w:val="24"/>
          <w:szCs w:val="24"/>
        </w:rPr>
        <w:t xml:space="preserve">Rather than positively </w:t>
      </w:r>
      <w:proofErr w:type="spellStart"/>
      <w:r w:rsidR="00603AB1">
        <w:rPr>
          <w:rFonts w:ascii="Times New Roman" w:hAnsi="Times New Roman" w:cs="Times New Roman"/>
          <w:sz w:val="24"/>
          <w:szCs w:val="24"/>
        </w:rPr>
        <w:t>covarying</w:t>
      </w:r>
      <w:proofErr w:type="spellEnd"/>
      <w:r w:rsidR="00603AB1">
        <w:rPr>
          <w:rFonts w:ascii="Times New Roman" w:hAnsi="Times New Roman" w:cs="Times New Roman"/>
          <w:sz w:val="24"/>
          <w:szCs w:val="24"/>
        </w:rPr>
        <w:t xml:space="preserve"> as at the global scale (Fig. 3a), relatedness within open and cushion communities </w:t>
      </w:r>
      <w:r w:rsidR="00603AB1">
        <w:rPr>
          <w:rFonts w:ascii="Times New Roman" w:hAnsi="Times New Roman" w:cs="Times New Roman"/>
          <w:sz w:val="24"/>
          <w:szCs w:val="24"/>
        </w:rPr>
        <w:lastRenderedPageBreak/>
        <w:t xml:space="preserve">negatively </w:t>
      </w:r>
      <w:proofErr w:type="spellStart"/>
      <w:r w:rsidR="00C37342">
        <w:rPr>
          <w:rFonts w:ascii="Times New Roman" w:hAnsi="Times New Roman" w:cs="Times New Roman"/>
          <w:sz w:val="24"/>
          <w:szCs w:val="24"/>
        </w:rPr>
        <w:t>covaried</w:t>
      </w:r>
      <w:proofErr w:type="spellEnd"/>
      <w:r w:rsidR="00603AB1">
        <w:rPr>
          <w:rFonts w:ascii="Times New Roman" w:hAnsi="Times New Roman" w:cs="Times New Roman"/>
          <w:sz w:val="24"/>
          <w:szCs w:val="24"/>
        </w:rPr>
        <w:t xml:space="preserve"> when compared to local phylogenies (Fig. 3b).  </w:t>
      </w:r>
      <w:r>
        <w:rPr>
          <w:rFonts w:ascii="Times New Roman" w:hAnsi="Times New Roman" w:cs="Times New Roman"/>
          <w:sz w:val="24"/>
          <w:szCs w:val="24"/>
        </w:rPr>
        <w:t>In other words, when cushions were dispersed, open com</w:t>
      </w:r>
      <w:r w:rsidR="00C37342">
        <w:rPr>
          <w:rFonts w:ascii="Times New Roman" w:hAnsi="Times New Roman" w:cs="Times New Roman"/>
          <w:sz w:val="24"/>
          <w:szCs w:val="24"/>
        </w:rPr>
        <w:t>munities tended to be clustered</w:t>
      </w:r>
      <w:r>
        <w:rPr>
          <w:rFonts w:ascii="Times New Roman" w:hAnsi="Times New Roman" w:cs="Times New Roman"/>
          <w:sz w:val="24"/>
          <w:szCs w:val="24"/>
        </w:rPr>
        <w:t xml:space="preserve"> and vice versa</w:t>
      </w:r>
      <w:r w:rsidR="00C37342">
        <w:rPr>
          <w:rFonts w:ascii="Times New Roman" w:hAnsi="Times New Roman" w:cs="Times New Roman"/>
          <w:sz w:val="24"/>
          <w:szCs w:val="24"/>
        </w:rPr>
        <w:t>, although αNRI of neither microsite type varied with the environment</w:t>
      </w:r>
      <w:r>
        <w:rPr>
          <w:rFonts w:ascii="Times New Roman" w:hAnsi="Times New Roman" w:cs="Times New Roman"/>
          <w:sz w:val="24"/>
          <w:szCs w:val="24"/>
        </w:rPr>
        <w:t xml:space="preserve">.  Relatedness between microsites </w:t>
      </w:r>
      <w:r w:rsidR="00C37342">
        <w:rPr>
          <w:rFonts w:ascii="Times New Roman" w:hAnsi="Times New Roman" w:cs="Times New Roman"/>
          <w:sz w:val="24"/>
          <w:szCs w:val="24"/>
        </w:rPr>
        <w:t xml:space="preserve">(βNRI) </w:t>
      </w:r>
      <w:r>
        <w:rPr>
          <w:rFonts w:ascii="Times New Roman" w:hAnsi="Times New Roman" w:cs="Times New Roman"/>
          <w:sz w:val="24"/>
          <w:szCs w:val="24"/>
        </w:rPr>
        <w:t xml:space="preserve">was unrelated to </w:t>
      </w:r>
      <w:r w:rsidR="005B1D47">
        <w:rPr>
          <w:rFonts w:ascii="Times New Roman" w:hAnsi="Times New Roman" w:cs="Times New Roman"/>
          <w:sz w:val="24"/>
          <w:szCs w:val="24"/>
        </w:rPr>
        <w:t>any other measure of relatedness or environmental variation.</w:t>
      </w:r>
      <w:r>
        <w:rPr>
          <w:rFonts w:ascii="Times New Roman" w:hAnsi="Times New Roman" w:cs="Times New Roman"/>
          <w:sz w:val="24"/>
          <w:szCs w:val="24"/>
        </w:rPr>
        <w:t xml:space="preserve">  Relatedness at the whole community level </w:t>
      </w:r>
      <w:r w:rsidR="00522ABB">
        <w:rPr>
          <w:rFonts w:ascii="Times New Roman" w:hAnsi="Times New Roman" w:cs="Times New Roman"/>
          <w:sz w:val="24"/>
          <w:szCs w:val="24"/>
        </w:rPr>
        <w:t>(</w:t>
      </w:r>
      <w:proofErr w:type="spellStart"/>
      <w:r w:rsidR="00522ABB">
        <w:rPr>
          <w:rFonts w:ascii="Times New Roman" w:hAnsi="Times New Roman" w:cs="Times New Roman"/>
          <w:sz w:val="24"/>
          <w:szCs w:val="24"/>
        </w:rPr>
        <w:t>γNRI</w:t>
      </w:r>
      <w:proofErr w:type="spellEnd"/>
      <w:r w:rsidR="00522ABB">
        <w:rPr>
          <w:rFonts w:ascii="Times New Roman" w:hAnsi="Times New Roman" w:cs="Times New Roman"/>
          <w:sz w:val="24"/>
          <w:szCs w:val="24"/>
        </w:rPr>
        <w:t>) was positively correlated with αNRI</w:t>
      </w:r>
      <w:r>
        <w:rPr>
          <w:rFonts w:ascii="Times New Roman" w:hAnsi="Times New Roman" w:cs="Times New Roman"/>
          <w:sz w:val="24"/>
          <w:szCs w:val="24"/>
        </w:rPr>
        <w:t xml:space="preserve"> </w:t>
      </w:r>
      <w:r w:rsidR="00522ABB">
        <w:rPr>
          <w:rFonts w:ascii="Times New Roman" w:hAnsi="Times New Roman" w:cs="Times New Roman"/>
          <w:sz w:val="24"/>
          <w:szCs w:val="24"/>
        </w:rPr>
        <w:t>of</w:t>
      </w:r>
      <w:r>
        <w:rPr>
          <w:rFonts w:ascii="Times New Roman" w:hAnsi="Times New Roman" w:cs="Times New Roman"/>
          <w:sz w:val="24"/>
          <w:szCs w:val="24"/>
        </w:rPr>
        <w:t xml:space="preserve"> </w:t>
      </w:r>
      <w:r w:rsidR="00522ABB">
        <w:rPr>
          <w:rFonts w:ascii="Times New Roman" w:hAnsi="Times New Roman" w:cs="Times New Roman"/>
          <w:sz w:val="24"/>
          <w:szCs w:val="24"/>
        </w:rPr>
        <w:t>both microsite types but no other variables</w:t>
      </w:r>
      <w:r>
        <w:rPr>
          <w:rFonts w:ascii="Times New Roman" w:hAnsi="Times New Roman" w:cs="Times New Roman"/>
          <w:sz w:val="24"/>
          <w:szCs w:val="24"/>
        </w:rPr>
        <w:t xml:space="preserve">, </w:t>
      </w:r>
      <w:r w:rsidR="005D4175">
        <w:rPr>
          <w:rFonts w:ascii="Times New Roman" w:hAnsi="Times New Roman" w:cs="Times New Roman"/>
          <w:sz w:val="24"/>
          <w:szCs w:val="24"/>
        </w:rPr>
        <w:t>while neither the environment nor relatedness between communities predicted the effect of cushions on whole community relatedness.</w:t>
      </w:r>
    </w:p>
    <w:p w:rsidR="008D31DB" w:rsidRDefault="001A01BF" w:rsidP="00A9605D">
      <w:pPr>
        <w:spacing w:line="480" w:lineRule="auto"/>
        <w:rPr>
          <w:rFonts w:ascii="Times New Roman" w:hAnsi="Times New Roman" w:cs="Times New Roman"/>
          <w:sz w:val="24"/>
          <w:szCs w:val="24"/>
        </w:rPr>
      </w:pPr>
      <w:r>
        <w:rPr>
          <w:rFonts w:ascii="Times New Roman" w:hAnsi="Times New Roman" w:cs="Times New Roman"/>
          <w:sz w:val="24"/>
          <w:szCs w:val="24"/>
        </w:rPr>
        <w:tab/>
        <w:t>Phylogenetic signal in microsite preference, and thus interpretation of the above results, was highly dependent upon node depth (</w:t>
      </w:r>
      <w:r w:rsidR="008D31DB">
        <w:rPr>
          <w:rFonts w:ascii="Times New Roman" w:hAnsi="Times New Roman" w:cs="Times New Roman"/>
          <w:sz w:val="24"/>
          <w:szCs w:val="24"/>
        </w:rPr>
        <w:t>see Appendix S4</w:t>
      </w:r>
      <w:r>
        <w:rPr>
          <w:rFonts w:ascii="Times New Roman" w:hAnsi="Times New Roman" w:cs="Times New Roman"/>
          <w:sz w:val="24"/>
          <w:szCs w:val="24"/>
        </w:rPr>
        <w:t>).  At the genus level, the phylogenetic signal indicated significant convergence in two metrics of microsite preference across the phylogeny (</w:t>
      </w:r>
      <w:r w:rsidRPr="000F6234">
        <w:rPr>
          <w:rFonts w:ascii="Times New Roman" w:hAnsi="Times New Roman" w:cs="Times New Roman"/>
          <w:i/>
          <w:sz w:val="24"/>
          <w:szCs w:val="24"/>
        </w:rPr>
        <w:t>K</w:t>
      </w:r>
      <w:r w:rsidR="000F6234">
        <w:rPr>
          <w:rFonts w:ascii="Times New Roman" w:hAnsi="Times New Roman" w:cs="Times New Roman"/>
          <w:sz w:val="24"/>
          <w:szCs w:val="24"/>
        </w:rPr>
        <w:t xml:space="preserve"> </w:t>
      </w:r>
      <w:r>
        <w:rPr>
          <w:rFonts w:ascii="Times New Roman" w:hAnsi="Times New Roman" w:cs="Times New Roman"/>
          <w:sz w:val="24"/>
          <w:szCs w:val="24"/>
        </w:rPr>
        <w:t>=</w:t>
      </w:r>
      <w:r w:rsidR="000F6234">
        <w:rPr>
          <w:rFonts w:ascii="Times New Roman" w:hAnsi="Times New Roman" w:cs="Times New Roman"/>
          <w:sz w:val="24"/>
          <w:szCs w:val="24"/>
        </w:rPr>
        <w:t xml:space="preserve"> </w:t>
      </w:r>
      <w:r>
        <w:rPr>
          <w:rFonts w:ascii="Times New Roman" w:hAnsi="Times New Roman" w:cs="Times New Roman"/>
          <w:sz w:val="24"/>
          <w:szCs w:val="24"/>
        </w:rPr>
        <w:t xml:space="preserve">0.17; </w:t>
      </w:r>
      <w:r w:rsidRPr="000F6234">
        <w:rPr>
          <w:rFonts w:ascii="Times New Roman" w:hAnsi="Times New Roman" w:cs="Times New Roman"/>
          <w:i/>
          <w:sz w:val="24"/>
          <w:szCs w:val="24"/>
        </w:rPr>
        <w:t>P</w:t>
      </w:r>
      <w:r>
        <w:rPr>
          <w:rFonts w:ascii="Times New Roman" w:hAnsi="Times New Roman" w:cs="Times New Roman"/>
          <w:sz w:val="24"/>
          <w:szCs w:val="24"/>
        </w:rPr>
        <w:t xml:space="preserve"> = 0.033 and 0.049 for mean and residual of RII, respectively), but switched to conservatism for two metrics of microsite preference at the order level (</w:t>
      </w:r>
      <w:r w:rsidRPr="000F6234">
        <w:rPr>
          <w:rFonts w:ascii="Times New Roman" w:hAnsi="Times New Roman" w:cs="Times New Roman"/>
          <w:i/>
          <w:sz w:val="24"/>
          <w:szCs w:val="24"/>
        </w:rPr>
        <w:t>K</w:t>
      </w:r>
      <w:r w:rsidR="000F6234">
        <w:rPr>
          <w:rFonts w:ascii="Times New Roman" w:hAnsi="Times New Roman" w:cs="Times New Roman"/>
          <w:sz w:val="24"/>
          <w:szCs w:val="24"/>
        </w:rPr>
        <w:t xml:space="preserve"> </w:t>
      </w:r>
      <w:r>
        <w:rPr>
          <w:rFonts w:ascii="Times New Roman" w:hAnsi="Times New Roman" w:cs="Times New Roman"/>
          <w:sz w:val="24"/>
          <w:szCs w:val="24"/>
        </w:rPr>
        <w:t>=</w:t>
      </w:r>
      <w:r w:rsidR="000F6234">
        <w:rPr>
          <w:rFonts w:ascii="Times New Roman" w:hAnsi="Times New Roman" w:cs="Times New Roman"/>
          <w:sz w:val="24"/>
          <w:szCs w:val="24"/>
        </w:rPr>
        <w:t xml:space="preserve"> </w:t>
      </w:r>
      <w:r>
        <w:rPr>
          <w:rFonts w:ascii="Times New Roman" w:hAnsi="Times New Roman" w:cs="Times New Roman"/>
          <w:sz w:val="24"/>
          <w:szCs w:val="24"/>
        </w:rPr>
        <w:t xml:space="preserve">1.3 and 1.4; </w:t>
      </w:r>
      <w:r w:rsidRPr="000F6234">
        <w:rPr>
          <w:rFonts w:ascii="Times New Roman" w:hAnsi="Times New Roman" w:cs="Times New Roman"/>
          <w:i/>
          <w:sz w:val="24"/>
          <w:szCs w:val="24"/>
        </w:rPr>
        <w:t>P</w:t>
      </w:r>
      <w:r>
        <w:rPr>
          <w:rFonts w:ascii="Times New Roman" w:hAnsi="Times New Roman" w:cs="Times New Roman"/>
          <w:sz w:val="24"/>
          <w:szCs w:val="24"/>
        </w:rPr>
        <w:t xml:space="preserve"> = 0.013 and 0.002 for residual and deviance of RII, respectively), with the family-level phylogeny exhibiting no significant phylogenetic signal for any metric.  Thus, variation in </w:t>
      </w:r>
      <w:proofErr w:type="spellStart"/>
      <w:r>
        <w:rPr>
          <w:rFonts w:ascii="Times New Roman" w:hAnsi="Times New Roman" w:cs="Times New Roman"/>
          <w:sz w:val="24"/>
          <w:szCs w:val="24"/>
        </w:rPr>
        <w:t>microenvironmental</w:t>
      </w:r>
      <w:proofErr w:type="spellEnd"/>
      <w:r>
        <w:rPr>
          <w:rFonts w:ascii="Times New Roman" w:hAnsi="Times New Roman" w:cs="Times New Roman"/>
          <w:sz w:val="24"/>
          <w:szCs w:val="24"/>
        </w:rPr>
        <w:t xml:space="preserve"> filters between open and cushion communities only influenced community phylogenetic structure at very deep nodes.</w:t>
      </w:r>
      <w:r w:rsidR="008D31DB">
        <w:rPr>
          <w:rFonts w:ascii="Times New Roman" w:hAnsi="Times New Roman" w:cs="Times New Roman"/>
          <w:sz w:val="24"/>
          <w:szCs w:val="24"/>
        </w:rPr>
        <w:t xml:space="preserve">  These results correspond with the relatively low frequency of communities that were significantly clustered or over-dispersed relative to null communities, both at the global and local scales (see Appendix S4).</w:t>
      </w:r>
    </w:p>
    <w:p w:rsidR="001A01BF" w:rsidRDefault="001A01BF" w:rsidP="002F46AA">
      <w:pPr>
        <w:spacing w:line="480" w:lineRule="auto"/>
        <w:jc w:val="center"/>
        <w:rPr>
          <w:rFonts w:ascii="Times New Roman" w:hAnsi="Times New Roman" w:cs="Times New Roman"/>
          <w:sz w:val="24"/>
          <w:szCs w:val="24"/>
        </w:rPr>
      </w:pPr>
    </w:p>
    <w:p w:rsidR="002B7067" w:rsidRPr="002B7067" w:rsidRDefault="00A96DFC" w:rsidP="00A9605D">
      <w:pPr>
        <w:spacing w:line="480" w:lineRule="auto"/>
        <w:rPr>
          <w:rFonts w:ascii="Arial" w:hAnsi="Arial" w:cs="Arial"/>
          <w:b/>
          <w:sz w:val="24"/>
          <w:szCs w:val="24"/>
        </w:rPr>
      </w:pPr>
      <w:r>
        <w:rPr>
          <w:rFonts w:ascii="Arial" w:hAnsi="Arial" w:cs="Arial"/>
          <w:b/>
          <w:sz w:val="24"/>
          <w:szCs w:val="24"/>
        </w:rPr>
        <w:t>DISCUSSION</w:t>
      </w:r>
    </w:p>
    <w:p w:rsidR="001D4397" w:rsidRDefault="000571C7" w:rsidP="00A9605D">
      <w:pPr>
        <w:spacing w:line="480" w:lineRule="auto"/>
        <w:rPr>
          <w:rFonts w:ascii="Times New Roman" w:hAnsi="Times New Roman" w:cs="Times New Roman"/>
          <w:sz w:val="24"/>
          <w:szCs w:val="24"/>
        </w:rPr>
      </w:pPr>
      <w:r>
        <w:rPr>
          <w:rFonts w:ascii="Times New Roman" w:hAnsi="Times New Roman" w:cs="Times New Roman"/>
          <w:sz w:val="24"/>
          <w:szCs w:val="24"/>
        </w:rPr>
        <w:t xml:space="preserve">We found </w:t>
      </w:r>
      <w:r w:rsidR="001D4397">
        <w:rPr>
          <w:rFonts w:ascii="Times New Roman" w:hAnsi="Times New Roman" w:cs="Times New Roman"/>
          <w:sz w:val="24"/>
          <w:szCs w:val="24"/>
        </w:rPr>
        <w:t>that cushion pl</w:t>
      </w:r>
      <w:r w:rsidR="006837E1">
        <w:rPr>
          <w:rFonts w:ascii="Times New Roman" w:hAnsi="Times New Roman" w:cs="Times New Roman"/>
          <w:sz w:val="24"/>
          <w:szCs w:val="24"/>
        </w:rPr>
        <w:t xml:space="preserve">ants significantly altered PCS, </w:t>
      </w:r>
      <w:r w:rsidR="001B17D3">
        <w:rPr>
          <w:rFonts w:ascii="Times New Roman" w:hAnsi="Times New Roman" w:cs="Times New Roman"/>
          <w:sz w:val="24"/>
          <w:szCs w:val="24"/>
        </w:rPr>
        <w:t xml:space="preserve">specifically through the </w:t>
      </w:r>
      <w:r w:rsidR="00565BB2">
        <w:rPr>
          <w:rFonts w:ascii="Times New Roman" w:hAnsi="Times New Roman" w:cs="Times New Roman"/>
          <w:sz w:val="24"/>
          <w:szCs w:val="24"/>
        </w:rPr>
        <w:t>Divergence Hypothesis: w</w:t>
      </w:r>
      <w:r w:rsidR="001B17D3">
        <w:rPr>
          <w:rFonts w:ascii="Times New Roman" w:hAnsi="Times New Roman" w:cs="Times New Roman"/>
          <w:sz w:val="24"/>
          <w:szCs w:val="24"/>
        </w:rPr>
        <w:t>hen compared to the global phylogeny</w:t>
      </w:r>
      <w:r w:rsidR="006837E1">
        <w:rPr>
          <w:rFonts w:ascii="Times New Roman" w:hAnsi="Times New Roman" w:cs="Times New Roman"/>
          <w:sz w:val="24"/>
          <w:szCs w:val="24"/>
        </w:rPr>
        <w:t xml:space="preserve">, </w:t>
      </w:r>
      <w:r w:rsidR="001D4397">
        <w:rPr>
          <w:rFonts w:ascii="Times New Roman" w:hAnsi="Times New Roman" w:cs="Times New Roman"/>
          <w:sz w:val="24"/>
          <w:szCs w:val="24"/>
        </w:rPr>
        <w:t xml:space="preserve">cushion plants created </w:t>
      </w:r>
      <w:r w:rsidR="001B17D3">
        <w:rPr>
          <w:rFonts w:ascii="Times New Roman" w:hAnsi="Times New Roman" w:cs="Times New Roman"/>
          <w:sz w:val="24"/>
          <w:szCs w:val="24"/>
        </w:rPr>
        <w:t xml:space="preserve">increasingly </w:t>
      </w:r>
      <w:proofErr w:type="spellStart"/>
      <w:r w:rsidR="001B17D3">
        <w:rPr>
          <w:rFonts w:ascii="Times New Roman" w:hAnsi="Times New Roman" w:cs="Times New Roman"/>
          <w:sz w:val="24"/>
          <w:szCs w:val="24"/>
        </w:rPr>
        <w:lastRenderedPageBreak/>
        <w:t>phylogenetically</w:t>
      </w:r>
      <w:proofErr w:type="spellEnd"/>
      <w:r w:rsidR="001B17D3">
        <w:rPr>
          <w:rFonts w:ascii="Times New Roman" w:hAnsi="Times New Roman" w:cs="Times New Roman"/>
          <w:sz w:val="24"/>
          <w:szCs w:val="24"/>
        </w:rPr>
        <w:t xml:space="preserve"> </w:t>
      </w:r>
      <w:r w:rsidR="001D4397">
        <w:rPr>
          <w:rFonts w:ascii="Times New Roman" w:hAnsi="Times New Roman" w:cs="Times New Roman"/>
          <w:sz w:val="24"/>
          <w:szCs w:val="24"/>
        </w:rPr>
        <w:t xml:space="preserve">unique </w:t>
      </w:r>
      <w:r w:rsidR="001B17D3">
        <w:rPr>
          <w:rFonts w:ascii="Times New Roman" w:hAnsi="Times New Roman" w:cs="Times New Roman"/>
          <w:sz w:val="24"/>
          <w:szCs w:val="24"/>
        </w:rPr>
        <w:t>communities</w:t>
      </w:r>
      <w:r w:rsidR="001D4397">
        <w:rPr>
          <w:rFonts w:ascii="Times New Roman" w:hAnsi="Times New Roman" w:cs="Times New Roman"/>
          <w:sz w:val="24"/>
          <w:szCs w:val="24"/>
        </w:rPr>
        <w:t xml:space="preserve"> </w:t>
      </w:r>
      <w:r w:rsidR="001B17D3">
        <w:rPr>
          <w:rFonts w:ascii="Times New Roman" w:hAnsi="Times New Roman" w:cs="Times New Roman"/>
          <w:sz w:val="24"/>
          <w:szCs w:val="24"/>
        </w:rPr>
        <w:t>as productivity declined across sites</w:t>
      </w:r>
      <w:r w:rsidR="006837E1">
        <w:rPr>
          <w:rFonts w:ascii="Times New Roman" w:hAnsi="Times New Roman" w:cs="Times New Roman"/>
          <w:sz w:val="24"/>
          <w:szCs w:val="24"/>
        </w:rPr>
        <w:t>, resulting in an inc</w:t>
      </w:r>
      <w:r w:rsidR="002F46AA">
        <w:rPr>
          <w:rFonts w:ascii="Times New Roman" w:hAnsi="Times New Roman" w:cs="Times New Roman"/>
          <w:sz w:val="24"/>
          <w:szCs w:val="24"/>
        </w:rPr>
        <w:t>rease in phylogenetic diversity</w:t>
      </w:r>
      <w:r w:rsidR="001B17D3">
        <w:rPr>
          <w:rFonts w:ascii="Times New Roman" w:hAnsi="Times New Roman" w:cs="Times New Roman"/>
          <w:sz w:val="24"/>
          <w:szCs w:val="24"/>
        </w:rPr>
        <w:t xml:space="preserve"> at the whole community level</w:t>
      </w:r>
      <w:r w:rsidR="00325869">
        <w:rPr>
          <w:rFonts w:ascii="Times New Roman" w:hAnsi="Times New Roman" w:cs="Times New Roman"/>
          <w:sz w:val="24"/>
          <w:szCs w:val="24"/>
        </w:rPr>
        <w:t>.  This enhancement of phylogenetic diversity was</w:t>
      </w:r>
      <w:r w:rsidR="002F46AA">
        <w:rPr>
          <w:rFonts w:ascii="Times New Roman" w:hAnsi="Times New Roman" w:cs="Times New Roman"/>
          <w:sz w:val="24"/>
          <w:szCs w:val="24"/>
        </w:rPr>
        <w:t xml:space="preserve"> independent of changes in ta</w:t>
      </w:r>
      <w:r w:rsidR="00325869">
        <w:rPr>
          <w:rFonts w:ascii="Times New Roman" w:hAnsi="Times New Roman" w:cs="Times New Roman"/>
          <w:sz w:val="24"/>
          <w:szCs w:val="24"/>
        </w:rPr>
        <w:t>xonomic diversity, since observed species richness was maintained in all null models</w:t>
      </w:r>
      <w:r w:rsidR="001D4397">
        <w:rPr>
          <w:rFonts w:ascii="Times New Roman" w:hAnsi="Times New Roman" w:cs="Times New Roman"/>
          <w:sz w:val="24"/>
          <w:szCs w:val="24"/>
        </w:rPr>
        <w:t xml:space="preserve">.  </w:t>
      </w:r>
      <w:r w:rsidR="001B17D3">
        <w:rPr>
          <w:rFonts w:ascii="Times New Roman" w:hAnsi="Times New Roman" w:cs="Times New Roman"/>
          <w:sz w:val="24"/>
          <w:szCs w:val="24"/>
        </w:rPr>
        <w:t>These</w:t>
      </w:r>
      <w:r w:rsidR="00325869">
        <w:rPr>
          <w:rFonts w:ascii="Times New Roman" w:hAnsi="Times New Roman" w:cs="Times New Roman"/>
          <w:sz w:val="24"/>
          <w:szCs w:val="24"/>
        </w:rPr>
        <w:t xml:space="preserve"> results demonstrate</w:t>
      </w:r>
      <w:r w:rsidR="001D4397">
        <w:rPr>
          <w:rFonts w:ascii="Times New Roman" w:hAnsi="Times New Roman" w:cs="Times New Roman"/>
          <w:sz w:val="24"/>
          <w:szCs w:val="24"/>
        </w:rPr>
        <w:t xml:space="preserve"> the importance of measuring within-community variation in PCS associated with foundation species or other forms of environmental heterogeneity.  In the absence of cushion plants, environmental filters became more restrictive with increasing environmental severity, with the open community shifting from dispersed in productive, low-severity environments to </w:t>
      </w:r>
      <w:proofErr w:type="gramStart"/>
      <w:r w:rsidR="001D4397">
        <w:rPr>
          <w:rFonts w:ascii="Times New Roman" w:hAnsi="Times New Roman" w:cs="Times New Roman"/>
          <w:sz w:val="24"/>
          <w:szCs w:val="24"/>
        </w:rPr>
        <w:t>clustered</w:t>
      </w:r>
      <w:proofErr w:type="gramEnd"/>
      <w:r w:rsidR="001D4397">
        <w:rPr>
          <w:rFonts w:ascii="Times New Roman" w:hAnsi="Times New Roman" w:cs="Times New Roman"/>
          <w:sz w:val="24"/>
          <w:szCs w:val="24"/>
        </w:rPr>
        <w:t xml:space="preserve"> in low-productivity, high-severity environments.  </w:t>
      </w:r>
      <w:r w:rsidR="00325869">
        <w:rPr>
          <w:rFonts w:ascii="Times New Roman" w:hAnsi="Times New Roman" w:cs="Times New Roman"/>
          <w:sz w:val="24"/>
          <w:szCs w:val="24"/>
        </w:rPr>
        <w:t>Cushions erased this pattern of intensified environmental restrictions b</w:t>
      </w:r>
      <w:r w:rsidR="001D4397">
        <w:rPr>
          <w:rFonts w:ascii="Times New Roman" w:hAnsi="Times New Roman" w:cs="Times New Roman"/>
          <w:sz w:val="24"/>
          <w:szCs w:val="24"/>
        </w:rPr>
        <w:t>y diverging from the phylogenetic composition</w:t>
      </w:r>
      <w:r w:rsidR="002F46AA">
        <w:rPr>
          <w:rFonts w:ascii="Times New Roman" w:hAnsi="Times New Roman" w:cs="Times New Roman"/>
          <w:sz w:val="24"/>
          <w:szCs w:val="24"/>
        </w:rPr>
        <w:t xml:space="preserve"> of the open community</w:t>
      </w:r>
      <w:r w:rsidR="001D4397">
        <w:rPr>
          <w:rFonts w:ascii="Times New Roman" w:hAnsi="Times New Roman" w:cs="Times New Roman"/>
          <w:sz w:val="24"/>
          <w:szCs w:val="24"/>
        </w:rPr>
        <w:t xml:space="preserve"> in more severe environments, resulting in no relationship between total community PCS (</w:t>
      </w:r>
      <w:proofErr w:type="spellStart"/>
      <w:r w:rsidR="001D4397">
        <w:rPr>
          <w:rFonts w:ascii="Times New Roman" w:hAnsi="Times New Roman" w:cs="Times New Roman"/>
          <w:sz w:val="24"/>
          <w:szCs w:val="24"/>
        </w:rPr>
        <w:t>γNRI</w:t>
      </w:r>
      <w:proofErr w:type="spellEnd"/>
      <w:r w:rsidR="001D4397">
        <w:rPr>
          <w:rFonts w:ascii="Times New Roman" w:hAnsi="Times New Roman" w:cs="Times New Roman"/>
          <w:sz w:val="24"/>
          <w:szCs w:val="24"/>
        </w:rPr>
        <w:t>) and environmental variation.  Without accounting for the effects of</w:t>
      </w:r>
      <w:r w:rsidR="00581831">
        <w:rPr>
          <w:rFonts w:ascii="Times New Roman" w:hAnsi="Times New Roman" w:cs="Times New Roman"/>
          <w:sz w:val="24"/>
          <w:szCs w:val="24"/>
        </w:rPr>
        <w:t xml:space="preserve"> foundation species</w:t>
      </w:r>
      <w:r w:rsidR="001D4397">
        <w:rPr>
          <w:rFonts w:ascii="Times New Roman" w:hAnsi="Times New Roman" w:cs="Times New Roman"/>
          <w:sz w:val="24"/>
          <w:szCs w:val="24"/>
        </w:rPr>
        <w:t xml:space="preserve"> there would be no detectable environmental signature in PCS across alpine plant communities, despite significant and complex shifts in community assembly patterns.</w:t>
      </w:r>
    </w:p>
    <w:p w:rsidR="008C61A2" w:rsidRDefault="00B24758" w:rsidP="00A9605D">
      <w:pPr>
        <w:spacing w:line="480" w:lineRule="auto"/>
        <w:rPr>
          <w:rFonts w:ascii="Times New Roman" w:hAnsi="Times New Roman" w:cs="Times New Roman"/>
          <w:sz w:val="24"/>
          <w:szCs w:val="24"/>
        </w:rPr>
      </w:pPr>
      <w:r>
        <w:rPr>
          <w:rFonts w:ascii="Times New Roman" w:hAnsi="Times New Roman" w:cs="Times New Roman"/>
          <w:sz w:val="24"/>
          <w:szCs w:val="24"/>
        </w:rPr>
        <w:tab/>
      </w:r>
      <w:r w:rsidR="008C61A2">
        <w:rPr>
          <w:rFonts w:ascii="Times New Roman" w:hAnsi="Times New Roman" w:cs="Times New Roman"/>
          <w:sz w:val="24"/>
          <w:szCs w:val="24"/>
        </w:rPr>
        <w:t>Patterns of PCS</w:t>
      </w:r>
      <w:r>
        <w:rPr>
          <w:rFonts w:ascii="Times New Roman" w:hAnsi="Times New Roman" w:cs="Times New Roman"/>
          <w:sz w:val="24"/>
          <w:szCs w:val="24"/>
        </w:rPr>
        <w:t xml:space="preserve"> differed between the global and local scales, reflecting differences in the diversity of reference species pools as well as </w:t>
      </w:r>
      <w:r w:rsidR="008C61A2">
        <w:rPr>
          <w:rFonts w:ascii="Times New Roman" w:hAnsi="Times New Roman" w:cs="Times New Roman"/>
          <w:sz w:val="24"/>
          <w:szCs w:val="24"/>
        </w:rPr>
        <w:t xml:space="preserve">possible </w:t>
      </w:r>
      <w:r>
        <w:rPr>
          <w:rFonts w:ascii="Times New Roman" w:hAnsi="Times New Roman" w:cs="Times New Roman"/>
          <w:sz w:val="24"/>
          <w:szCs w:val="24"/>
        </w:rPr>
        <w:t>constraints on the independence of PCS metrics</w:t>
      </w:r>
      <w:r w:rsidR="008C61A2">
        <w:rPr>
          <w:rFonts w:ascii="Times New Roman" w:hAnsi="Times New Roman" w:cs="Times New Roman"/>
          <w:sz w:val="24"/>
          <w:szCs w:val="24"/>
        </w:rPr>
        <w:t xml:space="preserve"> at the local scale</w:t>
      </w:r>
      <w:r>
        <w:rPr>
          <w:rFonts w:ascii="Times New Roman" w:hAnsi="Times New Roman" w:cs="Times New Roman"/>
          <w:sz w:val="24"/>
          <w:szCs w:val="24"/>
        </w:rPr>
        <w:t xml:space="preserve">.  </w:t>
      </w:r>
      <w:r w:rsidR="008C61A2">
        <w:rPr>
          <w:rFonts w:ascii="Times New Roman" w:hAnsi="Times New Roman" w:cs="Times New Roman"/>
          <w:sz w:val="24"/>
          <w:szCs w:val="24"/>
        </w:rPr>
        <w:t>Using</w:t>
      </w:r>
      <w:r>
        <w:rPr>
          <w:rFonts w:ascii="Times New Roman" w:hAnsi="Times New Roman" w:cs="Times New Roman"/>
          <w:sz w:val="24"/>
          <w:szCs w:val="24"/>
        </w:rPr>
        <w:t xml:space="preserve"> local-level phylogenies </w:t>
      </w:r>
      <w:r w:rsidR="008C61A2">
        <w:rPr>
          <w:rFonts w:ascii="Times New Roman" w:hAnsi="Times New Roman" w:cs="Times New Roman"/>
          <w:sz w:val="24"/>
          <w:szCs w:val="24"/>
        </w:rPr>
        <w:t xml:space="preserve">to generate random communities could have provided substantial insight into PCS if </w:t>
      </w:r>
      <w:r w:rsidR="001A0A3C">
        <w:rPr>
          <w:rFonts w:ascii="Times New Roman" w:hAnsi="Times New Roman" w:cs="Times New Roman"/>
          <w:sz w:val="24"/>
          <w:szCs w:val="24"/>
        </w:rPr>
        <w:t>both microsites and the total community</w:t>
      </w:r>
      <w:r w:rsidR="008C61A2">
        <w:rPr>
          <w:rFonts w:ascii="Times New Roman" w:hAnsi="Times New Roman" w:cs="Times New Roman"/>
          <w:sz w:val="24"/>
          <w:szCs w:val="24"/>
        </w:rPr>
        <w:t xml:space="preserve"> simultaneously exhibited high degrees clustering (very negative α and β NRI) relative to the global phylogeny, in which case local-level PCS could be used to identify whether significant structure still </w:t>
      </w:r>
      <w:r w:rsidR="001A0A3C">
        <w:rPr>
          <w:rFonts w:ascii="Times New Roman" w:hAnsi="Times New Roman" w:cs="Times New Roman"/>
          <w:sz w:val="24"/>
          <w:szCs w:val="24"/>
        </w:rPr>
        <w:t xml:space="preserve">existed after accounting for global-level patterns </w:t>
      </w:r>
      <w:r w:rsidR="001A0A3C">
        <w:rPr>
          <w:rFonts w:ascii="Times New Roman" w:hAnsi="Times New Roman" w:cs="Times New Roman"/>
          <w:sz w:val="24"/>
          <w:szCs w:val="24"/>
        </w:rPr>
        <w:fldChar w:fldCharType="begin"/>
      </w:r>
      <w:r w:rsidR="001A0A3C">
        <w:rPr>
          <w:rFonts w:ascii="Times New Roman" w:hAnsi="Times New Roman" w:cs="Times New Roman"/>
          <w:sz w:val="24"/>
          <w:szCs w:val="24"/>
        </w:rPr>
        <w:instrText>ADDIN RW.CITE{{677 Helmus,M.R. 2007}}</w:instrText>
      </w:r>
      <w:r w:rsidR="001A0A3C">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Helmus</w:t>
      </w:r>
      <w:proofErr w:type="spellEnd"/>
      <w:r w:rsidR="002A40DD">
        <w:rPr>
          <w:rFonts w:ascii="Calibri" w:eastAsia="Times New Roman" w:hAnsi="Calibri" w:cs="Calibri"/>
          <w:i/>
          <w:iCs/>
        </w:rPr>
        <w:t xml:space="preserve"> et al</w:t>
      </w:r>
      <w:r w:rsidR="002A40DD">
        <w:rPr>
          <w:rFonts w:ascii="Calibri" w:eastAsia="Times New Roman" w:hAnsi="Calibri" w:cs="Calibri"/>
        </w:rPr>
        <w:t>, 2007)</w:t>
      </w:r>
      <w:r w:rsidR="001A0A3C">
        <w:rPr>
          <w:rFonts w:ascii="Times New Roman" w:hAnsi="Times New Roman" w:cs="Times New Roman"/>
          <w:sz w:val="24"/>
          <w:szCs w:val="24"/>
        </w:rPr>
        <w:fldChar w:fldCharType="end"/>
      </w:r>
      <w:r w:rsidR="001A0A3C">
        <w:rPr>
          <w:rFonts w:ascii="Times New Roman" w:hAnsi="Times New Roman" w:cs="Times New Roman"/>
          <w:sz w:val="24"/>
          <w:szCs w:val="24"/>
        </w:rPr>
        <w:t xml:space="preserve">.  This combination of PCS did not occur across our study sites.  The negative correlation between open and cushion PCS at the local scale also points to two potential constraints in identifying the </w:t>
      </w:r>
      <w:r w:rsidR="001A0A3C">
        <w:rPr>
          <w:rFonts w:ascii="Times New Roman" w:hAnsi="Times New Roman" w:cs="Times New Roman"/>
          <w:sz w:val="24"/>
          <w:szCs w:val="24"/>
        </w:rPr>
        <w:lastRenderedPageBreak/>
        <w:t xml:space="preserve">creation of unique microsites by foundation species.  First, if one species is absent from one microsite it is necessarily present in the other (when species are drawn from the local pool), which may increase the probability that one microsite will be dispersed if the other is clustered.  Second, the limited phylogenetic diversity of some local pools may obscure potential responses to environmental heterogeneity.  </w:t>
      </w:r>
      <w:r w:rsidR="001A0A3C">
        <w:rPr>
          <w:rFonts w:ascii="Times New Roman" w:hAnsi="Times New Roman" w:cs="Times New Roman"/>
          <w:sz w:val="24"/>
          <w:szCs w:val="24"/>
        </w:rPr>
        <w:t xml:space="preserve">For example, the cushion microsite </w:t>
      </w:r>
      <w:r w:rsidR="001A0A3C">
        <w:rPr>
          <w:rFonts w:ascii="Times New Roman" w:hAnsi="Times New Roman" w:cs="Times New Roman"/>
          <w:sz w:val="24"/>
          <w:szCs w:val="24"/>
        </w:rPr>
        <w:t>could be</w:t>
      </w:r>
      <w:r w:rsidR="001A0A3C">
        <w:rPr>
          <w:rFonts w:ascii="Times New Roman" w:hAnsi="Times New Roman" w:cs="Times New Roman"/>
          <w:sz w:val="24"/>
          <w:szCs w:val="24"/>
        </w:rPr>
        <w:t xml:space="preserve"> suitable for </w:t>
      </w:r>
      <w:proofErr w:type="spellStart"/>
      <w:r w:rsidR="001A0A3C">
        <w:rPr>
          <w:rFonts w:ascii="Times New Roman" w:hAnsi="Times New Roman" w:cs="Times New Roman"/>
          <w:sz w:val="24"/>
          <w:szCs w:val="24"/>
        </w:rPr>
        <w:t>Apiaceae</w:t>
      </w:r>
      <w:proofErr w:type="spellEnd"/>
      <w:r w:rsidR="001A0A3C">
        <w:rPr>
          <w:rFonts w:ascii="Times New Roman" w:hAnsi="Times New Roman" w:cs="Times New Roman"/>
          <w:sz w:val="24"/>
          <w:szCs w:val="24"/>
        </w:rPr>
        <w:t xml:space="preserve"> species but not for </w:t>
      </w:r>
      <w:proofErr w:type="spellStart"/>
      <w:r w:rsidR="001A0A3C">
        <w:rPr>
          <w:rFonts w:ascii="Times New Roman" w:hAnsi="Times New Roman" w:cs="Times New Roman"/>
          <w:sz w:val="24"/>
          <w:szCs w:val="24"/>
        </w:rPr>
        <w:t>Fabaceae</w:t>
      </w:r>
      <w:proofErr w:type="spellEnd"/>
      <w:r w:rsidR="001A0A3C">
        <w:rPr>
          <w:rFonts w:ascii="Times New Roman" w:hAnsi="Times New Roman" w:cs="Times New Roman"/>
          <w:sz w:val="24"/>
          <w:szCs w:val="24"/>
        </w:rPr>
        <w:t>,</w:t>
      </w:r>
      <w:r w:rsidR="001A0A3C">
        <w:rPr>
          <w:rFonts w:ascii="Times New Roman" w:hAnsi="Times New Roman" w:cs="Times New Roman"/>
          <w:sz w:val="24"/>
          <w:szCs w:val="24"/>
        </w:rPr>
        <w:t xml:space="preserve"> and</w:t>
      </w:r>
      <w:r w:rsidR="001A0A3C">
        <w:rPr>
          <w:rFonts w:ascii="Times New Roman" w:hAnsi="Times New Roman" w:cs="Times New Roman"/>
          <w:sz w:val="24"/>
          <w:szCs w:val="24"/>
        </w:rPr>
        <w:t xml:space="preserve"> vice versa for the open.</w:t>
      </w:r>
      <w:r w:rsidR="001A0A3C">
        <w:rPr>
          <w:rFonts w:ascii="Times New Roman" w:hAnsi="Times New Roman" w:cs="Times New Roman"/>
          <w:sz w:val="24"/>
          <w:szCs w:val="24"/>
        </w:rPr>
        <w:t xml:space="preserve"> </w:t>
      </w:r>
      <w:r w:rsidR="001A0A3C">
        <w:rPr>
          <w:rFonts w:ascii="Times New Roman" w:hAnsi="Times New Roman" w:cs="Times New Roman"/>
          <w:sz w:val="24"/>
          <w:szCs w:val="24"/>
        </w:rPr>
        <w:t xml:space="preserve"> If</w:t>
      </w:r>
      <w:r w:rsidR="001A0A3C">
        <w:rPr>
          <w:rFonts w:ascii="Times New Roman" w:hAnsi="Times New Roman" w:cs="Times New Roman"/>
          <w:sz w:val="24"/>
          <w:szCs w:val="24"/>
        </w:rPr>
        <w:t xml:space="preserve"> one or both of these clades is absent from the local phylogeny due to biogeographic or evolutionary factors, potential shifts in PCS </w:t>
      </w:r>
      <w:r w:rsidR="007202A9">
        <w:rPr>
          <w:rFonts w:ascii="Times New Roman" w:hAnsi="Times New Roman" w:cs="Times New Roman"/>
          <w:sz w:val="24"/>
          <w:szCs w:val="24"/>
        </w:rPr>
        <w:t xml:space="preserve">generated by the cushion plant </w:t>
      </w:r>
      <w:r w:rsidR="001A0A3C">
        <w:rPr>
          <w:rFonts w:ascii="Times New Roman" w:hAnsi="Times New Roman" w:cs="Times New Roman"/>
          <w:sz w:val="24"/>
          <w:szCs w:val="24"/>
        </w:rPr>
        <w:t xml:space="preserve">would not be detected.  </w:t>
      </w:r>
      <w:r w:rsidR="001A0A3C">
        <w:rPr>
          <w:rFonts w:ascii="Times New Roman" w:hAnsi="Times New Roman" w:cs="Times New Roman"/>
          <w:sz w:val="24"/>
          <w:szCs w:val="24"/>
        </w:rPr>
        <w:t>Thus, beyond the ability to set community assembly rules within a broader environmental context, a constant, global-scale phylogeny provided the necessary reference pool to identify the full range of effects of foundation species on community assembly.</w:t>
      </w:r>
    </w:p>
    <w:p w:rsidR="001A0A3C" w:rsidRDefault="001A0A3C" w:rsidP="001A0A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Support for the Divergence Hypothesis indicates that cushion plants create increasingly unique microenvironments as productivity declines, intensifying the tradeoffs that determine microhabitat suitability for the species that are present.  The Compensation Hypothesis would predict that cushion plants simply add new clades to the community with increasing environmental severity while still supporting or enhancing the abundance of clades already present.  This was not the case, as cushion and open communities diverged with declining productivity.  The exclusion or reduced performance of some clades in cushions suggests a tradeoff related to productivity, such as a competition – stress tolerance tradeoff </w:t>
      </w:r>
      <w:r>
        <w:rPr>
          <w:rFonts w:ascii="Times New Roman" w:hAnsi="Times New Roman" w:cs="Times New Roman"/>
          <w:sz w:val="24"/>
          <w:szCs w:val="24"/>
        </w:rPr>
        <w:fldChar w:fldCharType="begin"/>
      </w:r>
      <w:r>
        <w:rPr>
          <w:rFonts w:ascii="Times New Roman" w:hAnsi="Times New Roman" w:cs="Times New Roman"/>
          <w:sz w:val="24"/>
          <w:szCs w:val="24"/>
        </w:rPr>
        <w:instrText>ADDIN RW.CITE{{386 Grime,J.P. 1977}}</w:instrText>
      </w:r>
      <w:r>
        <w:rPr>
          <w:rFonts w:ascii="Times New Roman" w:hAnsi="Times New Roman" w:cs="Times New Roman"/>
          <w:sz w:val="24"/>
          <w:szCs w:val="24"/>
        </w:rPr>
        <w:fldChar w:fldCharType="separate"/>
      </w:r>
      <w:r w:rsidR="002A40DD">
        <w:rPr>
          <w:rFonts w:ascii="Calibri" w:eastAsia="Times New Roman" w:hAnsi="Calibri" w:cs="Calibri"/>
        </w:rPr>
        <w:t>(Grime, 1977)</w:t>
      </w:r>
      <w:r>
        <w:rPr>
          <w:rFonts w:ascii="Times New Roman" w:hAnsi="Times New Roman" w:cs="Times New Roman"/>
          <w:sz w:val="24"/>
          <w:szCs w:val="24"/>
        </w:rPr>
        <w:fldChar w:fldCharType="end"/>
      </w:r>
      <w:r>
        <w:rPr>
          <w:rFonts w:ascii="Times New Roman" w:hAnsi="Times New Roman" w:cs="Times New Roman"/>
          <w:sz w:val="24"/>
          <w:szCs w:val="24"/>
        </w:rPr>
        <w:t>, where competitor clades exclude</w:t>
      </w:r>
      <w:r>
        <w:rPr>
          <w:rFonts w:ascii="Times New Roman" w:hAnsi="Times New Roman" w:cs="Times New Roman"/>
          <w:sz w:val="24"/>
          <w:szCs w:val="24"/>
        </w:rPr>
        <w:t xml:space="preserve"> stress-</w:t>
      </w:r>
      <w:proofErr w:type="spellStart"/>
      <w:r>
        <w:rPr>
          <w:rFonts w:ascii="Times New Roman" w:hAnsi="Times New Roman" w:cs="Times New Roman"/>
          <w:sz w:val="24"/>
          <w:szCs w:val="24"/>
        </w:rPr>
        <w:t>tolerator</w:t>
      </w:r>
      <w:proofErr w:type="spellEnd"/>
      <w:r>
        <w:rPr>
          <w:rFonts w:ascii="Times New Roman" w:hAnsi="Times New Roman" w:cs="Times New Roman"/>
          <w:sz w:val="24"/>
          <w:szCs w:val="24"/>
        </w:rPr>
        <w:t xml:space="preserve"> clades from the more pro</w:t>
      </w:r>
      <w:r>
        <w:rPr>
          <w:rFonts w:ascii="Times New Roman" w:hAnsi="Times New Roman" w:cs="Times New Roman"/>
          <w:sz w:val="24"/>
          <w:szCs w:val="24"/>
        </w:rPr>
        <w:t>ductive cushion microhabitat while</w:t>
      </w:r>
      <w:r>
        <w:rPr>
          <w:rFonts w:ascii="Times New Roman" w:hAnsi="Times New Roman" w:cs="Times New Roman"/>
          <w:sz w:val="24"/>
          <w:szCs w:val="24"/>
        </w:rPr>
        <w:t xml:space="preserve"> the former </w:t>
      </w:r>
      <w:r>
        <w:rPr>
          <w:rFonts w:ascii="Times New Roman" w:hAnsi="Times New Roman" w:cs="Times New Roman"/>
          <w:sz w:val="24"/>
          <w:szCs w:val="24"/>
        </w:rPr>
        <w:t xml:space="preserve">are </w:t>
      </w:r>
      <w:r>
        <w:rPr>
          <w:rFonts w:ascii="Times New Roman" w:hAnsi="Times New Roman" w:cs="Times New Roman"/>
          <w:sz w:val="24"/>
          <w:szCs w:val="24"/>
        </w:rPr>
        <w:t xml:space="preserve">excluded from the open due to low stress tolerance.  Such a tradeoff would not be realized in productive environments, where the contrast in productivity between open and cushion microsites would be small and stress-tolerant clades would be far less </w:t>
      </w:r>
      <w:r>
        <w:rPr>
          <w:rFonts w:ascii="Times New Roman" w:hAnsi="Times New Roman" w:cs="Times New Roman"/>
          <w:sz w:val="24"/>
          <w:szCs w:val="24"/>
        </w:rPr>
        <w:lastRenderedPageBreak/>
        <w:t>abundant at the whole community level.</w:t>
      </w:r>
      <w:r w:rsidRPr="001A0A3C">
        <w:rPr>
          <w:rFonts w:ascii="Times New Roman" w:hAnsi="Times New Roman" w:cs="Times New Roman"/>
          <w:sz w:val="24"/>
          <w:szCs w:val="24"/>
        </w:rPr>
        <w:t xml:space="preserve"> </w:t>
      </w:r>
      <w:r>
        <w:rPr>
          <w:rFonts w:ascii="Times New Roman" w:hAnsi="Times New Roman" w:cs="Times New Roman"/>
          <w:sz w:val="24"/>
          <w:szCs w:val="24"/>
        </w:rPr>
        <w:t xml:space="preserve">Other tradeoffs could be driving this pattern, but further research of functional traits (e.g. </w:t>
      </w:r>
      <w:proofErr w:type="spellStart"/>
      <w:r>
        <w:rPr>
          <w:rFonts w:ascii="Times New Roman" w:hAnsi="Times New Roman" w:cs="Times New Roman"/>
          <w:sz w:val="24"/>
          <w:szCs w:val="24"/>
        </w:rPr>
        <w:t>Schöb</w:t>
      </w:r>
      <w:proofErr w:type="spellEnd"/>
      <w:r>
        <w:rPr>
          <w:rFonts w:ascii="Times New Roman" w:hAnsi="Times New Roman" w:cs="Times New Roman"/>
          <w:sz w:val="24"/>
          <w:szCs w:val="24"/>
        </w:rPr>
        <w:t xml:space="preserve"> </w:t>
      </w:r>
      <w:r w:rsidRPr="001A0A3C">
        <w:rPr>
          <w:rFonts w:ascii="Times New Roman" w:hAnsi="Times New Roman" w:cs="Times New Roman"/>
          <w:i/>
          <w:sz w:val="24"/>
          <w:szCs w:val="24"/>
        </w:rPr>
        <w:t>et al. In press</w:t>
      </w:r>
      <w:r>
        <w:rPr>
          <w:rFonts w:ascii="Times New Roman" w:hAnsi="Times New Roman" w:cs="Times New Roman"/>
          <w:sz w:val="24"/>
          <w:szCs w:val="24"/>
        </w:rPr>
        <w:t>) would be</w:t>
      </w:r>
      <w:r>
        <w:rPr>
          <w:rFonts w:ascii="Times New Roman" w:hAnsi="Times New Roman" w:cs="Times New Roman"/>
          <w:sz w:val="24"/>
          <w:szCs w:val="24"/>
        </w:rPr>
        <w:t xml:space="preserve"> necessary to identify the exact nature of this tradeoff, or whether multiple tradeoffs influence niche differentiation in different communities.  Instead, our results identify a general pattern in enhanced </w:t>
      </w:r>
      <w:r>
        <w:rPr>
          <w:rFonts w:ascii="Times New Roman" w:hAnsi="Times New Roman" w:cs="Times New Roman"/>
          <w:sz w:val="24"/>
          <w:szCs w:val="24"/>
        </w:rPr>
        <w:t>differentiation among clades (and likely functional strategies)</w:t>
      </w:r>
      <w:r>
        <w:rPr>
          <w:rFonts w:ascii="Times New Roman" w:hAnsi="Times New Roman" w:cs="Times New Roman"/>
          <w:sz w:val="24"/>
          <w:szCs w:val="24"/>
        </w:rPr>
        <w:t xml:space="preserve"> by foundation species in severe environments that may summarize an array of </w:t>
      </w:r>
      <w:r>
        <w:rPr>
          <w:rFonts w:ascii="Times New Roman" w:hAnsi="Times New Roman" w:cs="Times New Roman"/>
          <w:sz w:val="24"/>
          <w:szCs w:val="24"/>
        </w:rPr>
        <w:t>tradeoffs</w:t>
      </w:r>
      <w:r>
        <w:rPr>
          <w:rFonts w:ascii="Times New Roman" w:hAnsi="Times New Roman" w:cs="Times New Roman"/>
          <w:sz w:val="24"/>
          <w:szCs w:val="24"/>
        </w:rPr>
        <w:t xml:space="preserve"> that might otherwise appear disconnected.</w:t>
      </w:r>
    </w:p>
    <w:p w:rsidR="001A0A3C" w:rsidRDefault="001A0A3C" w:rsidP="00A9605D">
      <w:pPr>
        <w:spacing w:line="480" w:lineRule="auto"/>
        <w:rPr>
          <w:rFonts w:ascii="Times New Roman" w:hAnsi="Times New Roman" w:cs="Times New Roman"/>
          <w:sz w:val="24"/>
          <w:szCs w:val="24"/>
        </w:rPr>
      </w:pPr>
      <w:r>
        <w:rPr>
          <w:rFonts w:ascii="Times New Roman" w:hAnsi="Times New Roman" w:cs="Times New Roman"/>
          <w:sz w:val="24"/>
          <w:szCs w:val="24"/>
        </w:rPr>
        <w:tab/>
        <w:t>Rejection of the Convergence Hypothesis in favor of the Divergence Hypothesis provides some insight into the role of biogeographic and evolutionary history in shaping alpine plant communities.</w:t>
      </w:r>
      <w:r w:rsidR="006D5393">
        <w:rPr>
          <w:rFonts w:ascii="Times New Roman" w:hAnsi="Times New Roman" w:cs="Times New Roman"/>
          <w:sz w:val="24"/>
          <w:szCs w:val="24"/>
        </w:rPr>
        <w:t xml:space="preserve">  Even communities in the most stressful environments contained species that were spread relatively evenly across the angiosperm phylogeny, rather than from only one or a few closely related clades.  Many mountain systems contain highly diverse habitat types connected by dispersal to one another and to lower-elevation, diverse ecosystems.  In fact, most of our study communities contained species from the same sets of families and many from the same genera, despite containing different species and being on different continents.  Beyond these strictly geographical explanations</w:t>
      </w:r>
      <w:r w:rsidR="007202A9">
        <w:rPr>
          <w:rFonts w:ascii="Times New Roman" w:hAnsi="Times New Roman" w:cs="Times New Roman"/>
          <w:sz w:val="24"/>
          <w:szCs w:val="24"/>
        </w:rPr>
        <w:t>, frequent evolution of stress tolerance may also contribute to the relatively consistent phylogenetic diversity across sites</w:t>
      </w:r>
      <w:r w:rsidR="006D5393">
        <w:rPr>
          <w:rFonts w:ascii="Times New Roman" w:hAnsi="Times New Roman" w:cs="Times New Roman"/>
          <w:sz w:val="24"/>
          <w:szCs w:val="24"/>
        </w:rPr>
        <w:t xml:space="preserve">.  The independent evolution of the cushion growth form 50 times in angiosperm evolutionary history is an </w:t>
      </w:r>
      <w:r w:rsidR="007202A9">
        <w:rPr>
          <w:rFonts w:ascii="Times New Roman" w:hAnsi="Times New Roman" w:cs="Times New Roman"/>
          <w:sz w:val="24"/>
          <w:szCs w:val="24"/>
        </w:rPr>
        <w:t>interesting</w:t>
      </w:r>
      <w:r w:rsidR="006D5393">
        <w:rPr>
          <w:rFonts w:ascii="Times New Roman" w:hAnsi="Times New Roman" w:cs="Times New Roman"/>
          <w:sz w:val="24"/>
          <w:szCs w:val="24"/>
        </w:rPr>
        <w:t xml:space="preserve"> example, but so too is the convergence in microsite preference at the tips of the phylogeny observed in our study.  While traits related to stress-tolerance (or avoidance) were conserved at deep nodes, most families and genera in our study had at least one species that performed better in the open than in cushions, indicating that adaptations to severe environments can evolve frequently.  This convergence contributed in part to the low frequency of significantly clustered or over-dispersed communities in our </w:t>
      </w:r>
      <w:proofErr w:type="gramStart"/>
      <w:r w:rsidR="006D5393">
        <w:rPr>
          <w:rFonts w:ascii="Times New Roman" w:hAnsi="Times New Roman" w:cs="Times New Roman"/>
          <w:sz w:val="24"/>
          <w:szCs w:val="24"/>
        </w:rPr>
        <w:t>study,</w:t>
      </w:r>
      <w:proofErr w:type="gramEnd"/>
      <w:r w:rsidR="006D5393">
        <w:rPr>
          <w:rFonts w:ascii="Times New Roman" w:hAnsi="Times New Roman" w:cs="Times New Roman"/>
          <w:sz w:val="24"/>
          <w:szCs w:val="24"/>
        </w:rPr>
        <w:t xml:space="preserve"> however the conservatism of microsite preferences at deeper nodes </w:t>
      </w:r>
      <w:r w:rsidR="006D5393">
        <w:rPr>
          <w:rFonts w:ascii="Times New Roman" w:hAnsi="Times New Roman" w:cs="Times New Roman"/>
          <w:sz w:val="24"/>
          <w:szCs w:val="24"/>
        </w:rPr>
        <w:lastRenderedPageBreak/>
        <w:t>indicates that cushion plants sustain deep evolutionary history through their facilitative effects, particularly in severe environments.</w:t>
      </w:r>
    </w:p>
    <w:p w:rsidR="001B17D3" w:rsidRDefault="00581831" w:rsidP="00A9605D">
      <w:pPr>
        <w:spacing w:line="480" w:lineRule="auto"/>
        <w:rPr>
          <w:rFonts w:ascii="Times New Roman" w:hAnsi="Times New Roman" w:cs="Times New Roman"/>
          <w:sz w:val="24"/>
          <w:szCs w:val="24"/>
        </w:rPr>
      </w:pPr>
      <w:r>
        <w:rPr>
          <w:rFonts w:ascii="Times New Roman" w:hAnsi="Times New Roman" w:cs="Times New Roman"/>
          <w:sz w:val="24"/>
          <w:szCs w:val="24"/>
        </w:rPr>
        <w:tab/>
      </w:r>
      <w:r w:rsidR="002856C7">
        <w:rPr>
          <w:rFonts w:ascii="Times New Roman" w:hAnsi="Times New Roman" w:cs="Times New Roman"/>
          <w:sz w:val="24"/>
          <w:szCs w:val="24"/>
        </w:rPr>
        <w:t>The neutralizing effect of cushion plants on the decline in phylogenetic diversity in more severe environments fits in with a growing number of studies that have demonstrated</w:t>
      </w:r>
      <w:r w:rsidR="001B17D3">
        <w:rPr>
          <w:rFonts w:ascii="Times New Roman" w:hAnsi="Times New Roman" w:cs="Times New Roman"/>
          <w:sz w:val="24"/>
          <w:szCs w:val="24"/>
        </w:rPr>
        <w:t xml:space="preserve"> counteracting assembly processes </w:t>
      </w:r>
      <w:r w:rsidR="002856C7">
        <w:rPr>
          <w:rFonts w:ascii="Times New Roman" w:hAnsi="Times New Roman" w:cs="Times New Roman"/>
          <w:sz w:val="24"/>
          <w:szCs w:val="24"/>
        </w:rPr>
        <w:t>underlying</w:t>
      </w:r>
      <w:r w:rsidR="001B17D3">
        <w:rPr>
          <w:rFonts w:ascii="Times New Roman" w:hAnsi="Times New Roman" w:cs="Times New Roman"/>
          <w:sz w:val="24"/>
          <w:szCs w:val="24"/>
        </w:rPr>
        <w:t xml:space="preserve"> neutral</w:t>
      </w:r>
      <w:r w:rsidR="002856C7">
        <w:rPr>
          <w:rFonts w:ascii="Times New Roman" w:hAnsi="Times New Roman" w:cs="Times New Roman"/>
          <w:sz w:val="24"/>
          <w:szCs w:val="24"/>
        </w:rPr>
        <w:t xml:space="preserve"> phylogenetic patterns</w:t>
      </w:r>
      <w:r w:rsidR="001B17D3">
        <w:rPr>
          <w:rFonts w:ascii="Times New Roman" w:hAnsi="Times New Roman" w:cs="Times New Roman"/>
          <w:sz w:val="24"/>
          <w:szCs w:val="24"/>
        </w:rPr>
        <w:t xml:space="preserve">.  </w:t>
      </w:r>
      <w:r w:rsidR="002856C7">
        <w:rPr>
          <w:rFonts w:ascii="Times New Roman" w:hAnsi="Times New Roman" w:cs="Times New Roman"/>
          <w:sz w:val="24"/>
          <w:szCs w:val="24"/>
        </w:rPr>
        <w:t>For example,</w:t>
      </w:r>
      <w:r w:rsidR="001B17D3">
        <w:rPr>
          <w:rFonts w:ascii="Times New Roman" w:hAnsi="Times New Roman" w:cs="Times New Roman"/>
          <w:sz w:val="24"/>
          <w:szCs w:val="24"/>
        </w:rPr>
        <w:t xml:space="preserve"> </w:t>
      </w:r>
      <w:r w:rsidR="002856C7">
        <w:rPr>
          <w:rFonts w:ascii="Times New Roman" w:hAnsi="Times New Roman" w:cs="Times New Roman"/>
          <w:sz w:val="24"/>
          <w:szCs w:val="24"/>
        </w:rPr>
        <w:t xml:space="preserve">simultaneous effects of </w:t>
      </w:r>
      <w:r w:rsidR="001B17D3">
        <w:rPr>
          <w:rFonts w:ascii="Times New Roman" w:hAnsi="Times New Roman" w:cs="Times New Roman"/>
          <w:sz w:val="24"/>
          <w:szCs w:val="24"/>
        </w:rPr>
        <w:t xml:space="preserve">environmental filtering and competitive exclusion </w:t>
      </w:r>
      <w:r w:rsidR="001B17D3">
        <w:rPr>
          <w:rFonts w:ascii="Times New Roman" w:hAnsi="Times New Roman" w:cs="Times New Roman"/>
          <w:sz w:val="24"/>
          <w:szCs w:val="24"/>
        </w:rPr>
        <w:fldChar w:fldCharType="begin"/>
      </w:r>
      <w:r w:rsidR="001B17D3">
        <w:rPr>
          <w:rFonts w:ascii="Times New Roman" w:hAnsi="Times New Roman" w:cs="Times New Roman"/>
          <w:sz w:val="24"/>
          <w:szCs w:val="24"/>
        </w:rPr>
        <w:instrText>ADDIN RW.CITE{{677 Helmus,M.R. 2007; 1051 Algar,Adam C. 2011}}</w:instrText>
      </w:r>
      <w:r w:rsidR="001B17D3">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Algar</w:t>
      </w:r>
      <w:proofErr w:type="spellEnd"/>
      <w:r w:rsidR="002A40DD">
        <w:rPr>
          <w:rFonts w:ascii="Calibri" w:eastAsia="Times New Roman" w:hAnsi="Calibri" w:cs="Calibri"/>
          <w:i/>
          <w:iCs/>
        </w:rPr>
        <w:t xml:space="preserve"> et al</w:t>
      </w:r>
      <w:r w:rsidR="002A40DD">
        <w:rPr>
          <w:rFonts w:ascii="Calibri" w:eastAsia="Times New Roman" w:hAnsi="Calibri" w:cs="Calibri"/>
        </w:rPr>
        <w:t xml:space="preserve">, 2011; </w:t>
      </w:r>
      <w:proofErr w:type="spellStart"/>
      <w:r w:rsidR="002A40DD">
        <w:rPr>
          <w:rFonts w:ascii="Calibri" w:eastAsia="Times New Roman" w:hAnsi="Calibri" w:cs="Calibri"/>
        </w:rPr>
        <w:t>Helmus</w:t>
      </w:r>
      <w:proofErr w:type="spellEnd"/>
      <w:r w:rsidR="002A40DD">
        <w:rPr>
          <w:rFonts w:ascii="Calibri" w:eastAsia="Times New Roman" w:hAnsi="Calibri" w:cs="Calibri"/>
          <w:i/>
          <w:iCs/>
        </w:rPr>
        <w:t xml:space="preserve"> et al</w:t>
      </w:r>
      <w:r w:rsidR="002A40DD">
        <w:rPr>
          <w:rFonts w:ascii="Calibri" w:eastAsia="Times New Roman" w:hAnsi="Calibri" w:cs="Calibri"/>
        </w:rPr>
        <w:t>, 2007)</w:t>
      </w:r>
      <w:r w:rsidR="001B17D3">
        <w:rPr>
          <w:rFonts w:ascii="Times New Roman" w:hAnsi="Times New Roman" w:cs="Times New Roman"/>
          <w:sz w:val="24"/>
          <w:szCs w:val="24"/>
        </w:rPr>
        <w:fldChar w:fldCharType="end"/>
      </w:r>
      <w:r w:rsidR="001B17D3">
        <w:rPr>
          <w:rFonts w:ascii="Times New Roman" w:hAnsi="Times New Roman" w:cs="Times New Roman"/>
          <w:sz w:val="24"/>
          <w:szCs w:val="24"/>
        </w:rPr>
        <w:t>, or counteracting tradeoffs along multiple environmental gradients</w:t>
      </w:r>
      <w:r w:rsidR="002856C7">
        <w:rPr>
          <w:rFonts w:ascii="Times New Roman" w:hAnsi="Times New Roman" w:cs="Times New Roman"/>
          <w:sz w:val="24"/>
          <w:szCs w:val="24"/>
        </w:rPr>
        <w:t xml:space="preserve"> </w:t>
      </w:r>
      <w:r w:rsidR="002856C7">
        <w:rPr>
          <w:rFonts w:ascii="Times New Roman" w:hAnsi="Times New Roman" w:cs="Times New Roman"/>
          <w:sz w:val="24"/>
          <w:szCs w:val="24"/>
        </w:rPr>
        <w:fldChar w:fldCharType="begin"/>
      </w:r>
      <w:r w:rsidR="002856C7">
        <w:rPr>
          <w:rFonts w:ascii="Times New Roman" w:hAnsi="Times New Roman" w:cs="Times New Roman"/>
          <w:sz w:val="24"/>
          <w:szCs w:val="24"/>
        </w:rPr>
        <w:instrText>ADDIN RW.CITE{{833 Anderson,T.M. 2011}}</w:instrText>
      </w:r>
      <w:r w:rsidR="002856C7">
        <w:rPr>
          <w:rFonts w:ascii="Times New Roman" w:hAnsi="Times New Roman" w:cs="Times New Roman"/>
          <w:sz w:val="24"/>
          <w:szCs w:val="24"/>
        </w:rPr>
        <w:fldChar w:fldCharType="separate"/>
      </w:r>
      <w:r w:rsidR="002A40DD">
        <w:rPr>
          <w:rFonts w:ascii="Calibri" w:eastAsia="Times New Roman" w:hAnsi="Calibri" w:cs="Calibri"/>
        </w:rPr>
        <w:t>(Anderson</w:t>
      </w:r>
      <w:r w:rsidR="002A40DD">
        <w:rPr>
          <w:rFonts w:ascii="Calibri" w:eastAsia="Times New Roman" w:hAnsi="Calibri" w:cs="Calibri"/>
          <w:i/>
          <w:iCs/>
        </w:rPr>
        <w:t xml:space="preserve"> et al</w:t>
      </w:r>
      <w:r w:rsidR="002A40DD">
        <w:rPr>
          <w:rFonts w:ascii="Calibri" w:eastAsia="Times New Roman" w:hAnsi="Calibri" w:cs="Calibri"/>
        </w:rPr>
        <w:t>, 2011)</w:t>
      </w:r>
      <w:r w:rsidR="002856C7">
        <w:rPr>
          <w:rFonts w:ascii="Times New Roman" w:hAnsi="Times New Roman" w:cs="Times New Roman"/>
          <w:sz w:val="24"/>
          <w:szCs w:val="24"/>
        </w:rPr>
        <w:fldChar w:fldCharType="end"/>
      </w:r>
      <w:r w:rsidR="001B17D3">
        <w:rPr>
          <w:rFonts w:ascii="Times New Roman" w:hAnsi="Times New Roman" w:cs="Times New Roman"/>
          <w:sz w:val="24"/>
          <w:szCs w:val="24"/>
        </w:rPr>
        <w:t xml:space="preserve"> can obscure community assembly patterns when observed at broad scales.  </w:t>
      </w:r>
      <w:r w:rsidR="006D5393">
        <w:rPr>
          <w:rFonts w:ascii="Times New Roman" w:hAnsi="Times New Roman" w:cs="Times New Roman"/>
          <w:sz w:val="24"/>
          <w:szCs w:val="24"/>
        </w:rPr>
        <w:t>Not detecting such patterns</w:t>
      </w:r>
      <w:r w:rsidR="001B17D3">
        <w:rPr>
          <w:rFonts w:ascii="Times New Roman" w:hAnsi="Times New Roman" w:cs="Times New Roman"/>
          <w:sz w:val="24"/>
          <w:szCs w:val="24"/>
        </w:rPr>
        <w:t xml:space="preserve"> may </w:t>
      </w:r>
      <w:r w:rsidR="006D5393">
        <w:rPr>
          <w:rFonts w:ascii="Times New Roman" w:hAnsi="Times New Roman" w:cs="Times New Roman"/>
          <w:sz w:val="24"/>
          <w:szCs w:val="24"/>
        </w:rPr>
        <w:t>contribute to the conclusion</w:t>
      </w:r>
      <w:r w:rsidR="001B17D3">
        <w:rPr>
          <w:rFonts w:ascii="Times New Roman" w:hAnsi="Times New Roman" w:cs="Times New Roman"/>
          <w:sz w:val="24"/>
          <w:szCs w:val="24"/>
        </w:rPr>
        <w:t xml:space="preserve"> that random assembly </w:t>
      </w:r>
      <w:r w:rsidR="006D5393">
        <w:rPr>
          <w:rFonts w:ascii="Times New Roman" w:hAnsi="Times New Roman" w:cs="Times New Roman"/>
          <w:sz w:val="24"/>
          <w:szCs w:val="24"/>
        </w:rPr>
        <w:t>is</w:t>
      </w:r>
      <w:r w:rsidR="001B17D3">
        <w:rPr>
          <w:rFonts w:ascii="Times New Roman" w:hAnsi="Times New Roman" w:cs="Times New Roman"/>
          <w:sz w:val="24"/>
          <w:szCs w:val="24"/>
        </w:rPr>
        <w:t xml:space="preserve"> the predominant pattern</w:t>
      </w:r>
      <w:r w:rsidR="002856C7">
        <w:rPr>
          <w:rFonts w:ascii="Times New Roman" w:hAnsi="Times New Roman" w:cs="Times New Roman"/>
          <w:sz w:val="24"/>
          <w:szCs w:val="24"/>
        </w:rPr>
        <w:t xml:space="preserve"> in most ecological communities</w:t>
      </w:r>
      <w:r w:rsidR="001B17D3">
        <w:rPr>
          <w:rFonts w:ascii="Times New Roman" w:hAnsi="Times New Roman" w:cs="Times New Roman"/>
          <w:sz w:val="24"/>
          <w:szCs w:val="24"/>
        </w:rPr>
        <w:t xml:space="preserve"> </w:t>
      </w:r>
      <w:r w:rsidR="001B17D3">
        <w:rPr>
          <w:rFonts w:ascii="Times New Roman" w:hAnsi="Times New Roman" w:cs="Times New Roman"/>
          <w:sz w:val="24"/>
          <w:szCs w:val="24"/>
        </w:rPr>
        <w:fldChar w:fldCharType="begin"/>
      </w:r>
      <w:r w:rsidR="001B17D3">
        <w:rPr>
          <w:rFonts w:ascii="Times New Roman" w:hAnsi="Times New Roman" w:cs="Times New Roman"/>
          <w:sz w:val="24"/>
          <w:szCs w:val="24"/>
        </w:rPr>
        <w:instrText>ADDIN RW.CITE{{966 Gotzenberger,Lars 2012}}</w:instrText>
      </w:r>
      <w:r w:rsidR="001B17D3">
        <w:rPr>
          <w:rFonts w:ascii="Times New Roman" w:hAnsi="Times New Roman" w:cs="Times New Roman"/>
          <w:sz w:val="24"/>
          <w:szCs w:val="24"/>
        </w:rPr>
        <w:fldChar w:fldCharType="separate"/>
      </w:r>
      <w:r w:rsidR="002A40DD">
        <w:rPr>
          <w:rFonts w:ascii="Calibri" w:eastAsia="Times New Roman" w:hAnsi="Calibri" w:cs="Calibri"/>
        </w:rPr>
        <w:t>(</w:t>
      </w:r>
      <w:proofErr w:type="spellStart"/>
      <w:r w:rsidR="002A40DD">
        <w:rPr>
          <w:rFonts w:ascii="Calibri" w:eastAsia="Times New Roman" w:hAnsi="Calibri" w:cs="Calibri"/>
        </w:rPr>
        <w:t>Gotzenberger</w:t>
      </w:r>
      <w:proofErr w:type="spellEnd"/>
      <w:r w:rsidR="002A40DD">
        <w:rPr>
          <w:rFonts w:ascii="Calibri" w:eastAsia="Times New Roman" w:hAnsi="Calibri" w:cs="Calibri"/>
          <w:i/>
          <w:iCs/>
        </w:rPr>
        <w:t xml:space="preserve"> et al</w:t>
      </w:r>
      <w:r w:rsidR="002A40DD">
        <w:rPr>
          <w:rFonts w:ascii="Calibri" w:eastAsia="Times New Roman" w:hAnsi="Calibri" w:cs="Calibri"/>
        </w:rPr>
        <w:t>, 2012)</w:t>
      </w:r>
      <w:r w:rsidR="001B17D3">
        <w:rPr>
          <w:rFonts w:ascii="Times New Roman" w:hAnsi="Times New Roman" w:cs="Times New Roman"/>
          <w:sz w:val="24"/>
          <w:szCs w:val="24"/>
        </w:rPr>
        <w:fldChar w:fldCharType="end"/>
      </w:r>
      <w:r w:rsidR="001B17D3">
        <w:rPr>
          <w:rFonts w:ascii="Times New Roman" w:hAnsi="Times New Roman" w:cs="Times New Roman"/>
          <w:sz w:val="24"/>
          <w:szCs w:val="24"/>
        </w:rPr>
        <w:t xml:space="preserve">.  The effects of foundation </w:t>
      </w:r>
      <w:proofErr w:type="gramStart"/>
      <w:r w:rsidR="001B17D3">
        <w:rPr>
          <w:rFonts w:ascii="Times New Roman" w:hAnsi="Times New Roman" w:cs="Times New Roman"/>
          <w:sz w:val="24"/>
          <w:szCs w:val="24"/>
        </w:rPr>
        <w:t>species,</w:t>
      </w:r>
      <w:proofErr w:type="gramEnd"/>
      <w:r w:rsidR="001B17D3">
        <w:rPr>
          <w:rFonts w:ascii="Times New Roman" w:hAnsi="Times New Roman" w:cs="Times New Roman"/>
          <w:sz w:val="24"/>
          <w:szCs w:val="24"/>
        </w:rPr>
        <w:t xml:space="preserve"> and microhabitat variation in general, may often counteract trends in community assembly driven by broader enviro</w:t>
      </w:r>
      <w:r w:rsidR="006D5393">
        <w:rPr>
          <w:rFonts w:ascii="Times New Roman" w:hAnsi="Times New Roman" w:cs="Times New Roman"/>
          <w:sz w:val="24"/>
          <w:szCs w:val="24"/>
        </w:rPr>
        <w:t>nmental factors.  In this sense</w:t>
      </w:r>
      <w:r w:rsidR="001B17D3">
        <w:rPr>
          <w:rFonts w:ascii="Times New Roman" w:hAnsi="Times New Roman" w:cs="Times New Roman"/>
          <w:sz w:val="24"/>
          <w:szCs w:val="24"/>
        </w:rPr>
        <w:t xml:space="preserve"> foundation species may be viewed as micro-</w:t>
      </w:r>
      <w:proofErr w:type="spellStart"/>
      <w:r w:rsidR="001B17D3">
        <w:rPr>
          <w:rFonts w:ascii="Times New Roman" w:hAnsi="Times New Roman" w:cs="Times New Roman"/>
          <w:sz w:val="24"/>
          <w:szCs w:val="24"/>
        </w:rPr>
        <w:t>refugia</w:t>
      </w:r>
      <w:proofErr w:type="spellEnd"/>
      <w:r w:rsidR="001B17D3">
        <w:rPr>
          <w:rFonts w:ascii="Times New Roman" w:hAnsi="Times New Roman" w:cs="Times New Roman"/>
          <w:sz w:val="24"/>
          <w:szCs w:val="24"/>
        </w:rPr>
        <w:t xml:space="preserve">, providing unique and stable microenvironments that support locally unique sets of species </w:t>
      </w:r>
      <w:r w:rsidR="001B17D3">
        <w:rPr>
          <w:rFonts w:ascii="Times New Roman" w:hAnsi="Times New Roman" w:cs="Times New Roman"/>
          <w:sz w:val="24"/>
          <w:szCs w:val="24"/>
        </w:rPr>
        <w:fldChar w:fldCharType="begin"/>
      </w:r>
      <w:r w:rsidR="001B17D3">
        <w:rPr>
          <w:rFonts w:ascii="Times New Roman" w:hAnsi="Times New Roman" w:cs="Times New Roman"/>
          <w:sz w:val="24"/>
          <w:szCs w:val="24"/>
        </w:rPr>
        <w:instrText>ADDIN RW.CITE{{1042 Keppel,Gunnar 2012}}</w:instrText>
      </w:r>
      <w:r w:rsidR="001B17D3">
        <w:rPr>
          <w:rFonts w:ascii="Times New Roman" w:hAnsi="Times New Roman" w:cs="Times New Roman"/>
          <w:sz w:val="24"/>
          <w:szCs w:val="24"/>
        </w:rPr>
        <w:fldChar w:fldCharType="separate"/>
      </w:r>
      <w:r w:rsidR="002A40DD">
        <w:rPr>
          <w:rFonts w:ascii="Calibri" w:eastAsia="Times New Roman" w:hAnsi="Calibri" w:cs="Calibri"/>
        </w:rPr>
        <w:t>(Keppel</w:t>
      </w:r>
      <w:r w:rsidR="002A40DD">
        <w:rPr>
          <w:rFonts w:ascii="Calibri" w:eastAsia="Times New Roman" w:hAnsi="Calibri" w:cs="Calibri"/>
          <w:i/>
          <w:iCs/>
        </w:rPr>
        <w:t xml:space="preserve"> et al</w:t>
      </w:r>
      <w:r w:rsidR="002A40DD">
        <w:rPr>
          <w:rFonts w:ascii="Calibri" w:eastAsia="Times New Roman" w:hAnsi="Calibri" w:cs="Calibri"/>
        </w:rPr>
        <w:t>, 2012)</w:t>
      </w:r>
      <w:r w:rsidR="001B17D3">
        <w:rPr>
          <w:rFonts w:ascii="Times New Roman" w:hAnsi="Times New Roman" w:cs="Times New Roman"/>
          <w:sz w:val="24"/>
          <w:szCs w:val="24"/>
        </w:rPr>
        <w:fldChar w:fldCharType="end"/>
      </w:r>
      <w:r w:rsidR="001B17D3">
        <w:rPr>
          <w:rFonts w:ascii="Times New Roman" w:hAnsi="Times New Roman" w:cs="Times New Roman"/>
          <w:sz w:val="24"/>
          <w:szCs w:val="24"/>
        </w:rPr>
        <w:t xml:space="preserve">.  In the same communities as the present study, </w:t>
      </w:r>
      <w:proofErr w:type="spellStart"/>
      <w:r w:rsidR="001B17D3">
        <w:rPr>
          <w:rFonts w:ascii="Times New Roman" w:hAnsi="Times New Roman" w:cs="Times New Roman"/>
          <w:sz w:val="24"/>
          <w:szCs w:val="24"/>
        </w:rPr>
        <w:t>Cavieres</w:t>
      </w:r>
      <w:proofErr w:type="spellEnd"/>
      <w:r w:rsidR="001B17D3">
        <w:rPr>
          <w:rFonts w:ascii="Times New Roman" w:hAnsi="Times New Roman" w:cs="Times New Roman"/>
          <w:sz w:val="24"/>
          <w:szCs w:val="24"/>
        </w:rPr>
        <w:t xml:space="preserve"> </w:t>
      </w:r>
      <w:r w:rsidR="001B17D3" w:rsidRPr="002856C7">
        <w:rPr>
          <w:rFonts w:ascii="Times New Roman" w:hAnsi="Times New Roman" w:cs="Times New Roman"/>
          <w:i/>
          <w:sz w:val="24"/>
          <w:szCs w:val="24"/>
        </w:rPr>
        <w:t>et al.</w:t>
      </w:r>
      <w:r w:rsidR="001B17D3">
        <w:rPr>
          <w:rFonts w:ascii="Times New Roman" w:hAnsi="Times New Roman" w:cs="Times New Roman"/>
          <w:sz w:val="24"/>
          <w:szCs w:val="24"/>
        </w:rPr>
        <w:t xml:space="preserve"> </w:t>
      </w:r>
      <w:r w:rsidR="002856C7">
        <w:rPr>
          <w:rFonts w:ascii="Times New Roman" w:hAnsi="Times New Roman" w:cs="Times New Roman"/>
          <w:sz w:val="24"/>
          <w:szCs w:val="24"/>
        </w:rPr>
        <w:t>(</w:t>
      </w:r>
      <w:r w:rsidR="002856C7" w:rsidRPr="002856C7">
        <w:rPr>
          <w:rFonts w:ascii="Times New Roman" w:hAnsi="Times New Roman" w:cs="Times New Roman"/>
          <w:i/>
          <w:sz w:val="24"/>
          <w:szCs w:val="24"/>
        </w:rPr>
        <w:t>In Review</w:t>
      </w:r>
      <w:r w:rsidR="002856C7">
        <w:rPr>
          <w:rFonts w:ascii="Times New Roman" w:hAnsi="Times New Roman" w:cs="Times New Roman"/>
          <w:sz w:val="24"/>
          <w:szCs w:val="24"/>
        </w:rPr>
        <w:t xml:space="preserve">) </w:t>
      </w:r>
      <w:r w:rsidR="001B17D3">
        <w:rPr>
          <w:rFonts w:ascii="Times New Roman" w:hAnsi="Times New Roman" w:cs="Times New Roman"/>
          <w:sz w:val="24"/>
          <w:szCs w:val="24"/>
        </w:rPr>
        <w:t xml:space="preserve">found that cushion plants buffered declines in species richness with increasing environmental severity, although the net effect was still a decline.  In contrast, phylogenetic diversity at the whole community level remained constant, indicating that while the regional species pool may be </w:t>
      </w:r>
      <w:r w:rsidR="006D5393">
        <w:rPr>
          <w:rFonts w:ascii="Times New Roman" w:hAnsi="Times New Roman" w:cs="Times New Roman"/>
          <w:sz w:val="24"/>
          <w:szCs w:val="24"/>
        </w:rPr>
        <w:t xml:space="preserve">taxonomically </w:t>
      </w:r>
      <w:r w:rsidR="001B17D3">
        <w:rPr>
          <w:rFonts w:ascii="Times New Roman" w:hAnsi="Times New Roman" w:cs="Times New Roman"/>
          <w:sz w:val="24"/>
          <w:szCs w:val="24"/>
        </w:rPr>
        <w:t xml:space="preserve">limited in severe environments (i.e. the Convergence Hypothesis), </w:t>
      </w:r>
      <w:proofErr w:type="gramStart"/>
      <w:r w:rsidR="001B17D3">
        <w:rPr>
          <w:rFonts w:ascii="Times New Roman" w:hAnsi="Times New Roman" w:cs="Times New Roman"/>
          <w:sz w:val="24"/>
          <w:szCs w:val="24"/>
        </w:rPr>
        <w:t>t</w:t>
      </w:r>
      <w:r w:rsidR="006D5393">
        <w:rPr>
          <w:rFonts w:ascii="Times New Roman" w:hAnsi="Times New Roman" w:cs="Times New Roman"/>
          <w:sz w:val="24"/>
          <w:szCs w:val="24"/>
        </w:rPr>
        <w:t>he</w:t>
      </w:r>
      <w:proofErr w:type="gramEnd"/>
      <w:r w:rsidR="001B17D3">
        <w:rPr>
          <w:rFonts w:ascii="Times New Roman" w:hAnsi="Times New Roman" w:cs="Times New Roman"/>
          <w:sz w:val="24"/>
          <w:szCs w:val="24"/>
        </w:rPr>
        <w:t xml:space="preserve"> species</w:t>
      </w:r>
      <w:r w:rsidR="006D5393">
        <w:rPr>
          <w:rFonts w:ascii="Times New Roman" w:hAnsi="Times New Roman" w:cs="Times New Roman"/>
          <w:sz w:val="24"/>
          <w:szCs w:val="24"/>
        </w:rPr>
        <w:t xml:space="preserve"> that are present</w:t>
      </w:r>
      <w:r w:rsidR="001B17D3">
        <w:rPr>
          <w:rFonts w:ascii="Times New Roman" w:hAnsi="Times New Roman" w:cs="Times New Roman"/>
          <w:sz w:val="24"/>
          <w:szCs w:val="24"/>
        </w:rPr>
        <w:t xml:space="preserve"> still come from a diverse set of clades.  A </w:t>
      </w:r>
      <w:r w:rsidR="00C4590D">
        <w:rPr>
          <w:rFonts w:ascii="Times New Roman" w:hAnsi="Times New Roman" w:cs="Times New Roman"/>
          <w:sz w:val="24"/>
          <w:szCs w:val="24"/>
        </w:rPr>
        <w:t>good</w:t>
      </w:r>
      <w:r w:rsidR="001B17D3">
        <w:rPr>
          <w:rFonts w:ascii="Times New Roman" w:hAnsi="Times New Roman" w:cs="Times New Roman"/>
          <w:sz w:val="24"/>
          <w:szCs w:val="24"/>
        </w:rPr>
        <w:t xml:space="preserve"> deal of emphasis has been placed on the importance of conserving phylogenetic diversity</w:t>
      </w:r>
      <w:r w:rsidR="00C4590D">
        <w:rPr>
          <w:rFonts w:ascii="Times New Roman" w:hAnsi="Times New Roman" w:cs="Times New Roman"/>
          <w:sz w:val="24"/>
          <w:szCs w:val="24"/>
        </w:rPr>
        <w:t xml:space="preserve"> </w:t>
      </w:r>
      <w:r w:rsidR="00C4590D">
        <w:rPr>
          <w:rFonts w:ascii="Times New Roman" w:hAnsi="Times New Roman" w:cs="Times New Roman"/>
          <w:sz w:val="24"/>
          <w:szCs w:val="24"/>
        </w:rPr>
        <w:fldChar w:fldCharType="begin"/>
      </w:r>
      <w:r w:rsidR="00C4590D">
        <w:rPr>
          <w:rFonts w:ascii="Times New Roman" w:hAnsi="Times New Roman" w:cs="Times New Roman"/>
          <w:sz w:val="24"/>
          <w:szCs w:val="24"/>
        </w:rPr>
        <w:instrText>ADDIN RW.CITE{{1052 Faith,D.P. 1992}}</w:instrText>
      </w:r>
      <w:r w:rsidR="00C4590D">
        <w:rPr>
          <w:rFonts w:ascii="Times New Roman" w:hAnsi="Times New Roman" w:cs="Times New Roman"/>
          <w:sz w:val="24"/>
          <w:szCs w:val="24"/>
        </w:rPr>
        <w:fldChar w:fldCharType="separate"/>
      </w:r>
      <w:r w:rsidR="002A40DD">
        <w:rPr>
          <w:rFonts w:ascii="Calibri" w:eastAsia="Times New Roman" w:hAnsi="Calibri" w:cs="Calibri"/>
        </w:rPr>
        <w:t>(Faith, 1992)</w:t>
      </w:r>
      <w:r w:rsidR="00C4590D">
        <w:rPr>
          <w:rFonts w:ascii="Times New Roman" w:hAnsi="Times New Roman" w:cs="Times New Roman"/>
          <w:sz w:val="24"/>
          <w:szCs w:val="24"/>
        </w:rPr>
        <w:fldChar w:fldCharType="end"/>
      </w:r>
      <w:r w:rsidR="001B17D3">
        <w:rPr>
          <w:rFonts w:ascii="Times New Roman" w:hAnsi="Times New Roman" w:cs="Times New Roman"/>
          <w:sz w:val="24"/>
          <w:szCs w:val="24"/>
        </w:rPr>
        <w:t>, as well as identifying micro-</w:t>
      </w:r>
      <w:proofErr w:type="spellStart"/>
      <w:r w:rsidR="001B17D3">
        <w:rPr>
          <w:rFonts w:ascii="Times New Roman" w:hAnsi="Times New Roman" w:cs="Times New Roman"/>
          <w:sz w:val="24"/>
          <w:szCs w:val="24"/>
        </w:rPr>
        <w:t>refugia</w:t>
      </w:r>
      <w:proofErr w:type="spellEnd"/>
      <w:r w:rsidR="001B17D3">
        <w:rPr>
          <w:rFonts w:ascii="Times New Roman" w:hAnsi="Times New Roman" w:cs="Times New Roman"/>
          <w:sz w:val="24"/>
          <w:szCs w:val="24"/>
        </w:rPr>
        <w:t xml:space="preserve"> for conservation purposes</w:t>
      </w:r>
      <w:r w:rsidR="00C4590D">
        <w:rPr>
          <w:rFonts w:ascii="Times New Roman" w:hAnsi="Times New Roman" w:cs="Times New Roman"/>
          <w:sz w:val="24"/>
          <w:szCs w:val="24"/>
        </w:rPr>
        <w:t xml:space="preserve"> </w:t>
      </w:r>
      <w:r w:rsidR="00C4590D">
        <w:rPr>
          <w:rFonts w:ascii="Times New Roman" w:hAnsi="Times New Roman" w:cs="Times New Roman"/>
          <w:sz w:val="24"/>
          <w:szCs w:val="24"/>
        </w:rPr>
        <w:fldChar w:fldCharType="begin"/>
      </w:r>
      <w:r w:rsidR="00C4590D">
        <w:rPr>
          <w:rFonts w:ascii="Times New Roman" w:hAnsi="Times New Roman" w:cs="Times New Roman"/>
          <w:sz w:val="24"/>
          <w:szCs w:val="24"/>
        </w:rPr>
        <w:instrText>ADDIN RW.CITE{{1044 Dobrowski,Solomon Z. 2011; 1041 Ashcroft,Michael B. 2012}}</w:instrText>
      </w:r>
      <w:r w:rsidR="00C4590D">
        <w:rPr>
          <w:rFonts w:ascii="Times New Roman" w:hAnsi="Times New Roman" w:cs="Times New Roman"/>
          <w:sz w:val="24"/>
          <w:szCs w:val="24"/>
        </w:rPr>
        <w:fldChar w:fldCharType="separate"/>
      </w:r>
      <w:r w:rsidR="002A40DD">
        <w:rPr>
          <w:rFonts w:ascii="Calibri" w:eastAsia="Times New Roman" w:hAnsi="Calibri" w:cs="Calibri"/>
        </w:rPr>
        <w:t>(Ashcroft</w:t>
      </w:r>
      <w:r w:rsidR="002A40DD">
        <w:rPr>
          <w:rFonts w:ascii="Calibri" w:eastAsia="Times New Roman" w:hAnsi="Calibri" w:cs="Calibri"/>
          <w:i/>
          <w:iCs/>
        </w:rPr>
        <w:t xml:space="preserve"> et al</w:t>
      </w:r>
      <w:r w:rsidR="002A40DD">
        <w:rPr>
          <w:rFonts w:ascii="Calibri" w:eastAsia="Times New Roman" w:hAnsi="Calibri" w:cs="Calibri"/>
        </w:rPr>
        <w:t xml:space="preserve">, 2012; </w:t>
      </w:r>
      <w:proofErr w:type="spellStart"/>
      <w:r w:rsidR="002A40DD">
        <w:rPr>
          <w:rFonts w:ascii="Calibri" w:eastAsia="Times New Roman" w:hAnsi="Calibri" w:cs="Calibri"/>
        </w:rPr>
        <w:t>Dobrowski</w:t>
      </w:r>
      <w:proofErr w:type="spellEnd"/>
      <w:r w:rsidR="002A40DD">
        <w:rPr>
          <w:rFonts w:ascii="Calibri" w:eastAsia="Times New Roman" w:hAnsi="Calibri" w:cs="Calibri"/>
        </w:rPr>
        <w:t>, 2011)</w:t>
      </w:r>
      <w:r w:rsidR="00C4590D">
        <w:rPr>
          <w:rFonts w:ascii="Times New Roman" w:hAnsi="Times New Roman" w:cs="Times New Roman"/>
          <w:sz w:val="24"/>
          <w:szCs w:val="24"/>
        </w:rPr>
        <w:fldChar w:fldCharType="end"/>
      </w:r>
      <w:r w:rsidR="001B17D3">
        <w:rPr>
          <w:rFonts w:ascii="Times New Roman" w:hAnsi="Times New Roman" w:cs="Times New Roman"/>
          <w:sz w:val="24"/>
          <w:szCs w:val="24"/>
        </w:rPr>
        <w:t>.  This study demonstrates the importance of foundation species as micro-</w:t>
      </w:r>
      <w:proofErr w:type="spellStart"/>
      <w:r w:rsidR="001B17D3">
        <w:rPr>
          <w:rFonts w:ascii="Times New Roman" w:hAnsi="Times New Roman" w:cs="Times New Roman"/>
          <w:sz w:val="24"/>
          <w:szCs w:val="24"/>
        </w:rPr>
        <w:t>refugia</w:t>
      </w:r>
      <w:proofErr w:type="spellEnd"/>
      <w:r w:rsidR="001B17D3">
        <w:rPr>
          <w:rFonts w:ascii="Times New Roman" w:hAnsi="Times New Roman" w:cs="Times New Roman"/>
          <w:sz w:val="24"/>
          <w:szCs w:val="24"/>
        </w:rPr>
        <w:t xml:space="preserve"> in maintaining </w:t>
      </w:r>
      <w:r w:rsidR="001B17D3">
        <w:rPr>
          <w:rFonts w:ascii="Times New Roman" w:hAnsi="Times New Roman" w:cs="Times New Roman"/>
          <w:sz w:val="24"/>
          <w:szCs w:val="24"/>
        </w:rPr>
        <w:lastRenderedPageBreak/>
        <w:t xml:space="preserve">phylogenetic diversity, and </w:t>
      </w:r>
      <w:r w:rsidR="00C4590D">
        <w:rPr>
          <w:rFonts w:ascii="Times New Roman" w:hAnsi="Times New Roman" w:cs="Times New Roman"/>
          <w:sz w:val="24"/>
          <w:szCs w:val="24"/>
        </w:rPr>
        <w:t>the importance of integrating such effects into</w:t>
      </w:r>
      <w:r w:rsidR="001B17D3">
        <w:rPr>
          <w:rFonts w:ascii="Times New Roman" w:hAnsi="Times New Roman" w:cs="Times New Roman"/>
          <w:sz w:val="24"/>
          <w:szCs w:val="24"/>
        </w:rPr>
        <w:t xml:space="preserve"> </w:t>
      </w:r>
      <w:r w:rsidR="002856C7">
        <w:rPr>
          <w:rFonts w:ascii="Times New Roman" w:hAnsi="Times New Roman" w:cs="Times New Roman"/>
          <w:sz w:val="24"/>
          <w:szCs w:val="24"/>
        </w:rPr>
        <w:t xml:space="preserve">predictive models of </w:t>
      </w:r>
      <w:r w:rsidR="001B17D3">
        <w:rPr>
          <w:rFonts w:ascii="Times New Roman" w:hAnsi="Times New Roman" w:cs="Times New Roman"/>
          <w:sz w:val="24"/>
          <w:szCs w:val="24"/>
        </w:rPr>
        <w:t xml:space="preserve">vegetation </w:t>
      </w:r>
      <w:r w:rsidR="002856C7">
        <w:rPr>
          <w:rFonts w:ascii="Times New Roman" w:hAnsi="Times New Roman" w:cs="Times New Roman"/>
          <w:sz w:val="24"/>
          <w:szCs w:val="24"/>
        </w:rPr>
        <w:t>dynamics in a changing environment</w:t>
      </w:r>
      <w:r w:rsidR="001B17D3">
        <w:rPr>
          <w:rFonts w:ascii="Times New Roman" w:hAnsi="Times New Roman" w:cs="Times New Roman"/>
          <w:sz w:val="24"/>
          <w:szCs w:val="24"/>
        </w:rPr>
        <w:t>.</w:t>
      </w:r>
    </w:p>
    <w:p w:rsidR="00824C7F" w:rsidRDefault="00824C7F" w:rsidP="00A9605D">
      <w:pPr>
        <w:spacing w:line="480" w:lineRule="auto"/>
        <w:rPr>
          <w:rFonts w:ascii="Times New Roman" w:hAnsi="Times New Roman" w:cs="Times New Roman"/>
          <w:sz w:val="24"/>
          <w:szCs w:val="24"/>
        </w:rPr>
      </w:pPr>
    </w:p>
    <w:p w:rsidR="0006779A" w:rsidRDefault="0006779A" w:rsidP="0006779A">
      <w:pPr>
        <w:pStyle w:val="NoSpacing"/>
        <w:spacing w:line="480" w:lineRule="auto"/>
        <w:rPr>
          <w:rFonts w:ascii="Times New Roman" w:hAnsi="Times New Roman" w:cs="Times New Roman"/>
          <w:sz w:val="24"/>
          <w:szCs w:val="24"/>
        </w:rPr>
      </w:pPr>
      <w:proofErr w:type="gramStart"/>
      <w:r w:rsidRPr="0006779A">
        <w:rPr>
          <w:rFonts w:ascii="Arial" w:hAnsi="Arial" w:cs="Arial"/>
          <w:b/>
          <w:sz w:val="24"/>
          <w:szCs w:val="24"/>
        </w:rPr>
        <w:t>Acknowledgments</w:t>
      </w:r>
      <w:r w:rsidRPr="0006779A">
        <w:rPr>
          <w:rFonts w:ascii="Times New Roman" w:hAnsi="Times New Roman" w:cs="Times New Roman"/>
          <w:sz w:val="24"/>
          <w:szCs w:val="24"/>
        </w:rPr>
        <w:t xml:space="preserve">  F.T</w:t>
      </w:r>
      <w:proofErr w:type="gramEnd"/>
      <w:r w:rsidRPr="0006779A">
        <w:rPr>
          <w:rFonts w:ascii="Times New Roman" w:hAnsi="Times New Roman" w:cs="Times New Roman"/>
          <w:sz w:val="24"/>
          <w:szCs w:val="24"/>
        </w:rPr>
        <w:t xml:space="preserve">. </w:t>
      </w:r>
      <w:proofErr w:type="spellStart"/>
      <w:r w:rsidRPr="0006779A">
        <w:rPr>
          <w:rFonts w:ascii="Times New Roman" w:hAnsi="Times New Roman" w:cs="Times New Roman"/>
          <w:sz w:val="24"/>
          <w:szCs w:val="24"/>
        </w:rPr>
        <w:t>Farruggia</w:t>
      </w:r>
      <w:proofErr w:type="spellEnd"/>
      <w:r w:rsidRPr="0006779A">
        <w:rPr>
          <w:rFonts w:ascii="Times New Roman" w:hAnsi="Times New Roman" w:cs="Times New Roman"/>
          <w:sz w:val="24"/>
          <w:szCs w:val="24"/>
        </w:rPr>
        <w:t xml:space="preserve">, M.J. </w:t>
      </w:r>
      <w:proofErr w:type="spellStart"/>
      <w:r w:rsidRPr="0006779A">
        <w:rPr>
          <w:rFonts w:ascii="Times New Roman" w:hAnsi="Times New Roman" w:cs="Times New Roman"/>
          <w:sz w:val="24"/>
          <w:szCs w:val="24"/>
        </w:rPr>
        <w:t>Spasojevic</w:t>
      </w:r>
      <w:proofErr w:type="spellEnd"/>
      <w:r w:rsidRPr="0006779A">
        <w:rPr>
          <w:rFonts w:ascii="Times New Roman" w:hAnsi="Times New Roman" w:cs="Times New Roman"/>
          <w:sz w:val="24"/>
          <w:szCs w:val="24"/>
        </w:rPr>
        <w:t xml:space="preserve"> and A. </w:t>
      </w:r>
      <w:proofErr w:type="spellStart"/>
      <w:r w:rsidRPr="0006779A">
        <w:rPr>
          <w:rFonts w:ascii="Times New Roman" w:hAnsi="Times New Roman" w:cs="Times New Roman"/>
          <w:sz w:val="24"/>
          <w:szCs w:val="24"/>
        </w:rPr>
        <w:t>Valiente-Banuet</w:t>
      </w:r>
      <w:proofErr w:type="spellEnd"/>
      <w:r w:rsidRPr="0006779A">
        <w:rPr>
          <w:rFonts w:ascii="Times New Roman" w:hAnsi="Times New Roman" w:cs="Times New Roman"/>
          <w:sz w:val="24"/>
          <w:szCs w:val="24"/>
        </w:rPr>
        <w:t xml:space="preserve"> provided comments on an earlier version of the manuscript.  This research was funded by a Mellon Foundation grant to R.M.C. and Spanish MICINN and OAPN grants to F.I.P.  Additional support was provided by the International Programs at the University of Montana to R.M.C., Minnesota State University to B.J.C., University of Bordeaux to R.M. and J.-P.M., Northern Arizona University to R.M., the Swiss National Science Foundation to C.S. (PBBEP3_128361), National Natural Science Foundation of China (31070357, 40901019, 31000203 and 31000178) and Qilian Shan station of Glaciology and Ecological Environment to S.X. and L.Z., Swedish strategic research area Biodiversity and Ecosystem services in a Changing Climate (BECC) to R.G.B.</w:t>
      </w:r>
      <w:r w:rsidRPr="0006779A">
        <w:rPr>
          <w:rFonts w:ascii="Times New Roman" w:hAnsi="Times New Roman" w:cs="Times New Roman"/>
          <w:color w:val="1F497D"/>
          <w:sz w:val="24"/>
          <w:szCs w:val="24"/>
        </w:rPr>
        <w:t xml:space="preserve">, </w:t>
      </w:r>
      <w:r w:rsidRPr="0006779A">
        <w:rPr>
          <w:rFonts w:ascii="Times New Roman" w:hAnsi="Times New Roman" w:cs="Times New Roman"/>
          <w:sz w:val="24"/>
          <w:szCs w:val="24"/>
        </w:rPr>
        <w:t xml:space="preserve">Spanish MICINN to R.G., The </w:t>
      </w:r>
      <w:proofErr w:type="spellStart"/>
      <w:r w:rsidRPr="0006779A">
        <w:rPr>
          <w:rFonts w:ascii="Times New Roman" w:hAnsi="Times New Roman" w:cs="Times New Roman"/>
          <w:sz w:val="24"/>
          <w:szCs w:val="24"/>
        </w:rPr>
        <w:t>Rufford</w:t>
      </w:r>
      <w:proofErr w:type="spellEnd"/>
      <w:r w:rsidRPr="0006779A">
        <w:rPr>
          <w:rFonts w:ascii="Times New Roman" w:hAnsi="Times New Roman" w:cs="Times New Roman"/>
          <w:sz w:val="24"/>
          <w:szCs w:val="24"/>
        </w:rPr>
        <w:t xml:space="preserve"> Small Grants Foundation, UK (RSG 31.06.09) to R.P., and the Macaulay Land Use Research Institute to R.W.B.  We thank </w:t>
      </w:r>
      <w:proofErr w:type="spellStart"/>
      <w:r w:rsidRPr="0006779A">
        <w:rPr>
          <w:rFonts w:ascii="Times New Roman" w:hAnsi="Times New Roman" w:cs="Times New Roman"/>
          <w:sz w:val="24"/>
          <w:szCs w:val="24"/>
        </w:rPr>
        <w:t>Aimeric</w:t>
      </w:r>
      <w:proofErr w:type="spellEnd"/>
      <w:r w:rsidRPr="0006779A">
        <w:rPr>
          <w:rFonts w:ascii="Times New Roman" w:hAnsi="Times New Roman" w:cs="Times New Roman"/>
          <w:sz w:val="24"/>
          <w:szCs w:val="24"/>
        </w:rPr>
        <w:t xml:space="preserve"> </w:t>
      </w:r>
      <w:proofErr w:type="spellStart"/>
      <w:r w:rsidRPr="0006779A">
        <w:rPr>
          <w:rFonts w:ascii="Times New Roman" w:hAnsi="Times New Roman" w:cs="Times New Roman"/>
          <w:sz w:val="24"/>
          <w:szCs w:val="24"/>
        </w:rPr>
        <w:t>Blaud</w:t>
      </w:r>
      <w:proofErr w:type="spellEnd"/>
      <w:r w:rsidRPr="0006779A">
        <w:rPr>
          <w:rFonts w:ascii="Times New Roman" w:hAnsi="Times New Roman" w:cs="Times New Roman"/>
          <w:sz w:val="24"/>
          <w:szCs w:val="24"/>
        </w:rPr>
        <w:t xml:space="preserve">, Manuela </w:t>
      </w:r>
      <w:proofErr w:type="spellStart"/>
      <w:r w:rsidRPr="0006779A">
        <w:rPr>
          <w:rFonts w:ascii="Times New Roman" w:hAnsi="Times New Roman" w:cs="Times New Roman"/>
          <w:sz w:val="24"/>
          <w:szCs w:val="24"/>
        </w:rPr>
        <w:t>Guler</w:t>
      </w:r>
      <w:proofErr w:type="spellEnd"/>
      <w:r w:rsidRPr="0006779A">
        <w:rPr>
          <w:rFonts w:ascii="Times New Roman" w:hAnsi="Times New Roman" w:cs="Times New Roman"/>
          <w:sz w:val="24"/>
          <w:szCs w:val="24"/>
        </w:rPr>
        <w:t xml:space="preserve">, Ashok </w:t>
      </w:r>
      <w:proofErr w:type="spellStart"/>
      <w:r w:rsidRPr="0006779A">
        <w:rPr>
          <w:rFonts w:ascii="Times New Roman" w:hAnsi="Times New Roman" w:cs="Times New Roman"/>
          <w:sz w:val="24"/>
          <w:szCs w:val="24"/>
        </w:rPr>
        <w:t>Poudel</w:t>
      </w:r>
      <w:proofErr w:type="spellEnd"/>
      <w:r w:rsidRPr="0006779A">
        <w:rPr>
          <w:rFonts w:ascii="Times New Roman" w:hAnsi="Times New Roman" w:cs="Times New Roman"/>
          <w:sz w:val="24"/>
          <w:szCs w:val="24"/>
        </w:rPr>
        <w:t>, and many others for field assistance.  The authors declare no conflict of interest.</w:t>
      </w:r>
    </w:p>
    <w:p w:rsidR="004C0025" w:rsidRPr="0006779A" w:rsidRDefault="004C0025" w:rsidP="0006779A">
      <w:pPr>
        <w:pStyle w:val="NoSpacing"/>
        <w:spacing w:line="480" w:lineRule="auto"/>
        <w:rPr>
          <w:rFonts w:ascii="Times New Roman" w:hAnsi="Times New Roman" w:cs="Times New Roman"/>
          <w:sz w:val="24"/>
          <w:szCs w:val="24"/>
        </w:rPr>
      </w:pPr>
    </w:p>
    <w:p w:rsidR="001B17D3" w:rsidRPr="00E15C92" w:rsidRDefault="004C0025">
      <w:pPr>
        <w:rPr>
          <w:rFonts w:ascii="Arial" w:hAnsi="Arial" w:cs="Arial"/>
          <w:b/>
          <w:sz w:val="24"/>
          <w:szCs w:val="24"/>
        </w:rPr>
      </w:pPr>
      <w:proofErr w:type="spellStart"/>
      <w:r w:rsidRPr="00E15C92">
        <w:rPr>
          <w:rFonts w:ascii="Arial" w:hAnsi="Arial" w:cs="Arial"/>
          <w:b/>
          <w:sz w:val="24"/>
          <w:szCs w:val="24"/>
        </w:rPr>
        <w:t>Biosketch</w:t>
      </w:r>
      <w:proofErr w:type="spellEnd"/>
    </w:p>
    <w:p w:rsidR="004C0025" w:rsidRDefault="00E15C92">
      <w:pPr>
        <w:rPr>
          <w:rFonts w:ascii="Times New Roman" w:hAnsi="Times New Roman" w:cs="Times New Roman"/>
          <w:sz w:val="24"/>
          <w:szCs w:val="24"/>
        </w:rPr>
      </w:pPr>
      <w:r>
        <w:rPr>
          <w:rFonts w:ascii="Times New Roman" w:hAnsi="Times New Roman" w:cs="Times New Roman"/>
          <w:sz w:val="24"/>
          <w:szCs w:val="24"/>
        </w:rPr>
        <w:t>The authors are plant community ecologists interested in the interplay between biotic interactions, climate, biogeography and evolution in driving community assembly and dynamics</w:t>
      </w:r>
      <w:r w:rsidR="004C0025">
        <w:rPr>
          <w:rFonts w:ascii="Times New Roman" w:hAnsi="Times New Roman" w:cs="Times New Roman"/>
          <w:sz w:val="24"/>
          <w:szCs w:val="24"/>
        </w:rPr>
        <w:t>.</w:t>
      </w:r>
      <w:r>
        <w:rPr>
          <w:rFonts w:ascii="Times New Roman" w:hAnsi="Times New Roman" w:cs="Times New Roman"/>
          <w:sz w:val="24"/>
          <w:szCs w:val="24"/>
        </w:rPr>
        <w:t xml:space="preserve">  AKA the Alpine Pals: </w:t>
      </w:r>
      <w:r w:rsidRPr="00E15C92">
        <w:rPr>
          <w:rFonts w:ascii="Times New Roman" w:hAnsi="Times New Roman" w:cs="Times New Roman"/>
          <w:sz w:val="24"/>
          <w:szCs w:val="24"/>
        </w:rPr>
        <w:t>http://plantecology.dbs.umt.edu/People/alpine_pals.html</w:t>
      </w:r>
      <w:r>
        <w:rPr>
          <w:rFonts w:ascii="Times New Roman" w:hAnsi="Times New Roman" w:cs="Times New Roman"/>
          <w:sz w:val="24"/>
          <w:szCs w:val="24"/>
        </w:rPr>
        <w:t>.</w:t>
      </w:r>
      <w:r w:rsidR="004C0025">
        <w:rPr>
          <w:rFonts w:ascii="Times New Roman" w:hAnsi="Times New Roman" w:cs="Times New Roman"/>
          <w:sz w:val="24"/>
          <w:szCs w:val="24"/>
        </w:rPr>
        <w:t xml:space="preserve">  Author contributions: L.A.C. and R.M.C. conceived and organized collaboration, B.J.B., R.W.B., L.A.C., R.M.C., Z.K., C.J.L., R.M., F.I.P., C.S. and S.X. conceived analyses and B.J.B. conducted analyses, all authors collected data and contributed to writing.</w:t>
      </w:r>
    </w:p>
    <w:p w:rsidR="004C0025" w:rsidRDefault="004C0025">
      <w:pPr>
        <w:rPr>
          <w:rFonts w:ascii="Times New Roman" w:hAnsi="Times New Roman" w:cs="Times New Roman"/>
          <w:sz w:val="24"/>
          <w:szCs w:val="24"/>
        </w:rPr>
      </w:pPr>
    </w:p>
    <w:p w:rsidR="000461BB" w:rsidRPr="004C0025" w:rsidRDefault="00E15C92" w:rsidP="00A9605D">
      <w:pPr>
        <w:spacing w:line="480" w:lineRule="auto"/>
        <w:rPr>
          <w:rFonts w:ascii="Arial" w:hAnsi="Arial" w:cs="Arial"/>
          <w:b/>
          <w:sz w:val="24"/>
          <w:szCs w:val="24"/>
        </w:rPr>
      </w:pPr>
      <w:r>
        <w:rPr>
          <w:rFonts w:ascii="Arial" w:hAnsi="Arial" w:cs="Arial"/>
          <w:b/>
          <w:sz w:val="24"/>
          <w:szCs w:val="24"/>
        </w:rPr>
        <w:lastRenderedPageBreak/>
        <w:t>References</w:t>
      </w:r>
    </w:p>
    <w:p w:rsidR="002A40DD" w:rsidRDefault="002A40DD" w:rsidP="002A40DD">
      <w:pPr>
        <w:pStyle w:val="NormalWeb"/>
      </w:pPr>
      <w:r>
        <w:fldChar w:fldCharType="begin"/>
      </w:r>
      <w:r>
        <w:instrText>ADDIN RW.BIB</w:instrText>
      </w:r>
      <w:r>
        <w:fldChar w:fldCharType="separate"/>
      </w:r>
      <w:proofErr w:type="spellStart"/>
      <w:proofErr w:type="gramStart"/>
      <w:r>
        <w:t>Algar</w:t>
      </w:r>
      <w:proofErr w:type="spellEnd"/>
      <w:r>
        <w:t>, A.C., Kerr, J.T. &amp; Currie, D.J. (2011) Quantifying the importance of regional and local filters for community trait structure in tropical and temperate zones.</w:t>
      </w:r>
      <w:proofErr w:type="gramEnd"/>
      <w:r>
        <w:rPr>
          <w:i/>
          <w:iCs/>
        </w:rPr>
        <w:t xml:space="preserve"> Ecology</w:t>
      </w:r>
      <w:r>
        <w:t>,</w:t>
      </w:r>
      <w:r>
        <w:rPr>
          <w:b/>
          <w:bCs/>
        </w:rPr>
        <w:t xml:space="preserve"> 92</w:t>
      </w:r>
      <w:r>
        <w:t xml:space="preserve">, 903-914. </w:t>
      </w:r>
    </w:p>
    <w:p w:rsidR="002A40DD" w:rsidRDefault="002A40DD" w:rsidP="002A40DD">
      <w:pPr>
        <w:pStyle w:val="NormalWeb"/>
      </w:pPr>
      <w:proofErr w:type="gramStart"/>
      <w:r>
        <w:t xml:space="preserve">Anderson, T.M., Shaw, J. &amp; </w:t>
      </w:r>
      <w:proofErr w:type="spellStart"/>
      <w:r>
        <w:t>Olff</w:t>
      </w:r>
      <w:proofErr w:type="spellEnd"/>
      <w:r>
        <w:t>, H. (2011) Ecology's cruel dilemma, phylogenetic trait evolution and the assembly of Serengeti plant communities.</w:t>
      </w:r>
      <w:proofErr w:type="gramEnd"/>
      <w:r>
        <w:rPr>
          <w:i/>
          <w:iCs/>
        </w:rPr>
        <w:t xml:space="preserve"> Journal of Ecology</w:t>
      </w:r>
      <w:r>
        <w:t>,</w:t>
      </w:r>
      <w:r>
        <w:rPr>
          <w:b/>
          <w:bCs/>
        </w:rPr>
        <w:t xml:space="preserve"> 99</w:t>
      </w:r>
      <w:r>
        <w:t xml:space="preserve">, 797-806. </w:t>
      </w:r>
    </w:p>
    <w:p w:rsidR="002A40DD" w:rsidRDefault="002A40DD" w:rsidP="002A40DD">
      <w:pPr>
        <w:pStyle w:val="NormalWeb"/>
      </w:pPr>
      <w:proofErr w:type="spellStart"/>
      <w:r>
        <w:t>Armas</w:t>
      </w:r>
      <w:proofErr w:type="spellEnd"/>
      <w:r>
        <w:t xml:space="preserve">, C., </w:t>
      </w:r>
      <w:proofErr w:type="spellStart"/>
      <w:r>
        <w:t>Ordiales</w:t>
      </w:r>
      <w:proofErr w:type="spellEnd"/>
      <w:r>
        <w:t xml:space="preserve">, R. &amp; </w:t>
      </w:r>
      <w:proofErr w:type="spellStart"/>
      <w:r>
        <w:t>Pugnaire</w:t>
      </w:r>
      <w:proofErr w:type="spellEnd"/>
      <w:r>
        <w:t>, F.I. (2004) Measuring plant interactions: A new comparative index.</w:t>
      </w:r>
      <w:r>
        <w:rPr>
          <w:i/>
          <w:iCs/>
        </w:rPr>
        <w:t xml:space="preserve"> Ecology</w:t>
      </w:r>
      <w:r>
        <w:t>,</w:t>
      </w:r>
      <w:r>
        <w:rPr>
          <w:b/>
          <w:bCs/>
        </w:rPr>
        <w:t xml:space="preserve"> 85</w:t>
      </w:r>
      <w:r>
        <w:t xml:space="preserve">, 2682-2686. </w:t>
      </w:r>
    </w:p>
    <w:p w:rsidR="002A40DD" w:rsidRDefault="002A40DD" w:rsidP="002A40DD">
      <w:pPr>
        <w:pStyle w:val="NormalWeb"/>
      </w:pPr>
      <w:r>
        <w:t xml:space="preserve">Ashcroft, M.B., </w:t>
      </w:r>
      <w:proofErr w:type="spellStart"/>
      <w:r>
        <w:t>Gollan</w:t>
      </w:r>
      <w:proofErr w:type="spellEnd"/>
      <w:r>
        <w:t xml:space="preserve">, J.R., </w:t>
      </w:r>
      <w:proofErr w:type="spellStart"/>
      <w:r>
        <w:t>Warton</w:t>
      </w:r>
      <w:proofErr w:type="spellEnd"/>
      <w:r>
        <w:t xml:space="preserve">, D.I. &amp; Ramp, D. (2012) A novel approach to quantify and locate potential </w:t>
      </w:r>
      <w:proofErr w:type="spellStart"/>
      <w:r>
        <w:t>microrefugia</w:t>
      </w:r>
      <w:proofErr w:type="spellEnd"/>
      <w:r>
        <w:t xml:space="preserve"> using </w:t>
      </w:r>
      <w:proofErr w:type="spellStart"/>
      <w:r>
        <w:t>topoclimate</w:t>
      </w:r>
      <w:proofErr w:type="spellEnd"/>
      <w:r>
        <w:t>, climate stability, and isolation from the matrix.</w:t>
      </w:r>
      <w:r>
        <w:rPr>
          <w:i/>
          <w:iCs/>
        </w:rPr>
        <w:t xml:space="preserve"> Global Change Biology</w:t>
      </w:r>
      <w:r>
        <w:t>,</w:t>
      </w:r>
      <w:r>
        <w:rPr>
          <w:b/>
          <w:bCs/>
        </w:rPr>
        <w:t xml:space="preserve"> 18</w:t>
      </w:r>
      <w:r>
        <w:t xml:space="preserve">, 1866-1879. </w:t>
      </w:r>
    </w:p>
    <w:p w:rsidR="002A40DD" w:rsidRDefault="002A40DD" w:rsidP="002A40DD">
      <w:pPr>
        <w:pStyle w:val="NormalWeb"/>
      </w:pPr>
      <w:proofErr w:type="spellStart"/>
      <w:r>
        <w:t>Badano</w:t>
      </w:r>
      <w:proofErr w:type="spellEnd"/>
      <w:r>
        <w:t xml:space="preserve">, E.I., Jones, C.G., </w:t>
      </w:r>
      <w:proofErr w:type="spellStart"/>
      <w:r>
        <w:t>Cavieres</w:t>
      </w:r>
      <w:proofErr w:type="spellEnd"/>
      <w:r>
        <w:t>, L.A. &amp; Wright, J.P. (2006) Assessing impacts of ecosystem engineers on community organization: a general approach illustrated by effects of a high-Andean cushion plant.</w:t>
      </w:r>
      <w:r>
        <w:rPr>
          <w:i/>
          <w:iCs/>
        </w:rPr>
        <w:t xml:space="preserve"> </w:t>
      </w:r>
      <w:proofErr w:type="spellStart"/>
      <w:r>
        <w:rPr>
          <w:i/>
          <w:iCs/>
        </w:rPr>
        <w:t>Oikos</w:t>
      </w:r>
      <w:proofErr w:type="spellEnd"/>
      <w:r>
        <w:t>,</w:t>
      </w:r>
      <w:r>
        <w:rPr>
          <w:b/>
          <w:bCs/>
        </w:rPr>
        <w:t xml:space="preserve"> 115</w:t>
      </w:r>
      <w:r>
        <w:t xml:space="preserve">, 369-385. </w:t>
      </w:r>
    </w:p>
    <w:p w:rsidR="002A40DD" w:rsidRDefault="002A40DD" w:rsidP="002A40DD">
      <w:pPr>
        <w:pStyle w:val="NormalWeb"/>
      </w:pPr>
      <w:proofErr w:type="spellStart"/>
      <w:proofErr w:type="gramStart"/>
      <w:r>
        <w:t>Bertness</w:t>
      </w:r>
      <w:proofErr w:type="spellEnd"/>
      <w:r>
        <w:t>, M.D. &amp; Callaway, R. (1994) POSITIVE INTERACTIONS IN COMMUNITIES.</w:t>
      </w:r>
      <w:proofErr w:type="gramEnd"/>
      <w:r>
        <w:rPr>
          <w:i/>
          <w:iCs/>
        </w:rPr>
        <w:t xml:space="preserve"> Trends in Ecology &amp; Evolution</w:t>
      </w:r>
      <w:r>
        <w:t>,</w:t>
      </w:r>
      <w:r>
        <w:rPr>
          <w:b/>
          <w:bCs/>
        </w:rPr>
        <w:t xml:space="preserve"> 9</w:t>
      </w:r>
      <w:r>
        <w:t xml:space="preserve">, 191-193. </w:t>
      </w:r>
    </w:p>
    <w:p w:rsidR="002A40DD" w:rsidRDefault="002A40DD" w:rsidP="002A40DD">
      <w:pPr>
        <w:pStyle w:val="NormalWeb"/>
      </w:pPr>
      <w:proofErr w:type="spellStart"/>
      <w:r>
        <w:t>Blomberg</w:t>
      </w:r>
      <w:proofErr w:type="spellEnd"/>
      <w:r>
        <w:t>, S.P., Garland, T. &amp; Ives, A.R. (2003) Testing for phylogenetic signal in comparative data: Behavioral traits are more labile.</w:t>
      </w:r>
      <w:r>
        <w:rPr>
          <w:i/>
          <w:iCs/>
        </w:rPr>
        <w:t xml:space="preserve"> Evolution</w:t>
      </w:r>
      <w:r>
        <w:t>,</w:t>
      </w:r>
      <w:r>
        <w:rPr>
          <w:b/>
          <w:bCs/>
        </w:rPr>
        <w:t xml:space="preserve"> 57</w:t>
      </w:r>
      <w:r>
        <w:t xml:space="preserve">, 717-745. </w:t>
      </w:r>
    </w:p>
    <w:p w:rsidR="002A40DD" w:rsidRDefault="002A40DD" w:rsidP="002A40DD">
      <w:pPr>
        <w:pStyle w:val="NormalWeb"/>
      </w:pPr>
      <w:r>
        <w:t xml:space="preserve">Bryant, J.A., </w:t>
      </w:r>
      <w:proofErr w:type="spellStart"/>
      <w:r>
        <w:t>Lamanna</w:t>
      </w:r>
      <w:proofErr w:type="spellEnd"/>
      <w:r>
        <w:t xml:space="preserve">, C., </w:t>
      </w:r>
      <w:proofErr w:type="spellStart"/>
      <w:r>
        <w:t>Morlon</w:t>
      </w:r>
      <w:proofErr w:type="spellEnd"/>
      <w:r>
        <w:t xml:space="preserve">, H., </w:t>
      </w:r>
      <w:proofErr w:type="spellStart"/>
      <w:r>
        <w:t>Kerkhoff</w:t>
      </w:r>
      <w:proofErr w:type="spellEnd"/>
      <w:r>
        <w:t xml:space="preserve">, A.J., </w:t>
      </w:r>
      <w:proofErr w:type="spellStart"/>
      <w:r>
        <w:t>Enquist</w:t>
      </w:r>
      <w:proofErr w:type="spellEnd"/>
      <w:r>
        <w:t xml:space="preserve">, B.J. &amp; Green, J.L. (2008) Microbes on mountainsides: Contrasting </w:t>
      </w:r>
      <w:proofErr w:type="spellStart"/>
      <w:r>
        <w:t>elevational</w:t>
      </w:r>
      <w:proofErr w:type="spellEnd"/>
      <w:r>
        <w:t xml:space="preserve"> patterns of bacterial and plant diversity.</w:t>
      </w:r>
      <w:r>
        <w:rPr>
          <w:i/>
          <w:iCs/>
        </w:rPr>
        <w:t xml:space="preserve"> Proceedings of the National Academy of Sciences of the United States of America</w:t>
      </w:r>
      <w:r>
        <w:t>,</w:t>
      </w:r>
      <w:r>
        <w:rPr>
          <w:b/>
          <w:bCs/>
        </w:rPr>
        <w:t xml:space="preserve"> 105</w:t>
      </w:r>
      <w:r>
        <w:t xml:space="preserve">, 11505-11511. </w:t>
      </w:r>
    </w:p>
    <w:p w:rsidR="002A40DD" w:rsidRDefault="002A40DD" w:rsidP="002A40DD">
      <w:pPr>
        <w:pStyle w:val="NormalWeb"/>
      </w:pPr>
      <w:r>
        <w:t>Butterfield, B.J. &amp; Briggs, J.M. (2011) Regeneration niche differentiates functional strategies of desert woody plant species.</w:t>
      </w:r>
      <w:r>
        <w:rPr>
          <w:i/>
          <w:iCs/>
        </w:rPr>
        <w:t xml:space="preserve"> </w:t>
      </w:r>
      <w:proofErr w:type="spellStart"/>
      <w:r>
        <w:rPr>
          <w:i/>
          <w:iCs/>
        </w:rPr>
        <w:t>Oecologia</w:t>
      </w:r>
      <w:proofErr w:type="spellEnd"/>
      <w:r>
        <w:t>,</w:t>
      </w:r>
      <w:r>
        <w:rPr>
          <w:b/>
          <w:bCs/>
        </w:rPr>
        <w:t xml:space="preserve"> 165</w:t>
      </w:r>
      <w:r>
        <w:t xml:space="preserve">, 477-487. </w:t>
      </w:r>
    </w:p>
    <w:p w:rsidR="002A40DD" w:rsidRDefault="002A40DD" w:rsidP="002A40DD">
      <w:pPr>
        <w:pStyle w:val="NormalWeb"/>
      </w:pPr>
      <w:proofErr w:type="spellStart"/>
      <w:proofErr w:type="gramStart"/>
      <w:r>
        <w:t>Cavender</w:t>
      </w:r>
      <w:proofErr w:type="spellEnd"/>
      <w:r>
        <w:t xml:space="preserve">-Bares, J., </w:t>
      </w:r>
      <w:proofErr w:type="spellStart"/>
      <w:r>
        <w:t>Ackerly</w:t>
      </w:r>
      <w:proofErr w:type="spellEnd"/>
      <w:r>
        <w:t xml:space="preserve">, D.D., Baum, D.A. &amp; </w:t>
      </w:r>
      <w:proofErr w:type="spellStart"/>
      <w:r>
        <w:t>Bazzaz</w:t>
      </w:r>
      <w:proofErr w:type="spellEnd"/>
      <w:r>
        <w:t xml:space="preserve">, F.A. (2004) Phylogenetic </w:t>
      </w:r>
      <w:proofErr w:type="spellStart"/>
      <w:r>
        <w:t>overdispersion</w:t>
      </w:r>
      <w:proofErr w:type="spellEnd"/>
      <w:r>
        <w:t xml:space="preserve"> in Floridian oak communities.</w:t>
      </w:r>
      <w:proofErr w:type="gramEnd"/>
      <w:r>
        <w:rPr>
          <w:i/>
          <w:iCs/>
        </w:rPr>
        <w:t xml:space="preserve"> American Naturalist</w:t>
      </w:r>
      <w:r>
        <w:t>,</w:t>
      </w:r>
      <w:r>
        <w:rPr>
          <w:b/>
          <w:bCs/>
        </w:rPr>
        <w:t xml:space="preserve"> 163</w:t>
      </w:r>
      <w:r>
        <w:t xml:space="preserve">, 823-843. </w:t>
      </w:r>
    </w:p>
    <w:p w:rsidR="002A40DD" w:rsidRDefault="002A40DD" w:rsidP="002A40DD">
      <w:pPr>
        <w:pStyle w:val="NormalWeb"/>
      </w:pPr>
      <w:proofErr w:type="spellStart"/>
      <w:r>
        <w:t>Cavender</w:t>
      </w:r>
      <w:proofErr w:type="spellEnd"/>
      <w:r>
        <w:t xml:space="preserve">-Bares, J., </w:t>
      </w:r>
      <w:proofErr w:type="spellStart"/>
      <w:r>
        <w:t>Kozak</w:t>
      </w:r>
      <w:proofErr w:type="spellEnd"/>
      <w:r>
        <w:t xml:space="preserve">, K.H., Fine, P.V.A. &amp; </w:t>
      </w:r>
      <w:proofErr w:type="spellStart"/>
      <w:r>
        <w:t>Kembel</w:t>
      </w:r>
      <w:proofErr w:type="spellEnd"/>
      <w:r>
        <w:t xml:space="preserve">, S.W. (2009) </w:t>
      </w:r>
      <w:proofErr w:type="gramStart"/>
      <w:r>
        <w:t>The</w:t>
      </w:r>
      <w:proofErr w:type="gramEnd"/>
      <w:r>
        <w:t xml:space="preserve"> merging of community ecology and phylogenetic biology.</w:t>
      </w:r>
      <w:r>
        <w:rPr>
          <w:i/>
          <w:iCs/>
        </w:rPr>
        <w:t xml:space="preserve"> Ecology Letters</w:t>
      </w:r>
      <w:r>
        <w:t>,</w:t>
      </w:r>
      <w:r>
        <w:rPr>
          <w:b/>
          <w:bCs/>
        </w:rPr>
        <w:t xml:space="preserve"> 12</w:t>
      </w:r>
      <w:r>
        <w:t xml:space="preserve">, 693-715. </w:t>
      </w:r>
    </w:p>
    <w:p w:rsidR="002A40DD" w:rsidRDefault="002A40DD" w:rsidP="002A40DD">
      <w:pPr>
        <w:pStyle w:val="NormalWeb"/>
      </w:pPr>
      <w:proofErr w:type="spellStart"/>
      <w:r>
        <w:t>Cavender</w:t>
      </w:r>
      <w:proofErr w:type="spellEnd"/>
      <w:r>
        <w:t>-Bares, J., Keen, A. &amp; Miles, B. (2006) PHYLOGENETIC STRUCTURE OF FLORIDIAN PLANT COMMUNITIES DEPENDS ON TAXONOMIC AND SPATIAL SCALE.</w:t>
      </w:r>
      <w:r>
        <w:rPr>
          <w:i/>
          <w:iCs/>
        </w:rPr>
        <w:t xml:space="preserve"> Ecology</w:t>
      </w:r>
      <w:r>
        <w:t>,</w:t>
      </w:r>
      <w:r>
        <w:rPr>
          <w:b/>
          <w:bCs/>
        </w:rPr>
        <w:t xml:space="preserve"> 87</w:t>
      </w:r>
      <w:r>
        <w:t xml:space="preserve">, 109-122. </w:t>
      </w:r>
    </w:p>
    <w:p w:rsidR="002A40DD" w:rsidRDefault="002A40DD" w:rsidP="002A40DD">
      <w:pPr>
        <w:pStyle w:val="NormalWeb"/>
      </w:pPr>
      <w:proofErr w:type="spellStart"/>
      <w:r>
        <w:t>Cavieres</w:t>
      </w:r>
      <w:proofErr w:type="spellEnd"/>
      <w:r>
        <w:t xml:space="preserve">, L.A. &amp; </w:t>
      </w:r>
      <w:proofErr w:type="spellStart"/>
      <w:r>
        <w:t>Badano</w:t>
      </w:r>
      <w:proofErr w:type="spellEnd"/>
      <w:r>
        <w:t xml:space="preserve">, E.I. (2009) </w:t>
      </w:r>
      <w:proofErr w:type="gramStart"/>
      <w:r>
        <w:t>Do</w:t>
      </w:r>
      <w:proofErr w:type="gramEnd"/>
      <w:r>
        <w:t xml:space="preserve"> facilitative interactions increase species richness at the entire community level?</w:t>
      </w:r>
      <w:r>
        <w:rPr>
          <w:i/>
          <w:iCs/>
        </w:rPr>
        <w:t xml:space="preserve"> Journal of Ecology</w:t>
      </w:r>
      <w:r>
        <w:t>,</w:t>
      </w:r>
      <w:r>
        <w:rPr>
          <w:b/>
          <w:bCs/>
        </w:rPr>
        <w:t xml:space="preserve"> 97</w:t>
      </w:r>
      <w:r>
        <w:t xml:space="preserve">, 1181-1191. </w:t>
      </w:r>
    </w:p>
    <w:p w:rsidR="002A40DD" w:rsidRDefault="002A40DD" w:rsidP="002A40DD">
      <w:pPr>
        <w:pStyle w:val="NormalWeb"/>
      </w:pPr>
      <w:r>
        <w:lastRenderedPageBreak/>
        <w:t xml:space="preserve">Crisp, M.D., Arroyo, M.T.K., Cook, L.G., Gandolfo, M.A., Jordan, G.J., </w:t>
      </w:r>
      <w:proofErr w:type="spellStart"/>
      <w:r>
        <w:t>McGlone</w:t>
      </w:r>
      <w:proofErr w:type="spellEnd"/>
      <w:r>
        <w:t xml:space="preserve">, M.S., Weston, P.H., </w:t>
      </w:r>
      <w:proofErr w:type="spellStart"/>
      <w:r>
        <w:t>Westoby</w:t>
      </w:r>
      <w:proofErr w:type="spellEnd"/>
      <w:r>
        <w:t xml:space="preserve">, M., </w:t>
      </w:r>
      <w:proofErr w:type="spellStart"/>
      <w:r>
        <w:t>Wilf</w:t>
      </w:r>
      <w:proofErr w:type="spellEnd"/>
      <w:r>
        <w:t>, P. &amp; Linder, H.P. (2009) Phylogenetic biome conservatism on a global scale.</w:t>
      </w:r>
      <w:r>
        <w:rPr>
          <w:i/>
          <w:iCs/>
        </w:rPr>
        <w:t xml:space="preserve"> </w:t>
      </w:r>
      <w:proofErr w:type="gramStart"/>
      <w:r>
        <w:rPr>
          <w:i/>
          <w:iCs/>
        </w:rPr>
        <w:t>Nature</w:t>
      </w:r>
      <w:r>
        <w:t>,</w:t>
      </w:r>
      <w:r>
        <w:rPr>
          <w:b/>
          <w:bCs/>
        </w:rPr>
        <w:t xml:space="preserve"> 458</w:t>
      </w:r>
      <w:r>
        <w:t>, 754-U90.</w:t>
      </w:r>
      <w:proofErr w:type="gramEnd"/>
      <w:r>
        <w:t xml:space="preserve"> </w:t>
      </w:r>
    </w:p>
    <w:p w:rsidR="002A40DD" w:rsidRDefault="002A40DD" w:rsidP="002A40DD">
      <w:pPr>
        <w:pStyle w:val="NormalWeb"/>
      </w:pPr>
      <w:proofErr w:type="spellStart"/>
      <w:r>
        <w:t>Dobrowski</w:t>
      </w:r>
      <w:proofErr w:type="spellEnd"/>
      <w:r>
        <w:t xml:space="preserve">, S.Z. (2011) </w:t>
      </w:r>
      <w:proofErr w:type="gramStart"/>
      <w:r>
        <w:t>A</w:t>
      </w:r>
      <w:proofErr w:type="gramEnd"/>
      <w:r>
        <w:t xml:space="preserve"> climatic basis for </w:t>
      </w:r>
      <w:proofErr w:type="spellStart"/>
      <w:r>
        <w:t>microrefugia</w:t>
      </w:r>
      <w:proofErr w:type="spellEnd"/>
      <w:r>
        <w:t>: the influence of terrain on climate.</w:t>
      </w:r>
      <w:r>
        <w:rPr>
          <w:i/>
          <w:iCs/>
        </w:rPr>
        <w:t xml:space="preserve"> Global Change Biology</w:t>
      </w:r>
      <w:r>
        <w:t>,</w:t>
      </w:r>
      <w:r>
        <w:rPr>
          <w:b/>
          <w:bCs/>
        </w:rPr>
        <w:t xml:space="preserve"> 17</w:t>
      </w:r>
      <w:r>
        <w:t xml:space="preserve">, 1022-1035. </w:t>
      </w:r>
    </w:p>
    <w:p w:rsidR="002A40DD" w:rsidRDefault="002A40DD" w:rsidP="002A40DD">
      <w:pPr>
        <w:pStyle w:val="NormalWeb"/>
      </w:pPr>
      <w:r>
        <w:t xml:space="preserve">Ellison, A., Bank, M., Clinton, B., Colburn, E., Elliott, K., Ford, C., Foster, D., </w:t>
      </w:r>
      <w:proofErr w:type="spellStart"/>
      <w:r>
        <w:t>Kloeppel</w:t>
      </w:r>
      <w:proofErr w:type="spellEnd"/>
      <w:r>
        <w:t xml:space="preserve">, B., </w:t>
      </w:r>
      <w:proofErr w:type="spellStart"/>
      <w:r>
        <w:t>Knoepp</w:t>
      </w:r>
      <w:proofErr w:type="spellEnd"/>
      <w:r>
        <w:t xml:space="preserve">, J., Lovett, G., Mohan, J., </w:t>
      </w:r>
      <w:proofErr w:type="spellStart"/>
      <w:r>
        <w:t>Orwig</w:t>
      </w:r>
      <w:proofErr w:type="spellEnd"/>
      <w:r>
        <w:t xml:space="preserve">, D., </w:t>
      </w:r>
      <w:proofErr w:type="spellStart"/>
      <w:r>
        <w:t>Rodenhouse</w:t>
      </w:r>
      <w:proofErr w:type="spellEnd"/>
      <w:r>
        <w:t xml:space="preserve">, N., </w:t>
      </w:r>
      <w:proofErr w:type="spellStart"/>
      <w:r>
        <w:t>Sobczak</w:t>
      </w:r>
      <w:proofErr w:type="spellEnd"/>
      <w:r>
        <w:t xml:space="preserve">, W., Stinson, K., Stone, J., Swan, C., Thompson, J., Von </w:t>
      </w:r>
      <w:proofErr w:type="spellStart"/>
      <w:r>
        <w:t>Holle</w:t>
      </w:r>
      <w:proofErr w:type="spellEnd"/>
      <w:r>
        <w:t>, B. &amp; Webster, J. (2005) Loss of foundation species: consequences for the structure and dynamics of forested ecosystems.</w:t>
      </w:r>
      <w:r>
        <w:rPr>
          <w:i/>
          <w:iCs/>
        </w:rPr>
        <w:t xml:space="preserve"> Frontiers in Ecology and the Environment</w:t>
      </w:r>
      <w:r>
        <w:t>,</w:t>
      </w:r>
      <w:r>
        <w:rPr>
          <w:b/>
          <w:bCs/>
        </w:rPr>
        <w:t xml:space="preserve"> 3</w:t>
      </w:r>
      <w:r>
        <w:t xml:space="preserve">, 479-486. </w:t>
      </w:r>
    </w:p>
    <w:p w:rsidR="002A40DD" w:rsidRDefault="002A40DD" w:rsidP="002A40DD">
      <w:pPr>
        <w:pStyle w:val="NormalWeb"/>
      </w:pPr>
      <w:r>
        <w:t>Emerson, B.C. &amp; Gillespie, R.G. (2008) Phylogenetic analysis of community assembly and structure over space and time.</w:t>
      </w:r>
      <w:r>
        <w:rPr>
          <w:i/>
          <w:iCs/>
        </w:rPr>
        <w:t xml:space="preserve"> Trends in Ecology &amp; Evolution</w:t>
      </w:r>
      <w:r>
        <w:t>,</w:t>
      </w:r>
      <w:r>
        <w:rPr>
          <w:b/>
          <w:bCs/>
        </w:rPr>
        <w:t xml:space="preserve"> 23</w:t>
      </w:r>
      <w:r>
        <w:t xml:space="preserve">, 619-630. </w:t>
      </w:r>
    </w:p>
    <w:p w:rsidR="002A40DD" w:rsidRDefault="002A40DD" w:rsidP="002A40DD">
      <w:pPr>
        <w:pStyle w:val="NormalWeb"/>
      </w:pPr>
      <w:proofErr w:type="gramStart"/>
      <w:r>
        <w:t>Faith, D.P. (1992) Conservation Evaluation and Phylogenetic Diversity.</w:t>
      </w:r>
      <w:proofErr w:type="gramEnd"/>
      <w:r>
        <w:rPr>
          <w:i/>
          <w:iCs/>
        </w:rPr>
        <w:t xml:space="preserve"> Biological Conservation</w:t>
      </w:r>
      <w:r>
        <w:t>,</w:t>
      </w:r>
      <w:r>
        <w:rPr>
          <w:b/>
          <w:bCs/>
        </w:rPr>
        <w:t xml:space="preserve"> 61</w:t>
      </w:r>
      <w:r>
        <w:t xml:space="preserve">, 1-10. </w:t>
      </w:r>
    </w:p>
    <w:p w:rsidR="002A40DD" w:rsidRDefault="002A40DD" w:rsidP="002A40DD">
      <w:pPr>
        <w:pStyle w:val="NormalWeb"/>
      </w:pPr>
      <w:proofErr w:type="gramStart"/>
      <w:r>
        <w:t xml:space="preserve">Fine, P.V.A. &amp; </w:t>
      </w:r>
      <w:proofErr w:type="spellStart"/>
      <w:r>
        <w:t>Kembel</w:t>
      </w:r>
      <w:proofErr w:type="spellEnd"/>
      <w:r>
        <w:t>, S.W. (2011) Phylogenetic community structure and phylogenetic turnover across space and edaphic gradients in western Amazonian tree communities.</w:t>
      </w:r>
      <w:proofErr w:type="gramEnd"/>
      <w:r>
        <w:rPr>
          <w:i/>
          <w:iCs/>
        </w:rPr>
        <w:t xml:space="preserve"> </w:t>
      </w:r>
      <w:proofErr w:type="spellStart"/>
      <w:r>
        <w:rPr>
          <w:i/>
          <w:iCs/>
        </w:rPr>
        <w:t>Ecography</w:t>
      </w:r>
      <w:proofErr w:type="spellEnd"/>
      <w:r>
        <w:t>,</w:t>
      </w:r>
      <w:r>
        <w:rPr>
          <w:b/>
          <w:bCs/>
        </w:rPr>
        <w:t xml:space="preserve"> 34</w:t>
      </w:r>
      <w:r>
        <w:t xml:space="preserve">, 552-565. </w:t>
      </w:r>
    </w:p>
    <w:p w:rsidR="002A40DD" w:rsidRDefault="002A40DD" w:rsidP="002A40DD">
      <w:pPr>
        <w:pStyle w:val="NormalWeb"/>
      </w:pPr>
      <w:proofErr w:type="spellStart"/>
      <w:proofErr w:type="gramStart"/>
      <w:r>
        <w:t>Gotelli</w:t>
      </w:r>
      <w:proofErr w:type="spellEnd"/>
      <w:r>
        <w:t>, N.J. (2000) Null model analysis of species co-occurrence patterns.</w:t>
      </w:r>
      <w:proofErr w:type="gramEnd"/>
      <w:r>
        <w:rPr>
          <w:i/>
          <w:iCs/>
        </w:rPr>
        <w:t xml:space="preserve"> Ecology</w:t>
      </w:r>
      <w:r>
        <w:t>,</w:t>
      </w:r>
      <w:r>
        <w:rPr>
          <w:b/>
          <w:bCs/>
        </w:rPr>
        <w:t xml:space="preserve"> 81</w:t>
      </w:r>
      <w:r>
        <w:t xml:space="preserve">, 2606-2621. </w:t>
      </w:r>
    </w:p>
    <w:p w:rsidR="002A40DD" w:rsidRDefault="002A40DD" w:rsidP="002A40DD">
      <w:pPr>
        <w:pStyle w:val="NormalWeb"/>
      </w:pPr>
      <w:proofErr w:type="spellStart"/>
      <w:r>
        <w:t>Gotzenberger</w:t>
      </w:r>
      <w:proofErr w:type="spellEnd"/>
      <w:r>
        <w:t xml:space="preserve">, L., de Bello, F., </w:t>
      </w:r>
      <w:proofErr w:type="spellStart"/>
      <w:r>
        <w:t>Brathen</w:t>
      </w:r>
      <w:proofErr w:type="spellEnd"/>
      <w:r>
        <w:t xml:space="preserve">, K.A., Davison, J., </w:t>
      </w:r>
      <w:proofErr w:type="spellStart"/>
      <w:r>
        <w:t>Dubuis</w:t>
      </w:r>
      <w:proofErr w:type="spellEnd"/>
      <w:r>
        <w:t xml:space="preserve">, A., </w:t>
      </w:r>
      <w:proofErr w:type="spellStart"/>
      <w:r>
        <w:t>Guisan</w:t>
      </w:r>
      <w:proofErr w:type="spellEnd"/>
      <w:r>
        <w:t xml:space="preserve">, A., </w:t>
      </w:r>
      <w:proofErr w:type="spellStart"/>
      <w:r>
        <w:t>Leps</w:t>
      </w:r>
      <w:proofErr w:type="spellEnd"/>
      <w:r>
        <w:t xml:space="preserve">, J., </w:t>
      </w:r>
      <w:proofErr w:type="spellStart"/>
      <w:r>
        <w:t>Lindborg</w:t>
      </w:r>
      <w:proofErr w:type="spellEnd"/>
      <w:r>
        <w:t xml:space="preserve">, R., </w:t>
      </w:r>
      <w:proofErr w:type="spellStart"/>
      <w:r>
        <w:t>Moora</w:t>
      </w:r>
      <w:proofErr w:type="spellEnd"/>
      <w:r>
        <w:t xml:space="preserve">, M., </w:t>
      </w:r>
      <w:proofErr w:type="spellStart"/>
      <w:r>
        <w:t>Partel</w:t>
      </w:r>
      <w:proofErr w:type="spellEnd"/>
      <w:r>
        <w:t xml:space="preserve">, M., </w:t>
      </w:r>
      <w:proofErr w:type="spellStart"/>
      <w:r>
        <w:t>Pellissier</w:t>
      </w:r>
      <w:proofErr w:type="spellEnd"/>
      <w:r>
        <w:t xml:space="preserve">, L., </w:t>
      </w:r>
      <w:proofErr w:type="spellStart"/>
      <w:r>
        <w:t>Pottier</w:t>
      </w:r>
      <w:proofErr w:type="spellEnd"/>
      <w:r>
        <w:t xml:space="preserve">, J., </w:t>
      </w:r>
      <w:proofErr w:type="spellStart"/>
      <w:r>
        <w:t>Vittoz</w:t>
      </w:r>
      <w:proofErr w:type="spellEnd"/>
      <w:r>
        <w:t xml:space="preserve">, P., </w:t>
      </w:r>
      <w:proofErr w:type="spellStart"/>
      <w:r>
        <w:t>Zobel</w:t>
      </w:r>
      <w:proofErr w:type="spellEnd"/>
      <w:r>
        <w:t xml:space="preserve">, K. &amp; </w:t>
      </w:r>
      <w:proofErr w:type="spellStart"/>
      <w:r>
        <w:t>Zobel</w:t>
      </w:r>
      <w:proofErr w:type="spellEnd"/>
      <w:r>
        <w:t>, M. (2012) Ecological assembly rules in plant communities-approaches, patterns and prospects.</w:t>
      </w:r>
      <w:r>
        <w:rPr>
          <w:i/>
          <w:iCs/>
        </w:rPr>
        <w:t xml:space="preserve"> Biological Reviews</w:t>
      </w:r>
      <w:r>
        <w:t>,</w:t>
      </w:r>
      <w:r>
        <w:rPr>
          <w:b/>
          <w:bCs/>
        </w:rPr>
        <w:t xml:space="preserve"> 87</w:t>
      </w:r>
      <w:r>
        <w:t xml:space="preserve">, 111-127. </w:t>
      </w:r>
    </w:p>
    <w:p w:rsidR="002A40DD" w:rsidRDefault="002A40DD" w:rsidP="002A40DD">
      <w:pPr>
        <w:pStyle w:val="NormalWeb"/>
      </w:pPr>
      <w:r>
        <w:t>Graham, C.H. &amp; Fine, P.V.A. (2008) Phylogenetic beta diversity: linking ecological and evolutionary processes across space in time.</w:t>
      </w:r>
      <w:r>
        <w:rPr>
          <w:i/>
          <w:iCs/>
        </w:rPr>
        <w:t xml:space="preserve"> Ecology Letters</w:t>
      </w:r>
      <w:r>
        <w:t>,</w:t>
      </w:r>
      <w:r>
        <w:rPr>
          <w:b/>
          <w:bCs/>
        </w:rPr>
        <w:t xml:space="preserve"> 11</w:t>
      </w:r>
      <w:r>
        <w:t xml:space="preserve">, 1265-1277. </w:t>
      </w:r>
    </w:p>
    <w:p w:rsidR="002A40DD" w:rsidRDefault="002A40DD" w:rsidP="002A40DD">
      <w:pPr>
        <w:pStyle w:val="NormalWeb"/>
      </w:pPr>
      <w:proofErr w:type="gramStart"/>
      <w:r>
        <w:t>Grime, J.P. (1977) EVIDENCE FOR EXISTENCE OF 3 PRIMARY STRATEGIES IN PLANTS AND ITS RELEVANCE TO ECOLOGICAL AND EVOLUTIONARY THEORY.</w:t>
      </w:r>
      <w:proofErr w:type="gramEnd"/>
      <w:r>
        <w:rPr>
          <w:i/>
          <w:iCs/>
        </w:rPr>
        <w:t xml:space="preserve"> American Naturalist</w:t>
      </w:r>
      <w:r>
        <w:t>,</w:t>
      </w:r>
      <w:r>
        <w:rPr>
          <w:b/>
          <w:bCs/>
        </w:rPr>
        <w:t xml:space="preserve"> 111</w:t>
      </w:r>
      <w:r>
        <w:t xml:space="preserve">, 1169-1194. </w:t>
      </w:r>
    </w:p>
    <w:p w:rsidR="002A40DD" w:rsidRDefault="002A40DD" w:rsidP="002A40DD">
      <w:pPr>
        <w:pStyle w:val="NormalWeb"/>
      </w:pPr>
      <w:proofErr w:type="spellStart"/>
      <w:r>
        <w:t>Hauri</w:t>
      </w:r>
      <w:proofErr w:type="spellEnd"/>
      <w:r>
        <w:t xml:space="preserve">, H. &amp; </w:t>
      </w:r>
      <w:proofErr w:type="spellStart"/>
      <w:r>
        <w:t>Schroter</w:t>
      </w:r>
      <w:proofErr w:type="spellEnd"/>
      <w:r>
        <w:t xml:space="preserve">, C. (1914) </w:t>
      </w:r>
      <w:proofErr w:type="spellStart"/>
      <w:r>
        <w:t>Versuch</w:t>
      </w:r>
      <w:proofErr w:type="spellEnd"/>
      <w:r>
        <w:t xml:space="preserve"> </w:t>
      </w:r>
      <w:proofErr w:type="spellStart"/>
      <w:r>
        <w:t>einer</w:t>
      </w:r>
      <w:proofErr w:type="spellEnd"/>
      <w:r>
        <w:t xml:space="preserve"> </w:t>
      </w:r>
      <w:proofErr w:type="spellStart"/>
      <w:r>
        <w:t>uebersicht</w:t>
      </w:r>
      <w:proofErr w:type="spellEnd"/>
      <w:r>
        <w:t xml:space="preserve"> der </w:t>
      </w:r>
      <w:proofErr w:type="spellStart"/>
      <w:r>
        <w:t>siphonogamen</w:t>
      </w:r>
      <w:proofErr w:type="spellEnd"/>
      <w:r>
        <w:t xml:space="preserve"> </w:t>
      </w:r>
      <w:proofErr w:type="spellStart"/>
      <w:r>
        <w:t>polsterpflanzen</w:t>
      </w:r>
      <w:proofErr w:type="spellEnd"/>
      <w:r>
        <w:t>.</w:t>
      </w:r>
      <w:r>
        <w:rPr>
          <w:i/>
          <w:iCs/>
        </w:rPr>
        <w:t xml:space="preserve"> </w:t>
      </w:r>
      <w:proofErr w:type="spellStart"/>
      <w:r>
        <w:rPr>
          <w:i/>
          <w:iCs/>
        </w:rPr>
        <w:t>Engler's</w:t>
      </w:r>
      <w:proofErr w:type="spellEnd"/>
      <w:r>
        <w:rPr>
          <w:i/>
          <w:iCs/>
        </w:rPr>
        <w:t xml:space="preserve"> </w:t>
      </w:r>
      <w:proofErr w:type="spellStart"/>
      <w:r>
        <w:rPr>
          <w:i/>
          <w:iCs/>
        </w:rPr>
        <w:t>Botanishe</w:t>
      </w:r>
      <w:proofErr w:type="spellEnd"/>
      <w:r>
        <w:rPr>
          <w:i/>
          <w:iCs/>
        </w:rPr>
        <w:t xml:space="preserve"> </w:t>
      </w:r>
      <w:proofErr w:type="spellStart"/>
      <w:r>
        <w:rPr>
          <w:i/>
          <w:iCs/>
        </w:rPr>
        <w:t>Jahrbuch</w:t>
      </w:r>
      <w:proofErr w:type="spellEnd"/>
      <w:r>
        <w:t>,</w:t>
      </w:r>
      <w:r>
        <w:rPr>
          <w:b/>
          <w:bCs/>
        </w:rPr>
        <w:t xml:space="preserve"> 50</w:t>
      </w:r>
      <w:r>
        <w:t xml:space="preserve">, 618-656. </w:t>
      </w:r>
    </w:p>
    <w:p w:rsidR="002A40DD" w:rsidRDefault="002A40DD" w:rsidP="002A40DD">
      <w:pPr>
        <w:pStyle w:val="NormalWeb"/>
      </w:pPr>
      <w:r>
        <w:t xml:space="preserve">Hedges, S.B., Dudley, J. &amp; Kumar, S. (2006) </w:t>
      </w:r>
      <w:proofErr w:type="spellStart"/>
      <w:r>
        <w:t>TimeTree</w:t>
      </w:r>
      <w:proofErr w:type="spellEnd"/>
      <w:r>
        <w:t>: a public knowledge-base of divergence times among organisms.</w:t>
      </w:r>
      <w:r>
        <w:rPr>
          <w:i/>
          <w:iCs/>
        </w:rPr>
        <w:t xml:space="preserve"> Bioinformatics</w:t>
      </w:r>
      <w:r>
        <w:t>,</w:t>
      </w:r>
      <w:r>
        <w:rPr>
          <w:b/>
          <w:bCs/>
        </w:rPr>
        <w:t xml:space="preserve"> 22</w:t>
      </w:r>
      <w:r>
        <w:t xml:space="preserve">, 2971-2972. </w:t>
      </w:r>
    </w:p>
    <w:p w:rsidR="002A40DD" w:rsidRDefault="002A40DD" w:rsidP="002A40DD">
      <w:pPr>
        <w:pStyle w:val="NormalWeb"/>
      </w:pPr>
      <w:proofErr w:type="spellStart"/>
      <w:r>
        <w:t>Helmus</w:t>
      </w:r>
      <w:proofErr w:type="spellEnd"/>
      <w:r>
        <w:t xml:space="preserve">, M.R., Savage, K., </w:t>
      </w:r>
      <w:proofErr w:type="spellStart"/>
      <w:r>
        <w:t>Diebel</w:t>
      </w:r>
      <w:proofErr w:type="spellEnd"/>
      <w:r>
        <w:t xml:space="preserve">, M.W., </w:t>
      </w:r>
      <w:proofErr w:type="spellStart"/>
      <w:r>
        <w:t>Maxted</w:t>
      </w:r>
      <w:proofErr w:type="spellEnd"/>
      <w:r>
        <w:t>, J.T. &amp; Ives, A.R. (2007) Separating the determinants of phylogenetic community structure.</w:t>
      </w:r>
      <w:r>
        <w:rPr>
          <w:i/>
          <w:iCs/>
        </w:rPr>
        <w:t xml:space="preserve"> Ecology Letters</w:t>
      </w:r>
      <w:r>
        <w:t>,</w:t>
      </w:r>
      <w:r>
        <w:rPr>
          <w:b/>
          <w:bCs/>
        </w:rPr>
        <w:t xml:space="preserve"> 10</w:t>
      </w:r>
      <w:r>
        <w:t xml:space="preserve">, 917-925. </w:t>
      </w:r>
    </w:p>
    <w:p w:rsidR="002A40DD" w:rsidRDefault="002A40DD" w:rsidP="002A40DD">
      <w:pPr>
        <w:pStyle w:val="NormalWeb"/>
      </w:pPr>
      <w:r>
        <w:lastRenderedPageBreak/>
        <w:t xml:space="preserve">Holmgren, M., </w:t>
      </w:r>
      <w:proofErr w:type="spellStart"/>
      <w:r>
        <w:t>Scheffer</w:t>
      </w:r>
      <w:proofErr w:type="spellEnd"/>
      <w:r>
        <w:t xml:space="preserve">, M. &amp; Huston, M.A. (1997) </w:t>
      </w:r>
      <w:proofErr w:type="gramStart"/>
      <w:r>
        <w:t>The</w:t>
      </w:r>
      <w:proofErr w:type="gramEnd"/>
      <w:r>
        <w:t xml:space="preserve"> interplay of facilitation and competition in plant communities.</w:t>
      </w:r>
      <w:r>
        <w:rPr>
          <w:i/>
          <w:iCs/>
        </w:rPr>
        <w:t xml:space="preserve"> Ecology</w:t>
      </w:r>
      <w:r>
        <w:t>,</w:t>
      </w:r>
      <w:r>
        <w:rPr>
          <w:b/>
          <w:bCs/>
        </w:rPr>
        <w:t xml:space="preserve"> 78</w:t>
      </w:r>
      <w:r>
        <w:t xml:space="preserve">, 1966-1975. </w:t>
      </w:r>
    </w:p>
    <w:p w:rsidR="002A40DD" w:rsidRDefault="002A40DD" w:rsidP="002A40DD">
      <w:pPr>
        <w:pStyle w:val="NormalWeb"/>
      </w:pPr>
      <w:proofErr w:type="spellStart"/>
      <w:r>
        <w:t>Kembel</w:t>
      </w:r>
      <w:proofErr w:type="spellEnd"/>
      <w:r>
        <w:t xml:space="preserve">, S.W., Cowan, P.D., </w:t>
      </w:r>
      <w:proofErr w:type="spellStart"/>
      <w:r>
        <w:t>Helmus</w:t>
      </w:r>
      <w:proofErr w:type="spellEnd"/>
      <w:r>
        <w:t xml:space="preserve">, M.R., Cornwell, W.K., </w:t>
      </w:r>
      <w:proofErr w:type="spellStart"/>
      <w:r>
        <w:t>Morlon</w:t>
      </w:r>
      <w:proofErr w:type="spellEnd"/>
      <w:r>
        <w:t xml:space="preserve">, H., </w:t>
      </w:r>
      <w:proofErr w:type="spellStart"/>
      <w:r>
        <w:t>Ackerly</w:t>
      </w:r>
      <w:proofErr w:type="spellEnd"/>
      <w:r>
        <w:t xml:space="preserve">, D.D., </w:t>
      </w:r>
      <w:proofErr w:type="spellStart"/>
      <w:r>
        <w:t>Blomberg</w:t>
      </w:r>
      <w:proofErr w:type="spellEnd"/>
      <w:r>
        <w:t xml:space="preserve">, S.P. &amp; Webb, </w:t>
      </w:r>
      <w:proofErr w:type="gramStart"/>
      <w:r>
        <w:t>C.O</w:t>
      </w:r>
      <w:proofErr w:type="gramEnd"/>
      <w:r>
        <w:t>. (2010) Picante: R tools for integrating phylogenies and ecology.</w:t>
      </w:r>
      <w:r>
        <w:rPr>
          <w:i/>
          <w:iCs/>
        </w:rPr>
        <w:t xml:space="preserve"> Bioinformatics</w:t>
      </w:r>
      <w:r>
        <w:t>,</w:t>
      </w:r>
      <w:r>
        <w:rPr>
          <w:b/>
          <w:bCs/>
        </w:rPr>
        <w:t xml:space="preserve"> 26</w:t>
      </w:r>
      <w:r>
        <w:t xml:space="preserve">, 1463-1464. </w:t>
      </w:r>
    </w:p>
    <w:p w:rsidR="002A40DD" w:rsidRDefault="002A40DD" w:rsidP="002A40DD">
      <w:pPr>
        <w:pStyle w:val="NormalWeb"/>
      </w:pPr>
      <w:proofErr w:type="gramStart"/>
      <w:r>
        <w:t xml:space="preserve">Keppel, G., Van </w:t>
      </w:r>
      <w:proofErr w:type="spellStart"/>
      <w:r>
        <w:t>Niel</w:t>
      </w:r>
      <w:proofErr w:type="spellEnd"/>
      <w:r>
        <w:t xml:space="preserve">, K.P., </w:t>
      </w:r>
      <w:proofErr w:type="spellStart"/>
      <w:r>
        <w:t>Wardell</w:t>
      </w:r>
      <w:proofErr w:type="spellEnd"/>
      <w:r>
        <w:t xml:space="preserve">-Johnson, G.W., Yates, C.J., Byrne, M., </w:t>
      </w:r>
      <w:proofErr w:type="spellStart"/>
      <w:r>
        <w:t>Mucina</w:t>
      </w:r>
      <w:proofErr w:type="spellEnd"/>
      <w:r>
        <w:t xml:space="preserve">, L., </w:t>
      </w:r>
      <w:proofErr w:type="spellStart"/>
      <w:r>
        <w:t>Schut</w:t>
      </w:r>
      <w:proofErr w:type="spellEnd"/>
      <w:r>
        <w:t xml:space="preserve">, A.G.T., Hopper, S.D. &amp; Franklin, S.E. (2012) </w:t>
      </w:r>
      <w:proofErr w:type="spellStart"/>
      <w:r>
        <w:t>Refugia</w:t>
      </w:r>
      <w:proofErr w:type="spellEnd"/>
      <w:r>
        <w:t>: identifying and understanding safe havens for biodiversity under climate change.</w:t>
      </w:r>
      <w:proofErr w:type="gramEnd"/>
      <w:r>
        <w:rPr>
          <w:i/>
          <w:iCs/>
        </w:rPr>
        <w:t xml:space="preserve"> Global Ecology and Biogeography</w:t>
      </w:r>
      <w:r>
        <w:t>,</w:t>
      </w:r>
      <w:r>
        <w:rPr>
          <w:b/>
          <w:bCs/>
        </w:rPr>
        <w:t xml:space="preserve"> 21</w:t>
      </w:r>
      <w:r>
        <w:t xml:space="preserve">, 393-404. </w:t>
      </w:r>
    </w:p>
    <w:p w:rsidR="002A40DD" w:rsidRDefault="002A40DD" w:rsidP="002A40DD">
      <w:pPr>
        <w:pStyle w:val="NormalWeb"/>
      </w:pPr>
      <w:proofErr w:type="spellStart"/>
      <w:r>
        <w:t>Machac</w:t>
      </w:r>
      <w:proofErr w:type="spellEnd"/>
      <w:r>
        <w:t xml:space="preserve">, A., </w:t>
      </w:r>
      <w:proofErr w:type="spellStart"/>
      <w:r>
        <w:t>Janda</w:t>
      </w:r>
      <w:proofErr w:type="spellEnd"/>
      <w:r>
        <w:t xml:space="preserve">, M., Dunn, R.R. &amp; Sanders, N.J. (2011) </w:t>
      </w:r>
      <w:proofErr w:type="spellStart"/>
      <w:r>
        <w:t>Elevational</w:t>
      </w:r>
      <w:proofErr w:type="spellEnd"/>
      <w:r>
        <w:t xml:space="preserve"> gradients in phylogenetic structure of ant communities reveal the interplay of biotic and abiotic constraints on diversity.</w:t>
      </w:r>
      <w:r>
        <w:rPr>
          <w:i/>
          <w:iCs/>
        </w:rPr>
        <w:t xml:space="preserve"> </w:t>
      </w:r>
      <w:proofErr w:type="spellStart"/>
      <w:r>
        <w:rPr>
          <w:i/>
          <w:iCs/>
        </w:rPr>
        <w:t>Ecography</w:t>
      </w:r>
      <w:proofErr w:type="spellEnd"/>
      <w:r>
        <w:t>,</w:t>
      </w:r>
      <w:r>
        <w:rPr>
          <w:b/>
          <w:bCs/>
        </w:rPr>
        <w:t xml:space="preserve"> 34</w:t>
      </w:r>
      <w:r>
        <w:t xml:space="preserve">, 364-371. </w:t>
      </w:r>
    </w:p>
    <w:p w:rsidR="002A40DD" w:rsidRDefault="002A40DD" w:rsidP="002A40DD">
      <w:pPr>
        <w:pStyle w:val="NormalWeb"/>
      </w:pPr>
      <w:proofErr w:type="spellStart"/>
      <w:r>
        <w:t>Mittelbach</w:t>
      </w:r>
      <w:proofErr w:type="spellEnd"/>
      <w:r>
        <w:t xml:space="preserve">, G.G., </w:t>
      </w:r>
      <w:proofErr w:type="spellStart"/>
      <w:r>
        <w:t>Schemske</w:t>
      </w:r>
      <w:proofErr w:type="spellEnd"/>
      <w:r>
        <w:t xml:space="preserve">, D.W., Cornell, H.V., Allen, A.P., Brown, J.M., Bush, M.B., Harrison, S.P., </w:t>
      </w:r>
      <w:proofErr w:type="spellStart"/>
      <w:r>
        <w:t>Hurlbert</w:t>
      </w:r>
      <w:proofErr w:type="spellEnd"/>
      <w:r>
        <w:t xml:space="preserve">, A.H., Knowlton, N., </w:t>
      </w:r>
      <w:proofErr w:type="spellStart"/>
      <w:r>
        <w:t>Lessios</w:t>
      </w:r>
      <w:proofErr w:type="spellEnd"/>
      <w:r>
        <w:t xml:space="preserve">, H.A., McCain, C.M., McCune, A.R., </w:t>
      </w:r>
      <w:proofErr w:type="spellStart"/>
      <w:r>
        <w:t>McDade</w:t>
      </w:r>
      <w:proofErr w:type="spellEnd"/>
      <w:r>
        <w:t xml:space="preserve">, L.A., </w:t>
      </w:r>
      <w:proofErr w:type="spellStart"/>
      <w:r>
        <w:t>McPeek</w:t>
      </w:r>
      <w:proofErr w:type="spellEnd"/>
      <w:r>
        <w:t xml:space="preserve">, M.A., Near, T.J., Price, T.D., </w:t>
      </w:r>
      <w:proofErr w:type="spellStart"/>
      <w:r>
        <w:t>Ricklefs</w:t>
      </w:r>
      <w:proofErr w:type="spellEnd"/>
      <w:r>
        <w:t xml:space="preserve">, R.E., Roy, K., Sax, D.F., </w:t>
      </w:r>
      <w:proofErr w:type="spellStart"/>
      <w:r>
        <w:t>Schluter</w:t>
      </w:r>
      <w:proofErr w:type="spellEnd"/>
      <w:r>
        <w:t xml:space="preserve">, D., </w:t>
      </w:r>
      <w:proofErr w:type="spellStart"/>
      <w:r>
        <w:t>Sobel</w:t>
      </w:r>
      <w:proofErr w:type="spellEnd"/>
      <w:r>
        <w:t xml:space="preserve">, J.M. &amp; </w:t>
      </w:r>
      <w:proofErr w:type="spellStart"/>
      <w:r>
        <w:t>Turelli</w:t>
      </w:r>
      <w:proofErr w:type="spellEnd"/>
      <w:r>
        <w:t>, M. (2007) Evolution and the latitudinal diversity gradient: speciation, extinction and biogeography.</w:t>
      </w:r>
      <w:r>
        <w:rPr>
          <w:i/>
          <w:iCs/>
        </w:rPr>
        <w:t xml:space="preserve"> Ecology Letters</w:t>
      </w:r>
      <w:r>
        <w:t>,</w:t>
      </w:r>
      <w:r>
        <w:rPr>
          <w:b/>
          <w:bCs/>
        </w:rPr>
        <w:t xml:space="preserve"> 10</w:t>
      </w:r>
      <w:r>
        <w:t xml:space="preserve">, 315-331. </w:t>
      </w:r>
    </w:p>
    <w:p w:rsidR="002A40DD" w:rsidRDefault="002A40DD" w:rsidP="002A40DD">
      <w:pPr>
        <w:pStyle w:val="NormalWeb"/>
      </w:pPr>
      <w:proofErr w:type="spellStart"/>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P., Stevens, M.H.H. &amp; Wagner, H. (2011) vegan: Community Ecology Package.</w:t>
      </w:r>
      <w:r>
        <w:rPr>
          <w:i/>
          <w:iCs/>
        </w:rPr>
        <w:t xml:space="preserve"> R package version 2.0-2.</w:t>
      </w:r>
      <w:proofErr w:type="gramStart"/>
      <w:r>
        <w:t xml:space="preserve">, </w:t>
      </w:r>
      <w:proofErr w:type="gramEnd"/>
      <w:r>
        <w:fldChar w:fldCharType="begin"/>
      </w:r>
      <w:r>
        <w:instrText xml:space="preserve"> HYPERLINK "http://CRAN.R-project.org/package=vegan" \t "_blank" </w:instrText>
      </w:r>
      <w:r>
        <w:fldChar w:fldCharType="separate"/>
      </w:r>
      <w:r>
        <w:rPr>
          <w:rStyle w:val="Hyperlink"/>
        </w:rPr>
        <w:t>http://CRAN.R-project.org/package=vegan</w:t>
      </w:r>
      <w:r>
        <w:fldChar w:fldCharType="end"/>
      </w:r>
      <w:r>
        <w:t xml:space="preserve">. </w:t>
      </w:r>
    </w:p>
    <w:p w:rsidR="002A40DD" w:rsidRDefault="002A40DD" w:rsidP="002A40DD">
      <w:pPr>
        <w:pStyle w:val="NormalWeb"/>
      </w:pPr>
      <w:proofErr w:type="spellStart"/>
      <w:r>
        <w:t>Paradis</w:t>
      </w:r>
      <w:proofErr w:type="spellEnd"/>
      <w:r>
        <w:t xml:space="preserve">, E., Claude, J. &amp; </w:t>
      </w:r>
      <w:proofErr w:type="spellStart"/>
      <w:r>
        <w:t>Strimmer</w:t>
      </w:r>
      <w:proofErr w:type="spellEnd"/>
      <w:r>
        <w:t xml:space="preserve">, K. (2004) APE: Analyses of </w:t>
      </w:r>
      <w:proofErr w:type="spellStart"/>
      <w:r>
        <w:t>Phylogenetics</w:t>
      </w:r>
      <w:proofErr w:type="spellEnd"/>
      <w:r>
        <w:t xml:space="preserve"> and Evolution in R language.</w:t>
      </w:r>
      <w:r>
        <w:rPr>
          <w:i/>
          <w:iCs/>
        </w:rPr>
        <w:t xml:space="preserve"> Bioinformatics</w:t>
      </w:r>
      <w:r>
        <w:t>,</w:t>
      </w:r>
      <w:r>
        <w:rPr>
          <w:b/>
          <w:bCs/>
        </w:rPr>
        <w:t xml:space="preserve"> 20</w:t>
      </w:r>
      <w:r>
        <w:t xml:space="preserve">, 289-290. </w:t>
      </w:r>
    </w:p>
    <w:p w:rsidR="002A40DD" w:rsidRDefault="002A40DD" w:rsidP="002A40DD">
      <w:pPr>
        <w:pStyle w:val="NormalWeb"/>
      </w:pPr>
      <w:r>
        <w:t>Parra, J.L., McGuire, J.A. &amp; Graham, C.H. (2010) Incorporating Clade Identity in Analyses of Phylogenetic Community Structure: An Example with Hummingbirds.</w:t>
      </w:r>
      <w:r>
        <w:rPr>
          <w:i/>
          <w:iCs/>
        </w:rPr>
        <w:t xml:space="preserve"> American Naturalist</w:t>
      </w:r>
      <w:r>
        <w:t>,</w:t>
      </w:r>
      <w:r>
        <w:rPr>
          <w:b/>
          <w:bCs/>
        </w:rPr>
        <w:t xml:space="preserve"> 176</w:t>
      </w:r>
      <w:r>
        <w:t xml:space="preserve">, 573-587. </w:t>
      </w:r>
    </w:p>
    <w:p w:rsidR="002A40DD" w:rsidRDefault="002A40DD" w:rsidP="002A40DD">
      <w:pPr>
        <w:pStyle w:val="NormalWeb"/>
      </w:pPr>
      <w:proofErr w:type="spellStart"/>
      <w:r>
        <w:t>Suggitt</w:t>
      </w:r>
      <w:proofErr w:type="spellEnd"/>
      <w:r>
        <w:t xml:space="preserve">, A.J., </w:t>
      </w:r>
      <w:proofErr w:type="spellStart"/>
      <w:r>
        <w:t>Gillingham</w:t>
      </w:r>
      <w:proofErr w:type="spellEnd"/>
      <w:r>
        <w:t xml:space="preserve">, P.K., Hill, J.K., Huntley, B., </w:t>
      </w:r>
      <w:proofErr w:type="spellStart"/>
      <w:r>
        <w:t>Kunin</w:t>
      </w:r>
      <w:proofErr w:type="spellEnd"/>
      <w:r>
        <w:t>, W.E., Roy, D.B. &amp; Thomas, C.D. (2011) Habitat microclimates drive fine-scale variation in extreme temperatures.</w:t>
      </w:r>
      <w:r>
        <w:rPr>
          <w:i/>
          <w:iCs/>
        </w:rPr>
        <w:t xml:space="preserve"> </w:t>
      </w:r>
      <w:proofErr w:type="spellStart"/>
      <w:r>
        <w:rPr>
          <w:i/>
          <w:iCs/>
        </w:rPr>
        <w:t>Oikos</w:t>
      </w:r>
      <w:proofErr w:type="spellEnd"/>
      <w:r>
        <w:t>,</w:t>
      </w:r>
      <w:r>
        <w:rPr>
          <w:b/>
          <w:bCs/>
        </w:rPr>
        <w:t xml:space="preserve"> 120</w:t>
      </w:r>
      <w:r>
        <w:t xml:space="preserve">, 1-8. </w:t>
      </w:r>
    </w:p>
    <w:p w:rsidR="002A40DD" w:rsidRDefault="002A40DD" w:rsidP="002A40DD">
      <w:pPr>
        <w:pStyle w:val="NormalWeb"/>
      </w:pPr>
      <w:r>
        <w:t xml:space="preserve">Swenson, N.G., </w:t>
      </w:r>
      <w:proofErr w:type="spellStart"/>
      <w:r>
        <w:t>Enquist</w:t>
      </w:r>
      <w:proofErr w:type="spellEnd"/>
      <w:r>
        <w:t xml:space="preserve">, B.J., </w:t>
      </w:r>
      <w:proofErr w:type="spellStart"/>
      <w:r>
        <w:t>Pither</w:t>
      </w:r>
      <w:proofErr w:type="spellEnd"/>
      <w:r>
        <w:t xml:space="preserve">, J., Thompson, J. &amp; Zimmerman, J.K. (2006) </w:t>
      </w:r>
      <w:proofErr w:type="gramStart"/>
      <w:r>
        <w:t>The</w:t>
      </w:r>
      <w:proofErr w:type="gramEnd"/>
      <w:r>
        <w:t xml:space="preserve"> problem and promise of scale dependency in community </w:t>
      </w:r>
      <w:proofErr w:type="spellStart"/>
      <w:r>
        <w:t>phylogenetics</w:t>
      </w:r>
      <w:proofErr w:type="spellEnd"/>
      <w:r>
        <w:t>.</w:t>
      </w:r>
      <w:r>
        <w:rPr>
          <w:i/>
          <w:iCs/>
        </w:rPr>
        <w:t xml:space="preserve"> Ecology</w:t>
      </w:r>
      <w:r>
        <w:t>,</w:t>
      </w:r>
      <w:r>
        <w:rPr>
          <w:b/>
          <w:bCs/>
        </w:rPr>
        <w:t xml:space="preserve"> 87</w:t>
      </w:r>
      <w:r>
        <w:t xml:space="preserve">, 2418-2424. </w:t>
      </w:r>
    </w:p>
    <w:p w:rsidR="002A40DD" w:rsidRDefault="002A40DD" w:rsidP="002A40DD">
      <w:pPr>
        <w:pStyle w:val="NormalWeb"/>
      </w:pPr>
      <w:proofErr w:type="gramStart"/>
      <w:r>
        <w:t>Swenson, N.G. (2009) Phylogenetic Resolution and Quantifying the Phylogenetic Diversity and Dispersion of Communities.</w:t>
      </w:r>
      <w:proofErr w:type="gramEnd"/>
      <w:r>
        <w:rPr>
          <w:i/>
          <w:iCs/>
        </w:rPr>
        <w:t xml:space="preserve"> </w:t>
      </w:r>
      <w:proofErr w:type="spellStart"/>
      <w:proofErr w:type="gramStart"/>
      <w:r>
        <w:rPr>
          <w:i/>
          <w:iCs/>
        </w:rPr>
        <w:t>Plos</w:t>
      </w:r>
      <w:proofErr w:type="spellEnd"/>
      <w:r>
        <w:rPr>
          <w:i/>
          <w:iCs/>
        </w:rPr>
        <w:t xml:space="preserve"> One</w:t>
      </w:r>
      <w:r>
        <w:t>,</w:t>
      </w:r>
      <w:r>
        <w:rPr>
          <w:b/>
          <w:bCs/>
        </w:rPr>
        <w:t xml:space="preserve"> 4</w:t>
      </w:r>
      <w:r>
        <w:t>.</w:t>
      </w:r>
      <w:proofErr w:type="gramEnd"/>
      <w:r>
        <w:t xml:space="preserve"> </w:t>
      </w:r>
    </w:p>
    <w:p w:rsidR="002A40DD" w:rsidRDefault="002A40DD" w:rsidP="002A40DD">
      <w:pPr>
        <w:pStyle w:val="NormalWeb"/>
      </w:pPr>
      <w:proofErr w:type="spellStart"/>
      <w:r>
        <w:t>Valiente-Banuet</w:t>
      </w:r>
      <w:proofErr w:type="spellEnd"/>
      <w:r>
        <w:t xml:space="preserve">, A. &amp; </w:t>
      </w:r>
      <w:proofErr w:type="spellStart"/>
      <w:r>
        <w:t>Verdu</w:t>
      </w:r>
      <w:proofErr w:type="spellEnd"/>
      <w:r>
        <w:t>, M. (2007) Facilitation can increase the phylogenetic diversity of plant communities.</w:t>
      </w:r>
      <w:r>
        <w:rPr>
          <w:i/>
          <w:iCs/>
        </w:rPr>
        <w:t xml:space="preserve"> Ecology Letters</w:t>
      </w:r>
      <w:r>
        <w:t>,</w:t>
      </w:r>
      <w:r>
        <w:rPr>
          <w:b/>
          <w:bCs/>
        </w:rPr>
        <w:t xml:space="preserve"> 10</w:t>
      </w:r>
      <w:r>
        <w:t xml:space="preserve">, 1029-1036. </w:t>
      </w:r>
    </w:p>
    <w:p w:rsidR="002A40DD" w:rsidRDefault="002A40DD" w:rsidP="002A40DD">
      <w:pPr>
        <w:pStyle w:val="NormalWeb"/>
      </w:pPr>
      <w:proofErr w:type="spellStart"/>
      <w:r>
        <w:t>Vamosi</w:t>
      </w:r>
      <w:proofErr w:type="spellEnd"/>
      <w:r>
        <w:t xml:space="preserve">, S.M., Heard, S.B., </w:t>
      </w:r>
      <w:proofErr w:type="spellStart"/>
      <w:r>
        <w:t>Vamosi</w:t>
      </w:r>
      <w:proofErr w:type="spellEnd"/>
      <w:r>
        <w:t>, J.C. &amp; Webb, C.O. (2009) Emerging patterns in the comparative analysis of phylogenetic community structure.</w:t>
      </w:r>
      <w:r>
        <w:rPr>
          <w:i/>
          <w:iCs/>
        </w:rPr>
        <w:t xml:space="preserve"> </w:t>
      </w:r>
      <w:proofErr w:type="gramStart"/>
      <w:r>
        <w:rPr>
          <w:i/>
          <w:iCs/>
        </w:rPr>
        <w:t>Molecular ecology</w:t>
      </w:r>
      <w:r>
        <w:t>,</w:t>
      </w:r>
      <w:r>
        <w:rPr>
          <w:b/>
          <w:bCs/>
        </w:rPr>
        <w:t xml:space="preserve"> 18</w:t>
      </w:r>
      <w:r>
        <w:t>, 572-592.</w:t>
      </w:r>
      <w:proofErr w:type="gramEnd"/>
      <w:r>
        <w:t xml:space="preserve"> </w:t>
      </w:r>
    </w:p>
    <w:p w:rsidR="002A40DD" w:rsidRDefault="002A40DD" w:rsidP="002A40DD">
      <w:pPr>
        <w:pStyle w:val="NormalWeb"/>
      </w:pPr>
      <w:proofErr w:type="spellStart"/>
      <w:proofErr w:type="gramStart"/>
      <w:r>
        <w:lastRenderedPageBreak/>
        <w:t>Venables</w:t>
      </w:r>
      <w:proofErr w:type="spellEnd"/>
      <w:r>
        <w:t>, W.N. &amp; Ripley, B.D. (2002)</w:t>
      </w:r>
      <w:r>
        <w:rPr>
          <w:i/>
          <w:iCs/>
        </w:rPr>
        <w:t xml:space="preserve"> Modern Applied Statistics with S</w:t>
      </w:r>
      <w:r>
        <w:t xml:space="preserve">, 4th </w:t>
      </w:r>
      <w:proofErr w:type="spellStart"/>
      <w:r>
        <w:t>edn</w:t>
      </w:r>
      <w:proofErr w:type="spellEnd"/>
      <w:r>
        <w:t>.</w:t>
      </w:r>
      <w:proofErr w:type="gramEnd"/>
      <w:r>
        <w:t xml:space="preserve"> </w:t>
      </w:r>
      <w:proofErr w:type="gramStart"/>
      <w:r>
        <w:t>Springer, New York.</w:t>
      </w:r>
      <w:proofErr w:type="gramEnd"/>
      <w:r>
        <w:t xml:space="preserve"> </w:t>
      </w:r>
    </w:p>
    <w:p w:rsidR="002A40DD" w:rsidRDefault="002A40DD" w:rsidP="002A40DD">
      <w:pPr>
        <w:pStyle w:val="NormalWeb"/>
      </w:pPr>
      <w:proofErr w:type="spellStart"/>
      <w:proofErr w:type="gramStart"/>
      <w:r>
        <w:t>Verdu</w:t>
      </w:r>
      <w:proofErr w:type="spellEnd"/>
      <w:r>
        <w:t xml:space="preserve">, M., Rey, P.J., </w:t>
      </w:r>
      <w:proofErr w:type="spellStart"/>
      <w:r>
        <w:t>Alcantara</w:t>
      </w:r>
      <w:proofErr w:type="spellEnd"/>
      <w:r>
        <w:t xml:space="preserve">, J.M., </w:t>
      </w:r>
      <w:proofErr w:type="spellStart"/>
      <w:r>
        <w:t>Siles</w:t>
      </w:r>
      <w:proofErr w:type="spellEnd"/>
      <w:r>
        <w:t xml:space="preserve">, G. &amp; </w:t>
      </w:r>
      <w:proofErr w:type="spellStart"/>
      <w:r>
        <w:t>Valiente-Banuet</w:t>
      </w:r>
      <w:proofErr w:type="spellEnd"/>
      <w:r>
        <w:t>, A. (2009) Phylogenetic signatures of facilitation and competition in successional communities.</w:t>
      </w:r>
      <w:proofErr w:type="gramEnd"/>
      <w:r>
        <w:rPr>
          <w:i/>
          <w:iCs/>
        </w:rPr>
        <w:t xml:space="preserve"> Journal of Ecology</w:t>
      </w:r>
      <w:r>
        <w:t>,</w:t>
      </w:r>
      <w:r>
        <w:rPr>
          <w:b/>
          <w:bCs/>
        </w:rPr>
        <w:t xml:space="preserve"> 97</w:t>
      </w:r>
      <w:r>
        <w:t xml:space="preserve">, 1171-1180. </w:t>
      </w:r>
    </w:p>
    <w:p w:rsidR="002A40DD" w:rsidRDefault="002A40DD" w:rsidP="002A40DD">
      <w:pPr>
        <w:pStyle w:val="NormalWeb"/>
      </w:pPr>
      <w:proofErr w:type="gramStart"/>
      <w:r>
        <w:t>Webb, C.O. (2000) Exploring the phylogenetic structure of ecological communities: An example for rain forest trees.</w:t>
      </w:r>
      <w:proofErr w:type="gramEnd"/>
      <w:r>
        <w:rPr>
          <w:i/>
          <w:iCs/>
        </w:rPr>
        <w:t xml:space="preserve"> American Naturalist</w:t>
      </w:r>
      <w:r>
        <w:t>,</w:t>
      </w:r>
      <w:r>
        <w:rPr>
          <w:b/>
          <w:bCs/>
        </w:rPr>
        <w:t xml:space="preserve"> 156</w:t>
      </w:r>
      <w:r>
        <w:t xml:space="preserve">, 145-155. </w:t>
      </w:r>
    </w:p>
    <w:p w:rsidR="002A40DD" w:rsidRDefault="002A40DD" w:rsidP="002A40DD">
      <w:pPr>
        <w:pStyle w:val="NormalWeb"/>
      </w:pPr>
      <w:proofErr w:type="gramStart"/>
      <w:r>
        <w:t xml:space="preserve">Webb, C.O., </w:t>
      </w:r>
      <w:proofErr w:type="spellStart"/>
      <w:r>
        <w:t>Ackerly</w:t>
      </w:r>
      <w:proofErr w:type="spellEnd"/>
      <w:r>
        <w:t xml:space="preserve">, D.D., </w:t>
      </w:r>
      <w:proofErr w:type="spellStart"/>
      <w:r>
        <w:t>McPeek</w:t>
      </w:r>
      <w:proofErr w:type="spellEnd"/>
      <w:r>
        <w:t>, M.A. &amp; Donoghue, M.J. (2002) Phylogenies and community ecology.</w:t>
      </w:r>
      <w:proofErr w:type="gramEnd"/>
      <w:r>
        <w:rPr>
          <w:i/>
          <w:iCs/>
        </w:rPr>
        <w:t xml:space="preserve"> Annual Review of Ecology and Systematics</w:t>
      </w:r>
      <w:r>
        <w:t>,</w:t>
      </w:r>
      <w:r>
        <w:rPr>
          <w:b/>
          <w:bCs/>
        </w:rPr>
        <w:t xml:space="preserve"> 33</w:t>
      </w:r>
      <w:r>
        <w:t xml:space="preserve">, 475-505. </w:t>
      </w:r>
    </w:p>
    <w:p w:rsidR="002A40DD" w:rsidRDefault="002A40DD" w:rsidP="002A40DD">
      <w:pPr>
        <w:pStyle w:val="NormalWeb"/>
      </w:pPr>
      <w:r>
        <w:t xml:space="preserve">Webb, C.O. &amp; Donoghue, M.J. (2005) </w:t>
      </w:r>
      <w:proofErr w:type="spellStart"/>
      <w:r>
        <w:t>Phylomatic</w:t>
      </w:r>
      <w:proofErr w:type="spellEnd"/>
      <w:r>
        <w:t xml:space="preserve">: tree assembly for applied </w:t>
      </w:r>
      <w:proofErr w:type="spellStart"/>
      <w:r>
        <w:t>phylogenetics</w:t>
      </w:r>
      <w:proofErr w:type="spellEnd"/>
      <w:r>
        <w:t>.</w:t>
      </w:r>
      <w:r>
        <w:rPr>
          <w:i/>
          <w:iCs/>
        </w:rPr>
        <w:t xml:space="preserve"> Molecular Ecology Notes</w:t>
      </w:r>
      <w:r>
        <w:t>,</w:t>
      </w:r>
      <w:r>
        <w:rPr>
          <w:b/>
          <w:bCs/>
        </w:rPr>
        <w:t xml:space="preserve"> 5</w:t>
      </w:r>
      <w:r>
        <w:t xml:space="preserve">, 181-183. </w:t>
      </w:r>
    </w:p>
    <w:p w:rsidR="002A40DD" w:rsidRDefault="002A40DD" w:rsidP="002A40DD">
      <w:pPr>
        <w:pStyle w:val="NormalWeb"/>
      </w:pPr>
      <w:r>
        <w:t xml:space="preserve">Webb, C.O., </w:t>
      </w:r>
      <w:proofErr w:type="spellStart"/>
      <w:r>
        <w:t>Ackerly</w:t>
      </w:r>
      <w:proofErr w:type="spellEnd"/>
      <w:r>
        <w:t xml:space="preserve">, D.D. &amp; </w:t>
      </w:r>
      <w:proofErr w:type="spellStart"/>
      <w:r>
        <w:t>Kembel</w:t>
      </w:r>
      <w:proofErr w:type="spellEnd"/>
      <w:r>
        <w:t xml:space="preserve">, S.W. (2008) </w:t>
      </w:r>
      <w:proofErr w:type="spellStart"/>
      <w:r>
        <w:t>Phylocom</w:t>
      </w:r>
      <w:proofErr w:type="spellEnd"/>
      <w:r>
        <w:t>: software for the analysis of phylogenetic community structure and trait evolution.</w:t>
      </w:r>
      <w:r>
        <w:rPr>
          <w:i/>
          <w:iCs/>
        </w:rPr>
        <w:t xml:space="preserve"> Bioinformatics</w:t>
      </w:r>
      <w:r>
        <w:t>,</w:t>
      </w:r>
      <w:r>
        <w:rPr>
          <w:b/>
          <w:bCs/>
        </w:rPr>
        <w:t xml:space="preserve"> 24</w:t>
      </w:r>
      <w:r>
        <w:t xml:space="preserve">, 2098-2100. </w:t>
      </w:r>
    </w:p>
    <w:p w:rsidR="002A40DD" w:rsidRDefault="002A40DD" w:rsidP="002A40DD">
      <w:pPr>
        <w:pStyle w:val="NormalWeb"/>
      </w:pPr>
      <w:proofErr w:type="spellStart"/>
      <w:r>
        <w:t>Wiens</w:t>
      </w:r>
      <w:proofErr w:type="spellEnd"/>
      <w:r>
        <w:t xml:space="preserve">, J.J., </w:t>
      </w:r>
      <w:proofErr w:type="spellStart"/>
      <w:r>
        <w:t>Ackerly</w:t>
      </w:r>
      <w:proofErr w:type="spellEnd"/>
      <w:r>
        <w:t xml:space="preserve">, D.D., Allen, A.P., </w:t>
      </w:r>
      <w:proofErr w:type="spellStart"/>
      <w:r>
        <w:t>Anacker</w:t>
      </w:r>
      <w:proofErr w:type="spellEnd"/>
      <w:r>
        <w:t xml:space="preserve">, B.L., Buckley, L.B., Cornell, H.V., </w:t>
      </w:r>
      <w:proofErr w:type="spellStart"/>
      <w:r>
        <w:t>Damschen</w:t>
      </w:r>
      <w:proofErr w:type="spellEnd"/>
      <w:r>
        <w:t xml:space="preserve">, E.I., Davies, T.J., </w:t>
      </w:r>
      <w:proofErr w:type="spellStart"/>
      <w:r>
        <w:t>Grytnes</w:t>
      </w:r>
      <w:proofErr w:type="spellEnd"/>
      <w:r>
        <w:t>, J.A., Harrison, S.P., Hawkins, B.A., Holt, R.D., McCain, C.M. &amp; Stephens, P.R. (2010) Niche conservatism as an emerging principle in ecology and conservation biology.</w:t>
      </w:r>
      <w:r>
        <w:rPr>
          <w:i/>
          <w:iCs/>
        </w:rPr>
        <w:t xml:space="preserve"> Ecology Letters</w:t>
      </w:r>
      <w:r>
        <w:t>,</w:t>
      </w:r>
      <w:r>
        <w:rPr>
          <w:b/>
          <w:bCs/>
        </w:rPr>
        <w:t xml:space="preserve"> 13</w:t>
      </w:r>
      <w:r>
        <w:t xml:space="preserve">, 1310-1324. </w:t>
      </w:r>
    </w:p>
    <w:p w:rsidR="002A40DD" w:rsidRDefault="002A40DD" w:rsidP="002A40DD">
      <w:pPr>
        <w:pStyle w:val="NormalWeb"/>
      </w:pPr>
      <w:proofErr w:type="spellStart"/>
      <w:r>
        <w:t>Wikstrom</w:t>
      </w:r>
      <w:proofErr w:type="spellEnd"/>
      <w:r>
        <w:t xml:space="preserve">, N., </w:t>
      </w:r>
      <w:proofErr w:type="spellStart"/>
      <w:r>
        <w:t>Savolainen</w:t>
      </w:r>
      <w:proofErr w:type="spellEnd"/>
      <w:r>
        <w:t>, V. &amp; Chase, M.W. (2001) Evolution of the angiosperms: calibrating the family tree.</w:t>
      </w:r>
      <w:r>
        <w:rPr>
          <w:i/>
          <w:iCs/>
        </w:rPr>
        <w:t xml:space="preserve"> Proceedings of the Royal Society B-Biological Sciences</w:t>
      </w:r>
      <w:r>
        <w:t>,</w:t>
      </w:r>
      <w:r>
        <w:rPr>
          <w:b/>
          <w:bCs/>
        </w:rPr>
        <w:t xml:space="preserve"> 268</w:t>
      </w:r>
      <w:r>
        <w:t xml:space="preserve">, 2211-2220. </w:t>
      </w:r>
    </w:p>
    <w:p w:rsidR="002A40DD" w:rsidRDefault="002A40DD" w:rsidP="002A40DD">
      <w:pPr>
        <w:pStyle w:val="NormalWeb"/>
      </w:pPr>
      <w:r>
        <w:t xml:space="preserve">Willis, C.G., </w:t>
      </w:r>
      <w:proofErr w:type="spellStart"/>
      <w:r>
        <w:t>Halina</w:t>
      </w:r>
      <w:proofErr w:type="spellEnd"/>
      <w:r>
        <w:t xml:space="preserve">, M., Lehman, C., Reich, P.B., Keen, A., McCarthy, S. &amp; </w:t>
      </w:r>
      <w:proofErr w:type="spellStart"/>
      <w:r>
        <w:t>Cavender</w:t>
      </w:r>
      <w:proofErr w:type="spellEnd"/>
      <w:r>
        <w:t>-Bares, J. (2010) Phylogenetic community structure in Minnesota oak savanna is influenced by spatial extent and environmental variation.</w:t>
      </w:r>
      <w:r>
        <w:rPr>
          <w:i/>
          <w:iCs/>
        </w:rPr>
        <w:t xml:space="preserve"> </w:t>
      </w:r>
      <w:proofErr w:type="spellStart"/>
      <w:r>
        <w:rPr>
          <w:i/>
          <w:iCs/>
        </w:rPr>
        <w:t>Ecography</w:t>
      </w:r>
      <w:proofErr w:type="spellEnd"/>
      <w:r>
        <w:t>,</w:t>
      </w:r>
      <w:r>
        <w:rPr>
          <w:b/>
          <w:bCs/>
        </w:rPr>
        <w:t xml:space="preserve"> 33</w:t>
      </w:r>
      <w:r>
        <w:t xml:space="preserve">, 565-577. </w:t>
      </w:r>
    </w:p>
    <w:p w:rsidR="009A20C5" w:rsidRDefault="002A40DD" w:rsidP="00A9605D">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C0025" w:rsidRPr="004C0025" w:rsidRDefault="004C0025" w:rsidP="00A9605D">
      <w:pPr>
        <w:spacing w:line="480" w:lineRule="auto"/>
        <w:rPr>
          <w:rFonts w:ascii="Times New Roman" w:hAnsi="Times New Roman" w:cs="Times New Roman"/>
          <w:b/>
          <w:sz w:val="24"/>
          <w:szCs w:val="24"/>
        </w:rPr>
      </w:pPr>
      <w:r w:rsidRPr="004C0025">
        <w:rPr>
          <w:rFonts w:ascii="Times New Roman" w:hAnsi="Times New Roman" w:cs="Times New Roman"/>
          <w:b/>
          <w:sz w:val="24"/>
          <w:szCs w:val="24"/>
        </w:rPr>
        <w:t>Supporting Information</w:t>
      </w:r>
    </w:p>
    <w:p w:rsidR="004C0025" w:rsidRDefault="004C0025" w:rsidP="004C0025">
      <w:pPr>
        <w:spacing w:line="480" w:lineRule="auto"/>
        <w:rPr>
          <w:rFonts w:ascii="Times New Roman" w:hAnsi="Times New Roman" w:cs="Times New Roman"/>
          <w:sz w:val="24"/>
          <w:szCs w:val="24"/>
        </w:rPr>
      </w:pPr>
      <w:r w:rsidRPr="00824C7F">
        <w:rPr>
          <w:rFonts w:ascii="Times New Roman" w:hAnsi="Times New Roman" w:cs="Times New Roman"/>
          <w:b/>
          <w:sz w:val="24"/>
          <w:szCs w:val="24"/>
        </w:rPr>
        <w:t>Appendix S1</w:t>
      </w:r>
      <w:r>
        <w:rPr>
          <w:rFonts w:ascii="Times New Roman" w:hAnsi="Times New Roman" w:cs="Times New Roman"/>
          <w:sz w:val="24"/>
          <w:szCs w:val="24"/>
        </w:rPr>
        <w:t xml:space="preserve"> Cushion species and site locations</w:t>
      </w:r>
    </w:p>
    <w:p w:rsidR="004C0025" w:rsidRDefault="004C0025" w:rsidP="004C0025">
      <w:pPr>
        <w:spacing w:line="480" w:lineRule="auto"/>
        <w:rPr>
          <w:rFonts w:ascii="Times New Roman" w:hAnsi="Times New Roman" w:cs="Times New Roman"/>
          <w:sz w:val="24"/>
          <w:szCs w:val="24"/>
        </w:rPr>
      </w:pPr>
      <w:r w:rsidRPr="0006779A">
        <w:rPr>
          <w:rFonts w:ascii="Times New Roman" w:hAnsi="Times New Roman" w:cs="Times New Roman"/>
          <w:b/>
          <w:sz w:val="24"/>
          <w:szCs w:val="24"/>
        </w:rPr>
        <w:t>Appendix S2</w:t>
      </w:r>
      <w:r>
        <w:rPr>
          <w:rFonts w:ascii="Times New Roman" w:hAnsi="Times New Roman" w:cs="Times New Roman"/>
          <w:sz w:val="24"/>
          <w:szCs w:val="24"/>
        </w:rPr>
        <w:t xml:space="preserve"> Phylogeny references</w:t>
      </w:r>
    </w:p>
    <w:p w:rsidR="004C0025" w:rsidRDefault="004C0025" w:rsidP="004C0025">
      <w:pPr>
        <w:spacing w:line="480" w:lineRule="auto"/>
        <w:rPr>
          <w:rFonts w:ascii="Times New Roman" w:hAnsi="Times New Roman" w:cs="Times New Roman"/>
          <w:sz w:val="24"/>
          <w:szCs w:val="24"/>
        </w:rPr>
      </w:pPr>
      <w:r w:rsidRPr="0006779A">
        <w:rPr>
          <w:rFonts w:ascii="Times New Roman" w:hAnsi="Times New Roman" w:cs="Times New Roman"/>
          <w:b/>
          <w:sz w:val="24"/>
          <w:szCs w:val="24"/>
        </w:rPr>
        <w:t>Appendix S3</w:t>
      </w:r>
      <w:r>
        <w:rPr>
          <w:rFonts w:ascii="Times New Roman" w:hAnsi="Times New Roman" w:cs="Times New Roman"/>
          <w:sz w:val="24"/>
          <w:szCs w:val="24"/>
        </w:rPr>
        <w:t xml:space="preserve"> </w:t>
      </w:r>
      <w:proofErr w:type="spellStart"/>
      <w:r>
        <w:rPr>
          <w:rFonts w:ascii="Times New Roman" w:hAnsi="Times New Roman" w:cs="Times New Roman"/>
          <w:sz w:val="24"/>
          <w:szCs w:val="24"/>
        </w:rPr>
        <w:t>Newick</w:t>
      </w:r>
      <w:proofErr w:type="spellEnd"/>
      <w:r>
        <w:rPr>
          <w:rFonts w:ascii="Times New Roman" w:hAnsi="Times New Roman" w:cs="Times New Roman"/>
          <w:sz w:val="24"/>
          <w:szCs w:val="24"/>
        </w:rPr>
        <w:t xml:space="preserve"> file</w:t>
      </w:r>
    </w:p>
    <w:p w:rsidR="004C0025" w:rsidRDefault="004C0025" w:rsidP="004C0025">
      <w:pPr>
        <w:spacing w:line="480" w:lineRule="auto"/>
        <w:rPr>
          <w:rFonts w:ascii="Times New Roman" w:hAnsi="Times New Roman" w:cs="Times New Roman"/>
          <w:sz w:val="24"/>
          <w:szCs w:val="24"/>
        </w:rPr>
      </w:pPr>
      <w:r w:rsidRPr="00565BB2">
        <w:rPr>
          <w:rFonts w:ascii="Times New Roman" w:hAnsi="Times New Roman" w:cs="Times New Roman"/>
          <w:b/>
          <w:sz w:val="24"/>
          <w:szCs w:val="24"/>
        </w:rPr>
        <w:t>Appendix S4</w:t>
      </w:r>
      <w:r>
        <w:rPr>
          <w:rFonts w:ascii="Times New Roman" w:hAnsi="Times New Roman" w:cs="Times New Roman"/>
          <w:sz w:val="24"/>
          <w:szCs w:val="24"/>
        </w:rPr>
        <w:t xml:space="preserve"> Phylogenetic signal and NRI distributions</w:t>
      </w:r>
    </w:p>
    <w:p w:rsidR="009A20C5" w:rsidRDefault="009A20C5" w:rsidP="00BA1540">
      <w:pPr>
        <w:rPr>
          <w:rFonts w:ascii="Times New Roman" w:hAnsi="Times New Roman" w:cs="Times New Roman"/>
          <w:b/>
          <w:sz w:val="24"/>
          <w:szCs w:val="24"/>
        </w:rPr>
      </w:pPr>
      <w:r>
        <w:rPr>
          <w:rFonts w:ascii="Times New Roman" w:hAnsi="Times New Roman" w:cs="Times New Roman"/>
          <w:sz w:val="24"/>
          <w:szCs w:val="24"/>
        </w:rPr>
        <w:br w:type="page"/>
      </w:r>
      <w:r w:rsidRPr="00565BB2">
        <w:lastRenderedPageBreak/>
        <w:drawing>
          <wp:inline distT="0" distB="0" distL="0" distR="0" wp14:anchorId="770F831B" wp14:editId="292598D3">
            <wp:extent cx="8643189" cy="2932188"/>
            <wp:effectExtent l="0" t="1905"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648080" cy="2933847"/>
                    </a:xfrm>
                    <a:prstGeom prst="rect">
                      <a:avLst/>
                    </a:prstGeom>
                    <a:noFill/>
                    <a:ln>
                      <a:noFill/>
                    </a:ln>
                  </pic:spPr>
                </pic:pic>
              </a:graphicData>
            </a:graphic>
          </wp:inline>
        </w:drawing>
      </w:r>
    </w:p>
    <w:p w:rsidR="009A20C5" w:rsidRDefault="009A20C5" w:rsidP="009A20C5">
      <w:pPr>
        <w:spacing w:line="480" w:lineRule="auto"/>
        <w:rPr>
          <w:rFonts w:ascii="Times New Roman" w:hAnsi="Times New Roman" w:cs="Times New Roman"/>
          <w:sz w:val="24"/>
          <w:szCs w:val="24"/>
        </w:rPr>
      </w:pPr>
      <w:r w:rsidRPr="00565BB2">
        <w:lastRenderedPageBreak/>
        <w:drawing>
          <wp:inline distT="0" distB="0" distL="0" distR="0" wp14:anchorId="70CF1F86" wp14:editId="54F94E71">
            <wp:extent cx="5943600" cy="626590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65900"/>
                    </a:xfrm>
                    <a:prstGeom prst="rect">
                      <a:avLst/>
                    </a:prstGeom>
                    <a:noFill/>
                    <a:ln>
                      <a:noFill/>
                    </a:ln>
                  </pic:spPr>
                </pic:pic>
              </a:graphicData>
            </a:graphic>
          </wp:inline>
        </w:drawing>
      </w:r>
    </w:p>
    <w:p w:rsidR="009A20C5" w:rsidRDefault="009A20C5" w:rsidP="009A20C5">
      <w:pPr>
        <w:spacing w:line="480" w:lineRule="auto"/>
        <w:rPr>
          <w:rFonts w:ascii="Times New Roman" w:hAnsi="Times New Roman" w:cs="Times New Roman"/>
          <w:sz w:val="24"/>
          <w:szCs w:val="24"/>
        </w:rPr>
      </w:pPr>
      <w:proofErr w:type="gramStart"/>
      <w:r w:rsidRPr="005D21F0">
        <w:rPr>
          <w:rFonts w:ascii="Times New Roman" w:hAnsi="Times New Roman" w:cs="Times New Roman"/>
          <w:b/>
          <w:sz w:val="24"/>
          <w:szCs w:val="24"/>
        </w:rPr>
        <w:t>Table 2.</w:t>
      </w:r>
      <w:proofErr w:type="gramEnd"/>
      <w:r>
        <w:rPr>
          <w:rFonts w:ascii="Times New Roman" w:hAnsi="Times New Roman" w:cs="Times New Roman"/>
          <w:sz w:val="24"/>
          <w:szCs w:val="24"/>
        </w:rPr>
        <w:t xml:space="preserve"> General linear models for each net relatedness index metric</w:t>
      </w:r>
      <w:r w:rsidR="00BA1540">
        <w:rPr>
          <w:rFonts w:ascii="Times New Roman" w:hAnsi="Times New Roman" w:cs="Times New Roman"/>
          <w:sz w:val="24"/>
          <w:szCs w:val="24"/>
        </w:rPr>
        <w:t xml:space="preserve"> when compared to global (a) and local (b) phylogenies</w:t>
      </w:r>
      <w:r>
        <w:rPr>
          <w:rFonts w:ascii="Times New Roman" w:hAnsi="Times New Roman" w:cs="Times New Roman"/>
          <w:sz w:val="24"/>
          <w:szCs w:val="24"/>
        </w:rPr>
        <w:t xml:space="preserve">.  Grey boxes indicate that the associated predictor variable was not included in the </w:t>
      </w:r>
      <w:r w:rsidRPr="00C85283">
        <w:rPr>
          <w:rFonts w:ascii="Times New Roman" w:hAnsi="Times New Roman" w:cs="Times New Roman"/>
          <w:i/>
          <w:sz w:val="24"/>
          <w:szCs w:val="24"/>
        </w:rPr>
        <w:t>a priori</w:t>
      </w:r>
      <w:r>
        <w:rPr>
          <w:rFonts w:ascii="Times New Roman" w:hAnsi="Times New Roman" w:cs="Times New Roman"/>
          <w:sz w:val="24"/>
          <w:szCs w:val="24"/>
        </w:rPr>
        <w:t xml:space="preserve"> model.  Only P-values for variables that were retained in the best model for each variable and model class are shown.  The best model for each variable is indicated in </w:t>
      </w:r>
      <w:r>
        <w:rPr>
          <w:rFonts w:ascii="Times New Roman" w:hAnsi="Times New Roman" w:cs="Times New Roman"/>
          <w:sz w:val="24"/>
          <w:szCs w:val="24"/>
        </w:rPr>
        <w:lastRenderedPageBreak/>
        <w:t>bold in the “Model” column, based on a minimum ΔAIC of 2. A dash indicates no suitable model was found for that response variable and set of predictors.</w:t>
      </w: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rPr>
          <w:rFonts w:ascii="Times New Roman" w:hAnsi="Times New Roman" w:cs="Times New Roman"/>
          <w:sz w:val="24"/>
          <w:szCs w:val="24"/>
        </w:rPr>
      </w:pPr>
      <w:r>
        <w:rPr>
          <w:rFonts w:ascii="Times New Roman" w:hAnsi="Times New Roman" w:cs="Times New Roman"/>
          <w:sz w:val="24"/>
          <w:szCs w:val="24"/>
        </w:rPr>
        <w:br w:type="page"/>
      </w:r>
    </w:p>
    <w:p w:rsidR="009A20C5" w:rsidRDefault="009A20C5" w:rsidP="009A20C5">
      <w:pPr>
        <w:spacing w:line="480" w:lineRule="auto"/>
        <w:rPr>
          <w:rFonts w:ascii="Times New Roman" w:hAnsi="Times New Roman" w:cs="Times New Roman"/>
          <w:sz w:val="24"/>
          <w:szCs w:val="24"/>
        </w:rPr>
      </w:pPr>
      <w:proofErr w:type="gramStart"/>
      <w:r w:rsidRPr="005D21F0">
        <w:rPr>
          <w:rFonts w:ascii="Times New Roman" w:hAnsi="Times New Roman" w:cs="Times New Roman"/>
          <w:b/>
          <w:sz w:val="24"/>
          <w:szCs w:val="24"/>
        </w:rPr>
        <w:lastRenderedPageBreak/>
        <w:t>Figure 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Examples of relationships among α, β and γ phylogenetic structure.</w:t>
      </w:r>
      <w:proofErr w:type="gramEnd"/>
      <w:r>
        <w:rPr>
          <w:rFonts w:ascii="Times New Roman" w:hAnsi="Times New Roman" w:cs="Times New Roman"/>
          <w:sz w:val="24"/>
          <w:szCs w:val="24"/>
        </w:rPr>
        <w:t xml:space="preserve"> Microsite type II is interpreted as the microenvironment created by foundation species.  See text for comparisons.</w:t>
      </w:r>
    </w:p>
    <w:p w:rsidR="009A20C5" w:rsidRDefault="009A20C5" w:rsidP="009A20C5">
      <w:pPr>
        <w:spacing w:line="480" w:lineRule="auto"/>
        <w:rPr>
          <w:rFonts w:ascii="Times New Roman" w:hAnsi="Times New Roman" w:cs="Times New Roman"/>
          <w:sz w:val="24"/>
          <w:szCs w:val="24"/>
        </w:rPr>
      </w:pPr>
      <w:proofErr w:type="gramStart"/>
      <w:r w:rsidRPr="005D21F0">
        <w:rPr>
          <w:rFonts w:ascii="Times New Roman" w:hAnsi="Times New Roman" w:cs="Times New Roman"/>
          <w:b/>
          <w:sz w:val="24"/>
          <w:szCs w:val="24"/>
        </w:rPr>
        <w:t>Figure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Relationships between productivity and net relatedness index within open communities (a), between open and cushion communities (b), and the effect of cushion plants on total community relatedness (c) when compared to the global species pool.</w:t>
      </w:r>
      <w:proofErr w:type="gramEnd"/>
      <w:r>
        <w:rPr>
          <w:rFonts w:ascii="Times New Roman" w:hAnsi="Times New Roman" w:cs="Times New Roman"/>
          <w:sz w:val="24"/>
          <w:szCs w:val="24"/>
        </w:rPr>
        <w:t xml:space="preserve"> All relationships were significant at α = 0.05.</w:t>
      </w:r>
    </w:p>
    <w:p w:rsidR="009A20C5" w:rsidRDefault="009A20C5" w:rsidP="009A20C5">
      <w:pPr>
        <w:spacing w:line="480" w:lineRule="auto"/>
        <w:rPr>
          <w:rFonts w:ascii="Times New Roman" w:hAnsi="Times New Roman" w:cs="Times New Roman"/>
          <w:sz w:val="24"/>
          <w:szCs w:val="24"/>
        </w:rPr>
      </w:pPr>
      <w:proofErr w:type="gramStart"/>
      <w:r w:rsidRPr="005D21F0">
        <w:rPr>
          <w:rFonts w:ascii="Times New Roman" w:hAnsi="Times New Roman" w:cs="Times New Roman"/>
          <w:b/>
          <w:sz w:val="24"/>
          <w:szCs w:val="24"/>
        </w:rPr>
        <w:t>Figure 3.</w:t>
      </w:r>
      <w:proofErr w:type="gramEnd"/>
      <w:r>
        <w:rPr>
          <w:rFonts w:ascii="Times New Roman" w:hAnsi="Times New Roman" w:cs="Times New Roman"/>
          <w:sz w:val="24"/>
          <w:szCs w:val="24"/>
        </w:rPr>
        <w:t xml:space="preserve"> Relationships between cushion and open community net relatedness index when compared to the global (a) and local (b) species pools.  Both relationships were significant at α = 0.05.</w:t>
      </w:r>
    </w:p>
    <w:p w:rsidR="009A20C5" w:rsidRDefault="009A20C5" w:rsidP="009A20C5">
      <w:pPr>
        <w:spacing w:line="480" w:lineRule="auto"/>
        <w:rPr>
          <w:rFonts w:ascii="Times New Roman" w:hAnsi="Times New Roman" w:cs="Times New Roman"/>
          <w:sz w:val="24"/>
          <w:szCs w:val="24"/>
        </w:rPr>
      </w:pPr>
    </w:p>
    <w:p w:rsidR="009A20C5" w:rsidRDefault="009A20C5" w:rsidP="009A20C5">
      <w:pPr>
        <w:rPr>
          <w:rFonts w:ascii="Times New Roman" w:hAnsi="Times New Roman" w:cs="Times New Roman"/>
          <w:sz w:val="24"/>
          <w:szCs w:val="24"/>
        </w:rPr>
      </w:pPr>
      <w:r>
        <w:rPr>
          <w:rFonts w:ascii="Times New Roman" w:hAnsi="Times New Roman" w:cs="Times New Roman"/>
          <w:sz w:val="24"/>
          <w:szCs w:val="24"/>
        </w:rPr>
        <w:br w:type="page"/>
      </w:r>
    </w:p>
    <w:p w:rsidR="009A20C5" w:rsidRDefault="009A20C5" w:rsidP="009A20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 1</w:t>
      </w:r>
    </w:p>
    <w:p w:rsidR="009A20C5" w:rsidRDefault="009A20C5" w:rsidP="009A20C5">
      <w:pPr>
        <w:spacing w:line="480" w:lineRule="auto"/>
        <w:rPr>
          <w:rFonts w:ascii="Times New Roman" w:hAnsi="Times New Roman" w:cs="Times New Roman"/>
          <w:sz w:val="24"/>
          <w:szCs w:val="24"/>
        </w:rPr>
      </w:pPr>
      <w:r w:rsidRPr="00C4590D">
        <w:rPr>
          <w:noProof/>
        </w:rPr>
        <w:drawing>
          <wp:inline distT="0" distB="0" distL="0" distR="0" wp14:anchorId="7B431B24" wp14:editId="587528F7">
            <wp:extent cx="2047875"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2266950"/>
                    </a:xfrm>
                    <a:prstGeom prst="rect">
                      <a:avLst/>
                    </a:prstGeom>
                    <a:noFill/>
                    <a:ln>
                      <a:noFill/>
                    </a:ln>
                  </pic:spPr>
                </pic:pic>
              </a:graphicData>
            </a:graphic>
          </wp:inline>
        </w:drawing>
      </w: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 2</w:t>
      </w:r>
    </w:p>
    <w:p w:rsidR="009A20C5" w:rsidRDefault="009A20C5" w:rsidP="009A20C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B1735C" wp14:editId="2FA34BEB">
            <wp:extent cx="210312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_plots.BMP"/>
                    <pic:cNvPicPr/>
                  </pic:nvPicPr>
                  <pic:blipFill rotWithShape="1">
                    <a:blip r:embed="rId9" cstate="print">
                      <a:extLst>
                        <a:ext uri="{28A0092B-C50C-407E-A947-70E740481C1C}">
                          <a14:useLocalDpi xmlns:a14="http://schemas.microsoft.com/office/drawing/2010/main" val="0"/>
                        </a:ext>
                      </a:extLst>
                    </a:blip>
                    <a:srcRect t="6767"/>
                    <a:stretch/>
                  </pic:blipFill>
                  <pic:spPr bwMode="auto">
                    <a:xfrm>
                      <a:off x="0" y="0"/>
                      <a:ext cx="2103124" cy="4724409"/>
                    </a:xfrm>
                    <a:prstGeom prst="rect">
                      <a:avLst/>
                    </a:prstGeom>
                    <a:ln>
                      <a:noFill/>
                    </a:ln>
                    <a:extLst>
                      <a:ext uri="{53640926-AAD7-44D8-BBD7-CCE9431645EC}">
                        <a14:shadowObscured xmlns:a14="http://schemas.microsoft.com/office/drawing/2010/main"/>
                      </a:ext>
                    </a:extLst>
                  </pic:spPr>
                </pic:pic>
              </a:graphicData>
            </a:graphic>
          </wp:inline>
        </w:drawing>
      </w: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p>
    <w:p w:rsidR="009A20C5" w:rsidRDefault="009A20C5" w:rsidP="009A20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 3</w:t>
      </w:r>
    </w:p>
    <w:p w:rsidR="009A20C5" w:rsidRDefault="009A20C5" w:rsidP="009A20C5">
      <w:pPr>
        <w:spacing w:line="480" w:lineRule="auto"/>
        <w:rPr>
          <w:rFonts w:ascii="Times New Roman" w:hAnsi="Times New Roman" w:cs="Times New Roman"/>
          <w:sz w:val="24"/>
          <w:szCs w:val="24"/>
        </w:rPr>
      </w:pPr>
      <w:bookmarkStart w:id="3" w:name="_GoBack"/>
      <w:r>
        <w:rPr>
          <w:rFonts w:ascii="Times New Roman" w:hAnsi="Times New Roman" w:cs="Times New Roman"/>
          <w:noProof/>
          <w:sz w:val="24"/>
          <w:szCs w:val="24"/>
        </w:rPr>
        <w:drawing>
          <wp:inline distT="0" distB="0" distL="0" distR="0" wp14:anchorId="26A43264" wp14:editId="042DECC4">
            <wp:extent cx="2038350" cy="357954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_by_open.BMP"/>
                    <pic:cNvPicPr/>
                  </pic:nvPicPr>
                  <pic:blipFill rotWithShape="1">
                    <a:blip r:embed="rId10" cstate="print">
                      <a:extLst>
                        <a:ext uri="{28A0092B-C50C-407E-A947-70E740481C1C}">
                          <a14:useLocalDpi xmlns:a14="http://schemas.microsoft.com/office/drawing/2010/main" val="0"/>
                        </a:ext>
                      </a:extLst>
                    </a:blip>
                    <a:srcRect t="8963"/>
                    <a:stretch/>
                  </pic:blipFill>
                  <pic:spPr bwMode="auto">
                    <a:xfrm>
                      <a:off x="0" y="0"/>
                      <a:ext cx="2039116" cy="3580894"/>
                    </a:xfrm>
                    <a:prstGeom prst="rect">
                      <a:avLst/>
                    </a:prstGeom>
                    <a:ln>
                      <a:noFill/>
                    </a:ln>
                    <a:extLst>
                      <a:ext uri="{53640926-AAD7-44D8-BBD7-CCE9431645EC}">
                        <a14:shadowObscured xmlns:a14="http://schemas.microsoft.com/office/drawing/2010/main"/>
                      </a:ext>
                    </a:extLst>
                  </pic:spPr>
                </pic:pic>
              </a:graphicData>
            </a:graphic>
          </wp:inline>
        </w:drawing>
      </w:r>
      <w:bookmarkEnd w:id="3"/>
    </w:p>
    <w:p w:rsidR="002A40DD" w:rsidRPr="00A9605D" w:rsidRDefault="002A40DD">
      <w:pPr>
        <w:spacing w:line="480" w:lineRule="auto"/>
        <w:rPr>
          <w:rFonts w:ascii="Times New Roman" w:hAnsi="Times New Roman" w:cs="Times New Roman"/>
          <w:sz w:val="24"/>
          <w:szCs w:val="24"/>
        </w:rPr>
      </w:pPr>
    </w:p>
    <w:sectPr w:rsidR="002A40DD" w:rsidRPr="00A9605D" w:rsidSect="00AA780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d" w:date="2012-06-26T15:01:00Z" w:initials="B">
    <w:p w:rsidR="00C37342" w:rsidRDefault="00C37342" w:rsidP="00C84627">
      <w:pPr>
        <w:pStyle w:val="CommentText"/>
      </w:pPr>
      <w:r>
        <w:rPr>
          <w:rStyle w:val="CommentReference"/>
        </w:rPr>
        <w:annotationRef/>
      </w:r>
      <w:r w:rsidR="002A40DD">
        <w:t>Ben, please add your info</w:t>
      </w:r>
    </w:p>
  </w:comment>
  <w:comment w:id="1" w:author="Brad" w:date="2012-05-23T10:55:00Z" w:initials="B">
    <w:p w:rsidR="00C37342" w:rsidRDefault="00C37342">
      <w:pPr>
        <w:pStyle w:val="CommentText"/>
      </w:pPr>
      <w:r>
        <w:rPr>
          <w:rStyle w:val="CommentReference"/>
        </w:rPr>
        <w:annotationRef/>
      </w:r>
      <w:r>
        <w:t>Richard, has this changed?</w:t>
      </w:r>
    </w:p>
  </w:comment>
  <w:comment w:id="2" w:author="Brad" w:date="2012-06-26T10:50:00Z" w:initials="B">
    <w:p w:rsidR="005B1D47" w:rsidRDefault="005B1D47">
      <w:pPr>
        <w:pStyle w:val="CommentText"/>
      </w:pPr>
      <w:r>
        <w:rPr>
          <w:rStyle w:val="CommentReference"/>
        </w:rPr>
        <w:annotationRef/>
      </w:r>
      <w:r>
        <w:t xml:space="preserve">Ben, </w:t>
      </w:r>
      <w:proofErr w:type="spellStart"/>
      <w:r>
        <w:t>Lohen</w:t>
      </w:r>
      <w:proofErr w:type="spellEnd"/>
      <w:r>
        <w:t>, someone… can you fill this 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Arial-i">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627"/>
    <w:rsid w:val="000053E6"/>
    <w:rsid w:val="00005A90"/>
    <w:rsid w:val="00021E1B"/>
    <w:rsid w:val="0004358D"/>
    <w:rsid w:val="000461BB"/>
    <w:rsid w:val="000571C7"/>
    <w:rsid w:val="00057B6C"/>
    <w:rsid w:val="0006779A"/>
    <w:rsid w:val="000E7607"/>
    <w:rsid w:val="000F3542"/>
    <w:rsid w:val="000F6234"/>
    <w:rsid w:val="00101B77"/>
    <w:rsid w:val="00117CEF"/>
    <w:rsid w:val="001578AA"/>
    <w:rsid w:val="001648F8"/>
    <w:rsid w:val="001672A6"/>
    <w:rsid w:val="001A01BF"/>
    <w:rsid w:val="001A0A3C"/>
    <w:rsid w:val="001B17D3"/>
    <w:rsid w:val="001D08D5"/>
    <w:rsid w:val="001D4397"/>
    <w:rsid w:val="001F0AC9"/>
    <w:rsid w:val="001F4D03"/>
    <w:rsid w:val="00233825"/>
    <w:rsid w:val="002856C7"/>
    <w:rsid w:val="002A40DD"/>
    <w:rsid w:val="002B1A8F"/>
    <w:rsid w:val="002B7067"/>
    <w:rsid w:val="002F46AA"/>
    <w:rsid w:val="00307017"/>
    <w:rsid w:val="00321D1A"/>
    <w:rsid w:val="0032257A"/>
    <w:rsid w:val="0032558E"/>
    <w:rsid w:val="00325869"/>
    <w:rsid w:val="00343A86"/>
    <w:rsid w:val="00350C3B"/>
    <w:rsid w:val="003655F0"/>
    <w:rsid w:val="00370628"/>
    <w:rsid w:val="0037134E"/>
    <w:rsid w:val="003E571F"/>
    <w:rsid w:val="003E731E"/>
    <w:rsid w:val="0042148F"/>
    <w:rsid w:val="004459F4"/>
    <w:rsid w:val="00450518"/>
    <w:rsid w:val="00461845"/>
    <w:rsid w:val="004727F1"/>
    <w:rsid w:val="00481002"/>
    <w:rsid w:val="00484AF9"/>
    <w:rsid w:val="004A0416"/>
    <w:rsid w:val="004A27C9"/>
    <w:rsid w:val="004A2CB7"/>
    <w:rsid w:val="004B187C"/>
    <w:rsid w:val="004B22E8"/>
    <w:rsid w:val="004B4AE4"/>
    <w:rsid w:val="004B6073"/>
    <w:rsid w:val="004C0025"/>
    <w:rsid w:val="004D0296"/>
    <w:rsid w:val="004D0E97"/>
    <w:rsid w:val="004F0133"/>
    <w:rsid w:val="00522ABB"/>
    <w:rsid w:val="00537BDF"/>
    <w:rsid w:val="00545136"/>
    <w:rsid w:val="00565BB2"/>
    <w:rsid w:val="00581831"/>
    <w:rsid w:val="005B1D47"/>
    <w:rsid w:val="005C5135"/>
    <w:rsid w:val="005D21F0"/>
    <w:rsid w:val="005D4175"/>
    <w:rsid w:val="005F1AC9"/>
    <w:rsid w:val="005F5BF6"/>
    <w:rsid w:val="00603AB1"/>
    <w:rsid w:val="0060773F"/>
    <w:rsid w:val="00646ACE"/>
    <w:rsid w:val="00672397"/>
    <w:rsid w:val="006837E1"/>
    <w:rsid w:val="006C6364"/>
    <w:rsid w:val="006D3471"/>
    <w:rsid w:val="006D5393"/>
    <w:rsid w:val="006F2BAA"/>
    <w:rsid w:val="007202A9"/>
    <w:rsid w:val="007371CA"/>
    <w:rsid w:val="007615CB"/>
    <w:rsid w:val="007C6F75"/>
    <w:rsid w:val="00815127"/>
    <w:rsid w:val="00824C7F"/>
    <w:rsid w:val="00830B0F"/>
    <w:rsid w:val="00863E2F"/>
    <w:rsid w:val="008B704F"/>
    <w:rsid w:val="008C0E02"/>
    <w:rsid w:val="008C61A2"/>
    <w:rsid w:val="008D31DB"/>
    <w:rsid w:val="008F7C80"/>
    <w:rsid w:val="0091028C"/>
    <w:rsid w:val="00926E86"/>
    <w:rsid w:val="00943D3C"/>
    <w:rsid w:val="00956C0F"/>
    <w:rsid w:val="00962085"/>
    <w:rsid w:val="00977CED"/>
    <w:rsid w:val="009A0655"/>
    <w:rsid w:val="009A20C5"/>
    <w:rsid w:val="009A690C"/>
    <w:rsid w:val="009B1339"/>
    <w:rsid w:val="009F42A8"/>
    <w:rsid w:val="00A46090"/>
    <w:rsid w:val="00A51CBD"/>
    <w:rsid w:val="00A64454"/>
    <w:rsid w:val="00A722DB"/>
    <w:rsid w:val="00A85F05"/>
    <w:rsid w:val="00A9605D"/>
    <w:rsid w:val="00A96DFC"/>
    <w:rsid w:val="00AA780B"/>
    <w:rsid w:val="00AE4EB9"/>
    <w:rsid w:val="00AE5073"/>
    <w:rsid w:val="00AF3D41"/>
    <w:rsid w:val="00B2415E"/>
    <w:rsid w:val="00B24758"/>
    <w:rsid w:val="00B5450D"/>
    <w:rsid w:val="00B97FF2"/>
    <w:rsid w:val="00BA1540"/>
    <w:rsid w:val="00BB35E5"/>
    <w:rsid w:val="00C17D2D"/>
    <w:rsid w:val="00C37342"/>
    <w:rsid w:val="00C4590D"/>
    <w:rsid w:val="00C57D77"/>
    <w:rsid w:val="00C84627"/>
    <w:rsid w:val="00C85283"/>
    <w:rsid w:val="00CC070A"/>
    <w:rsid w:val="00CE0A12"/>
    <w:rsid w:val="00CE561B"/>
    <w:rsid w:val="00CF6A26"/>
    <w:rsid w:val="00D00860"/>
    <w:rsid w:val="00D06A77"/>
    <w:rsid w:val="00D34B42"/>
    <w:rsid w:val="00D91B0C"/>
    <w:rsid w:val="00DB1CD5"/>
    <w:rsid w:val="00DB1E61"/>
    <w:rsid w:val="00DC7A6F"/>
    <w:rsid w:val="00E014DC"/>
    <w:rsid w:val="00E058E2"/>
    <w:rsid w:val="00E15C92"/>
    <w:rsid w:val="00E3760B"/>
    <w:rsid w:val="00E52CEC"/>
    <w:rsid w:val="00E759AC"/>
    <w:rsid w:val="00E832AC"/>
    <w:rsid w:val="00E83780"/>
    <w:rsid w:val="00E8532E"/>
    <w:rsid w:val="00EC3215"/>
    <w:rsid w:val="00EF48E9"/>
    <w:rsid w:val="00F83A7F"/>
    <w:rsid w:val="00F84DA6"/>
    <w:rsid w:val="00F959AF"/>
    <w:rsid w:val="00FA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627"/>
    <w:pPr>
      <w:spacing w:after="0" w:line="240" w:lineRule="auto"/>
    </w:pPr>
  </w:style>
  <w:style w:type="character" w:styleId="CommentReference">
    <w:name w:val="annotation reference"/>
    <w:basedOn w:val="DefaultParagraphFont"/>
    <w:rsid w:val="00C84627"/>
    <w:rPr>
      <w:sz w:val="16"/>
      <w:szCs w:val="16"/>
    </w:rPr>
  </w:style>
  <w:style w:type="paragraph" w:styleId="CommentText">
    <w:name w:val="annotation text"/>
    <w:basedOn w:val="Normal"/>
    <w:link w:val="CommentTextChar"/>
    <w:rsid w:val="00C84627"/>
    <w:rPr>
      <w:rFonts w:ascii="Calibri" w:eastAsia="Times New Roman" w:hAnsi="Calibri" w:cs="Times New Roman"/>
      <w:sz w:val="20"/>
      <w:szCs w:val="20"/>
    </w:rPr>
  </w:style>
  <w:style w:type="character" w:customStyle="1" w:styleId="CommentTextChar">
    <w:name w:val="Comment Text Char"/>
    <w:basedOn w:val="DefaultParagraphFont"/>
    <w:link w:val="CommentText"/>
    <w:rsid w:val="00C84627"/>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84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62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84627"/>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84627"/>
    <w:rPr>
      <w:rFonts w:ascii="Calibri" w:eastAsia="Times New Roman" w:hAnsi="Calibri" w:cs="Times New Roman"/>
      <w:b/>
      <w:bCs/>
      <w:sz w:val="20"/>
      <w:szCs w:val="20"/>
    </w:rPr>
  </w:style>
  <w:style w:type="paragraph" w:styleId="ListParagraph">
    <w:name w:val="List Paragraph"/>
    <w:basedOn w:val="Normal"/>
    <w:uiPriority w:val="34"/>
    <w:qFormat/>
    <w:rsid w:val="00E3760B"/>
    <w:pPr>
      <w:ind w:left="720"/>
      <w:contextualSpacing/>
    </w:pPr>
  </w:style>
  <w:style w:type="character" w:styleId="LineNumber">
    <w:name w:val="line number"/>
    <w:basedOn w:val="DefaultParagraphFont"/>
    <w:uiPriority w:val="99"/>
    <w:semiHidden/>
    <w:unhideWhenUsed/>
    <w:rsid w:val="00AA780B"/>
  </w:style>
  <w:style w:type="paragraph" w:styleId="NormalWeb">
    <w:name w:val="Normal (Web)"/>
    <w:basedOn w:val="Normal"/>
    <w:uiPriority w:val="99"/>
    <w:semiHidden/>
    <w:unhideWhenUsed/>
    <w:rsid w:val="009A20C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9A20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627"/>
    <w:pPr>
      <w:spacing w:after="0" w:line="240" w:lineRule="auto"/>
    </w:pPr>
  </w:style>
  <w:style w:type="character" w:styleId="CommentReference">
    <w:name w:val="annotation reference"/>
    <w:basedOn w:val="DefaultParagraphFont"/>
    <w:rsid w:val="00C84627"/>
    <w:rPr>
      <w:sz w:val="16"/>
      <w:szCs w:val="16"/>
    </w:rPr>
  </w:style>
  <w:style w:type="paragraph" w:styleId="CommentText">
    <w:name w:val="annotation text"/>
    <w:basedOn w:val="Normal"/>
    <w:link w:val="CommentTextChar"/>
    <w:rsid w:val="00C84627"/>
    <w:rPr>
      <w:rFonts w:ascii="Calibri" w:eastAsia="Times New Roman" w:hAnsi="Calibri" w:cs="Times New Roman"/>
      <w:sz w:val="20"/>
      <w:szCs w:val="20"/>
    </w:rPr>
  </w:style>
  <w:style w:type="character" w:customStyle="1" w:styleId="CommentTextChar">
    <w:name w:val="Comment Text Char"/>
    <w:basedOn w:val="DefaultParagraphFont"/>
    <w:link w:val="CommentText"/>
    <w:rsid w:val="00C84627"/>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84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62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84627"/>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84627"/>
    <w:rPr>
      <w:rFonts w:ascii="Calibri" w:eastAsia="Times New Roman" w:hAnsi="Calibri" w:cs="Times New Roman"/>
      <w:b/>
      <w:bCs/>
      <w:sz w:val="20"/>
      <w:szCs w:val="20"/>
    </w:rPr>
  </w:style>
  <w:style w:type="paragraph" w:styleId="ListParagraph">
    <w:name w:val="List Paragraph"/>
    <w:basedOn w:val="Normal"/>
    <w:uiPriority w:val="34"/>
    <w:qFormat/>
    <w:rsid w:val="00E3760B"/>
    <w:pPr>
      <w:ind w:left="720"/>
      <w:contextualSpacing/>
    </w:pPr>
  </w:style>
  <w:style w:type="character" w:styleId="LineNumber">
    <w:name w:val="line number"/>
    <w:basedOn w:val="DefaultParagraphFont"/>
    <w:uiPriority w:val="99"/>
    <w:semiHidden/>
    <w:unhideWhenUsed/>
    <w:rsid w:val="00AA780B"/>
  </w:style>
  <w:style w:type="paragraph" w:styleId="NormalWeb">
    <w:name w:val="Normal (Web)"/>
    <w:basedOn w:val="Normal"/>
    <w:uiPriority w:val="99"/>
    <w:semiHidden/>
    <w:unhideWhenUsed/>
    <w:rsid w:val="009A20C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9A2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0407">
      <w:bodyDiv w:val="1"/>
      <w:marLeft w:val="0"/>
      <w:marRight w:val="0"/>
      <w:marTop w:val="0"/>
      <w:marBottom w:val="0"/>
      <w:divBdr>
        <w:top w:val="none" w:sz="0" w:space="0" w:color="auto"/>
        <w:left w:val="none" w:sz="0" w:space="0" w:color="auto"/>
        <w:bottom w:val="none" w:sz="0" w:space="0" w:color="auto"/>
        <w:right w:val="none" w:sz="0" w:space="0" w:color="auto"/>
      </w:divBdr>
    </w:div>
    <w:div w:id="69083393">
      <w:bodyDiv w:val="1"/>
      <w:marLeft w:val="0"/>
      <w:marRight w:val="0"/>
      <w:marTop w:val="0"/>
      <w:marBottom w:val="0"/>
      <w:divBdr>
        <w:top w:val="none" w:sz="0" w:space="0" w:color="auto"/>
        <w:left w:val="none" w:sz="0" w:space="0" w:color="auto"/>
        <w:bottom w:val="none" w:sz="0" w:space="0" w:color="auto"/>
        <w:right w:val="none" w:sz="0" w:space="0" w:color="auto"/>
      </w:divBdr>
    </w:div>
    <w:div w:id="132914587">
      <w:bodyDiv w:val="1"/>
      <w:marLeft w:val="0"/>
      <w:marRight w:val="0"/>
      <w:marTop w:val="0"/>
      <w:marBottom w:val="0"/>
      <w:divBdr>
        <w:top w:val="none" w:sz="0" w:space="0" w:color="auto"/>
        <w:left w:val="none" w:sz="0" w:space="0" w:color="auto"/>
        <w:bottom w:val="none" w:sz="0" w:space="0" w:color="auto"/>
        <w:right w:val="none" w:sz="0" w:space="0" w:color="auto"/>
      </w:divBdr>
    </w:div>
    <w:div w:id="134566938">
      <w:bodyDiv w:val="1"/>
      <w:marLeft w:val="0"/>
      <w:marRight w:val="0"/>
      <w:marTop w:val="0"/>
      <w:marBottom w:val="0"/>
      <w:divBdr>
        <w:top w:val="none" w:sz="0" w:space="0" w:color="auto"/>
        <w:left w:val="none" w:sz="0" w:space="0" w:color="auto"/>
        <w:bottom w:val="none" w:sz="0" w:space="0" w:color="auto"/>
        <w:right w:val="none" w:sz="0" w:space="0" w:color="auto"/>
      </w:divBdr>
    </w:div>
    <w:div w:id="157695497">
      <w:bodyDiv w:val="1"/>
      <w:marLeft w:val="0"/>
      <w:marRight w:val="0"/>
      <w:marTop w:val="0"/>
      <w:marBottom w:val="0"/>
      <w:divBdr>
        <w:top w:val="none" w:sz="0" w:space="0" w:color="auto"/>
        <w:left w:val="none" w:sz="0" w:space="0" w:color="auto"/>
        <w:bottom w:val="none" w:sz="0" w:space="0" w:color="auto"/>
        <w:right w:val="none" w:sz="0" w:space="0" w:color="auto"/>
      </w:divBdr>
    </w:div>
    <w:div w:id="170220427">
      <w:bodyDiv w:val="1"/>
      <w:marLeft w:val="0"/>
      <w:marRight w:val="0"/>
      <w:marTop w:val="0"/>
      <w:marBottom w:val="0"/>
      <w:divBdr>
        <w:top w:val="none" w:sz="0" w:space="0" w:color="auto"/>
        <w:left w:val="none" w:sz="0" w:space="0" w:color="auto"/>
        <w:bottom w:val="none" w:sz="0" w:space="0" w:color="auto"/>
        <w:right w:val="none" w:sz="0" w:space="0" w:color="auto"/>
      </w:divBdr>
    </w:div>
    <w:div w:id="172575125">
      <w:bodyDiv w:val="1"/>
      <w:marLeft w:val="0"/>
      <w:marRight w:val="0"/>
      <w:marTop w:val="0"/>
      <w:marBottom w:val="0"/>
      <w:divBdr>
        <w:top w:val="none" w:sz="0" w:space="0" w:color="auto"/>
        <w:left w:val="none" w:sz="0" w:space="0" w:color="auto"/>
        <w:bottom w:val="none" w:sz="0" w:space="0" w:color="auto"/>
        <w:right w:val="none" w:sz="0" w:space="0" w:color="auto"/>
      </w:divBdr>
    </w:div>
    <w:div w:id="279920441">
      <w:bodyDiv w:val="1"/>
      <w:marLeft w:val="0"/>
      <w:marRight w:val="0"/>
      <w:marTop w:val="0"/>
      <w:marBottom w:val="0"/>
      <w:divBdr>
        <w:top w:val="none" w:sz="0" w:space="0" w:color="auto"/>
        <w:left w:val="none" w:sz="0" w:space="0" w:color="auto"/>
        <w:bottom w:val="none" w:sz="0" w:space="0" w:color="auto"/>
        <w:right w:val="none" w:sz="0" w:space="0" w:color="auto"/>
      </w:divBdr>
    </w:div>
    <w:div w:id="289358637">
      <w:bodyDiv w:val="1"/>
      <w:marLeft w:val="0"/>
      <w:marRight w:val="0"/>
      <w:marTop w:val="0"/>
      <w:marBottom w:val="0"/>
      <w:divBdr>
        <w:top w:val="none" w:sz="0" w:space="0" w:color="auto"/>
        <w:left w:val="none" w:sz="0" w:space="0" w:color="auto"/>
        <w:bottom w:val="none" w:sz="0" w:space="0" w:color="auto"/>
        <w:right w:val="none" w:sz="0" w:space="0" w:color="auto"/>
      </w:divBdr>
    </w:div>
    <w:div w:id="350961832">
      <w:bodyDiv w:val="1"/>
      <w:marLeft w:val="0"/>
      <w:marRight w:val="0"/>
      <w:marTop w:val="0"/>
      <w:marBottom w:val="0"/>
      <w:divBdr>
        <w:top w:val="none" w:sz="0" w:space="0" w:color="auto"/>
        <w:left w:val="none" w:sz="0" w:space="0" w:color="auto"/>
        <w:bottom w:val="none" w:sz="0" w:space="0" w:color="auto"/>
        <w:right w:val="none" w:sz="0" w:space="0" w:color="auto"/>
      </w:divBdr>
    </w:div>
    <w:div w:id="449277500">
      <w:bodyDiv w:val="1"/>
      <w:marLeft w:val="0"/>
      <w:marRight w:val="0"/>
      <w:marTop w:val="0"/>
      <w:marBottom w:val="0"/>
      <w:divBdr>
        <w:top w:val="none" w:sz="0" w:space="0" w:color="auto"/>
        <w:left w:val="none" w:sz="0" w:space="0" w:color="auto"/>
        <w:bottom w:val="none" w:sz="0" w:space="0" w:color="auto"/>
        <w:right w:val="none" w:sz="0" w:space="0" w:color="auto"/>
      </w:divBdr>
    </w:div>
    <w:div w:id="475533785">
      <w:bodyDiv w:val="1"/>
      <w:marLeft w:val="0"/>
      <w:marRight w:val="0"/>
      <w:marTop w:val="0"/>
      <w:marBottom w:val="0"/>
      <w:divBdr>
        <w:top w:val="none" w:sz="0" w:space="0" w:color="auto"/>
        <w:left w:val="none" w:sz="0" w:space="0" w:color="auto"/>
        <w:bottom w:val="none" w:sz="0" w:space="0" w:color="auto"/>
        <w:right w:val="none" w:sz="0" w:space="0" w:color="auto"/>
      </w:divBdr>
    </w:div>
    <w:div w:id="535967279">
      <w:bodyDiv w:val="1"/>
      <w:marLeft w:val="0"/>
      <w:marRight w:val="0"/>
      <w:marTop w:val="0"/>
      <w:marBottom w:val="0"/>
      <w:divBdr>
        <w:top w:val="none" w:sz="0" w:space="0" w:color="auto"/>
        <w:left w:val="none" w:sz="0" w:space="0" w:color="auto"/>
        <w:bottom w:val="none" w:sz="0" w:space="0" w:color="auto"/>
        <w:right w:val="none" w:sz="0" w:space="0" w:color="auto"/>
      </w:divBdr>
    </w:div>
    <w:div w:id="601499158">
      <w:bodyDiv w:val="1"/>
      <w:marLeft w:val="0"/>
      <w:marRight w:val="0"/>
      <w:marTop w:val="0"/>
      <w:marBottom w:val="0"/>
      <w:divBdr>
        <w:top w:val="none" w:sz="0" w:space="0" w:color="auto"/>
        <w:left w:val="none" w:sz="0" w:space="0" w:color="auto"/>
        <w:bottom w:val="none" w:sz="0" w:space="0" w:color="auto"/>
        <w:right w:val="none" w:sz="0" w:space="0" w:color="auto"/>
      </w:divBdr>
    </w:div>
    <w:div w:id="609507878">
      <w:bodyDiv w:val="1"/>
      <w:marLeft w:val="0"/>
      <w:marRight w:val="0"/>
      <w:marTop w:val="0"/>
      <w:marBottom w:val="0"/>
      <w:divBdr>
        <w:top w:val="none" w:sz="0" w:space="0" w:color="auto"/>
        <w:left w:val="none" w:sz="0" w:space="0" w:color="auto"/>
        <w:bottom w:val="none" w:sz="0" w:space="0" w:color="auto"/>
        <w:right w:val="none" w:sz="0" w:space="0" w:color="auto"/>
      </w:divBdr>
    </w:div>
    <w:div w:id="624890088">
      <w:bodyDiv w:val="1"/>
      <w:marLeft w:val="0"/>
      <w:marRight w:val="0"/>
      <w:marTop w:val="0"/>
      <w:marBottom w:val="0"/>
      <w:divBdr>
        <w:top w:val="none" w:sz="0" w:space="0" w:color="auto"/>
        <w:left w:val="none" w:sz="0" w:space="0" w:color="auto"/>
        <w:bottom w:val="none" w:sz="0" w:space="0" w:color="auto"/>
        <w:right w:val="none" w:sz="0" w:space="0" w:color="auto"/>
      </w:divBdr>
    </w:div>
    <w:div w:id="632952977">
      <w:bodyDiv w:val="1"/>
      <w:marLeft w:val="0"/>
      <w:marRight w:val="0"/>
      <w:marTop w:val="0"/>
      <w:marBottom w:val="0"/>
      <w:divBdr>
        <w:top w:val="none" w:sz="0" w:space="0" w:color="auto"/>
        <w:left w:val="none" w:sz="0" w:space="0" w:color="auto"/>
        <w:bottom w:val="none" w:sz="0" w:space="0" w:color="auto"/>
        <w:right w:val="none" w:sz="0" w:space="0" w:color="auto"/>
      </w:divBdr>
    </w:div>
    <w:div w:id="660743845">
      <w:bodyDiv w:val="1"/>
      <w:marLeft w:val="0"/>
      <w:marRight w:val="0"/>
      <w:marTop w:val="0"/>
      <w:marBottom w:val="0"/>
      <w:divBdr>
        <w:top w:val="none" w:sz="0" w:space="0" w:color="auto"/>
        <w:left w:val="none" w:sz="0" w:space="0" w:color="auto"/>
        <w:bottom w:val="none" w:sz="0" w:space="0" w:color="auto"/>
        <w:right w:val="none" w:sz="0" w:space="0" w:color="auto"/>
      </w:divBdr>
    </w:div>
    <w:div w:id="687214530">
      <w:bodyDiv w:val="1"/>
      <w:marLeft w:val="0"/>
      <w:marRight w:val="0"/>
      <w:marTop w:val="0"/>
      <w:marBottom w:val="0"/>
      <w:divBdr>
        <w:top w:val="none" w:sz="0" w:space="0" w:color="auto"/>
        <w:left w:val="none" w:sz="0" w:space="0" w:color="auto"/>
        <w:bottom w:val="none" w:sz="0" w:space="0" w:color="auto"/>
        <w:right w:val="none" w:sz="0" w:space="0" w:color="auto"/>
      </w:divBdr>
    </w:div>
    <w:div w:id="729839748">
      <w:bodyDiv w:val="1"/>
      <w:marLeft w:val="0"/>
      <w:marRight w:val="0"/>
      <w:marTop w:val="0"/>
      <w:marBottom w:val="0"/>
      <w:divBdr>
        <w:top w:val="none" w:sz="0" w:space="0" w:color="auto"/>
        <w:left w:val="none" w:sz="0" w:space="0" w:color="auto"/>
        <w:bottom w:val="none" w:sz="0" w:space="0" w:color="auto"/>
        <w:right w:val="none" w:sz="0" w:space="0" w:color="auto"/>
      </w:divBdr>
    </w:div>
    <w:div w:id="745958549">
      <w:bodyDiv w:val="1"/>
      <w:marLeft w:val="0"/>
      <w:marRight w:val="0"/>
      <w:marTop w:val="0"/>
      <w:marBottom w:val="0"/>
      <w:divBdr>
        <w:top w:val="none" w:sz="0" w:space="0" w:color="auto"/>
        <w:left w:val="none" w:sz="0" w:space="0" w:color="auto"/>
        <w:bottom w:val="none" w:sz="0" w:space="0" w:color="auto"/>
        <w:right w:val="none" w:sz="0" w:space="0" w:color="auto"/>
      </w:divBdr>
    </w:div>
    <w:div w:id="749236152">
      <w:bodyDiv w:val="1"/>
      <w:marLeft w:val="0"/>
      <w:marRight w:val="0"/>
      <w:marTop w:val="0"/>
      <w:marBottom w:val="0"/>
      <w:divBdr>
        <w:top w:val="none" w:sz="0" w:space="0" w:color="auto"/>
        <w:left w:val="none" w:sz="0" w:space="0" w:color="auto"/>
        <w:bottom w:val="none" w:sz="0" w:space="0" w:color="auto"/>
        <w:right w:val="none" w:sz="0" w:space="0" w:color="auto"/>
      </w:divBdr>
    </w:div>
    <w:div w:id="749666693">
      <w:bodyDiv w:val="1"/>
      <w:marLeft w:val="0"/>
      <w:marRight w:val="0"/>
      <w:marTop w:val="0"/>
      <w:marBottom w:val="0"/>
      <w:divBdr>
        <w:top w:val="none" w:sz="0" w:space="0" w:color="auto"/>
        <w:left w:val="none" w:sz="0" w:space="0" w:color="auto"/>
        <w:bottom w:val="none" w:sz="0" w:space="0" w:color="auto"/>
        <w:right w:val="none" w:sz="0" w:space="0" w:color="auto"/>
      </w:divBdr>
    </w:div>
    <w:div w:id="752288455">
      <w:bodyDiv w:val="1"/>
      <w:marLeft w:val="0"/>
      <w:marRight w:val="0"/>
      <w:marTop w:val="0"/>
      <w:marBottom w:val="0"/>
      <w:divBdr>
        <w:top w:val="none" w:sz="0" w:space="0" w:color="auto"/>
        <w:left w:val="none" w:sz="0" w:space="0" w:color="auto"/>
        <w:bottom w:val="none" w:sz="0" w:space="0" w:color="auto"/>
        <w:right w:val="none" w:sz="0" w:space="0" w:color="auto"/>
      </w:divBdr>
    </w:div>
    <w:div w:id="756634049">
      <w:bodyDiv w:val="1"/>
      <w:marLeft w:val="0"/>
      <w:marRight w:val="0"/>
      <w:marTop w:val="0"/>
      <w:marBottom w:val="0"/>
      <w:divBdr>
        <w:top w:val="none" w:sz="0" w:space="0" w:color="auto"/>
        <w:left w:val="none" w:sz="0" w:space="0" w:color="auto"/>
        <w:bottom w:val="none" w:sz="0" w:space="0" w:color="auto"/>
        <w:right w:val="none" w:sz="0" w:space="0" w:color="auto"/>
      </w:divBdr>
    </w:div>
    <w:div w:id="767045146">
      <w:bodyDiv w:val="1"/>
      <w:marLeft w:val="0"/>
      <w:marRight w:val="0"/>
      <w:marTop w:val="0"/>
      <w:marBottom w:val="0"/>
      <w:divBdr>
        <w:top w:val="none" w:sz="0" w:space="0" w:color="auto"/>
        <w:left w:val="none" w:sz="0" w:space="0" w:color="auto"/>
        <w:bottom w:val="none" w:sz="0" w:space="0" w:color="auto"/>
        <w:right w:val="none" w:sz="0" w:space="0" w:color="auto"/>
      </w:divBdr>
    </w:div>
    <w:div w:id="781848181">
      <w:bodyDiv w:val="1"/>
      <w:marLeft w:val="0"/>
      <w:marRight w:val="0"/>
      <w:marTop w:val="0"/>
      <w:marBottom w:val="0"/>
      <w:divBdr>
        <w:top w:val="none" w:sz="0" w:space="0" w:color="auto"/>
        <w:left w:val="none" w:sz="0" w:space="0" w:color="auto"/>
        <w:bottom w:val="none" w:sz="0" w:space="0" w:color="auto"/>
        <w:right w:val="none" w:sz="0" w:space="0" w:color="auto"/>
      </w:divBdr>
    </w:div>
    <w:div w:id="788284075">
      <w:bodyDiv w:val="1"/>
      <w:marLeft w:val="0"/>
      <w:marRight w:val="0"/>
      <w:marTop w:val="0"/>
      <w:marBottom w:val="0"/>
      <w:divBdr>
        <w:top w:val="none" w:sz="0" w:space="0" w:color="auto"/>
        <w:left w:val="none" w:sz="0" w:space="0" w:color="auto"/>
        <w:bottom w:val="none" w:sz="0" w:space="0" w:color="auto"/>
        <w:right w:val="none" w:sz="0" w:space="0" w:color="auto"/>
      </w:divBdr>
    </w:div>
    <w:div w:id="803817095">
      <w:bodyDiv w:val="1"/>
      <w:marLeft w:val="0"/>
      <w:marRight w:val="0"/>
      <w:marTop w:val="0"/>
      <w:marBottom w:val="0"/>
      <w:divBdr>
        <w:top w:val="none" w:sz="0" w:space="0" w:color="auto"/>
        <w:left w:val="none" w:sz="0" w:space="0" w:color="auto"/>
        <w:bottom w:val="none" w:sz="0" w:space="0" w:color="auto"/>
        <w:right w:val="none" w:sz="0" w:space="0" w:color="auto"/>
      </w:divBdr>
    </w:div>
    <w:div w:id="807210777">
      <w:bodyDiv w:val="1"/>
      <w:marLeft w:val="0"/>
      <w:marRight w:val="0"/>
      <w:marTop w:val="0"/>
      <w:marBottom w:val="0"/>
      <w:divBdr>
        <w:top w:val="none" w:sz="0" w:space="0" w:color="auto"/>
        <w:left w:val="none" w:sz="0" w:space="0" w:color="auto"/>
        <w:bottom w:val="none" w:sz="0" w:space="0" w:color="auto"/>
        <w:right w:val="none" w:sz="0" w:space="0" w:color="auto"/>
      </w:divBdr>
    </w:div>
    <w:div w:id="808547467">
      <w:bodyDiv w:val="1"/>
      <w:marLeft w:val="0"/>
      <w:marRight w:val="0"/>
      <w:marTop w:val="0"/>
      <w:marBottom w:val="0"/>
      <w:divBdr>
        <w:top w:val="none" w:sz="0" w:space="0" w:color="auto"/>
        <w:left w:val="none" w:sz="0" w:space="0" w:color="auto"/>
        <w:bottom w:val="none" w:sz="0" w:space="0" w:color="auto"/>
        <w:right w:val="none" w:sz="0" w:space="0" w:color="auto"/>
      </w:divBdr>
    </w:div>
    <w:div w:id="812523274">
      <w:bodyDiv w:val="1"/>
      <w:marLeft w:val="0"/>
      <w:marRight w:val="0"/>
      <w:marTop w:val="0"/>
      <w:marBottom w:val="0"/>
      <w:divBdr>
        <w:top w:val="none" w:sz="0" w:space="0" w:color="auto"/>
        <w:left w:val="none" w:sz="0" w:space="0" w:color="auto"/>
        <w:bottom w:val="none" w:sz="0" w:space="0" w:color="auto"/>
        <w:right w:val="none" w:sz="0" w:space="0" w:color="auto"/>
      </w:divBdr>
    </w:div>
    <w:div w:id="829910940">
      <w:bodyDiv w:val="1"/>
      <w:marLeft w:val="0"/>
      <w:marRight w:val="0"/>
      <w:marTop w:val="0"/>
      <w:marBottom w:val="0"/>
      <w:divBdr>
        <w:top w:val="none" w:sz="0" w:space="0" w:color="auto"/>
        <w:left w:val="none" w:sz="0" w:space="0" w:color="auto"/>
        <w:bottom w:val="none" w:sz="0" w:space="0" w:color="auto"/>
        <w:right w:val="none" w:sz="0" w:space="0" w:color="auto"/>
      </w:divBdr>
    </w:div>
    <w:div w:id="848524401">
      <w:bodyDiv w:val="1"/>
      <w:marLeft w:val="0"/>
      <w:marRight w:val="0"/>
      <w:marTop w:val="0"/>
      <w:marBottom w:val="0"/>
      <w:divBdr>
        <w:top w:val="none" w:sz="0" w:space="0" w:color="auto"/>
        <w:left w:val="none" w:sz="0" w:space="0" w:color="auto"/>
        <w:bottom w:val="none" w:sz="0" w:space="0" w:color="auto"/>
        <w:right w:val="none" w:sz="0" w:space="0" w:color="auto"/>
      </w:divBdr>
    </w:div>
    <w:div w:id="850265765">
      <w:bodyDiv w:val="1"/>
      <w:marLeft w:val="0"/>
      <w:marRight w:val="0"/>
      <w:marTop w:val="0"/>
      <w:marBottom w:val="0"/>
      <w:divBdr>
        <w:top w:val="none" w:sz="0" w:space="0" w:color="auto"/>
        <w:left w:val="none" w:sz="0" w:space="0" w:color="auto"/>
        <w:bottom w:val="none" w:sz="0" w:space="0" w:color="auto"/>
        <w:right w:val="none" w:sz="0" w:space="0" w:color="auto"/>
      </w:divBdr>
    </w:div>
    <w:div w:id="853155891">
      <w:bodyDiv w:val="1"/>
      <w:marLeft w:val="0"/>
      <w:marRight w:val="0"/>
      <w:marTop w:val="0"/>
      <w:marBottom w:val="0"/>
      <w:divBdr>
        <w:top w:val="none" w:sz="0" w:space="0" w:color="auto"/>
        <w:left w:val="none" w:sz="0" w:space="0" w:color="auto"/>
        <w:bottom w:val="none" w:sz="0" w:space="0" w:color="auto"/>
        <w:right w:val="none" w:sz="0" w:space="0" w:color="auto"/>
      </w:divBdr>
    </w:div>
    <w:div w:id="860778955">
      <w:bodyDiv w:val="1"/>
      <w:marLeft w:val="0"/>
      <w:marRight w:val="0"/>
      <w:marTop w:val="0"/>
      <w:marBottom w:val="0"/>
      <w:divBdr>
        <w:top w:val="none" w:sz="0" w:space="0" w:color="auto"/>
        <w:left w:val="none" w:sz="0" w:space="0" w:color="auto"/>
        <w:bottom w:val="none" w:sz="0" w:space="0" w:color="auto"/>
        <w:right w:val="none" w:sz="0" w:space="0" w:color="auto"/>
      </w:divBdr>
    </w:div>
    <w:div w:id="899435748">
      <w:bodyDiv w:val="1"/>
      <w:marLeft w:val="0"/>
      <w:marRight w:val="0"/>
      <w:marTop w:val="0"/>
      <w:marBottom w:val="0"/>
      <w:divBdr>
        <w:top w:val="none" w:sz="0" w:space="0" w:color="auto"/>
        <w:left w:val="none" w:sz="0" w:space="0" w:color="auto"/>
        <w:bottom w:val="none" w:sz="0" w:space="0" w:color="auto"/>
        <w:right w:val="none" w:sz="0" w:space="0" w:color="auto"/>
      </w:divBdr>
    </w:div>
    <w:div w:id="911358096">
      <w:bodyDiv w:val="1"/>
      <w:marLeft w:val="0"/>
      <w:marRight w:val="0"/>
      <w:marTop w:val="0"/>
      <w:marBottom w:val="0"/>
      <w:divBdr>
        <w:top w:val="none" w:sz="0" w:space="0" w:color="auto"/>
        <w:left w:val="none" w:sz="0" w:space="0" w:color="auto"/>
        <w:bottom w:val="none" w:sz="0" w:space="0" w:color="auto"/>
        <w:right w:val="none" w:sz="0" w:space="0" w:color="auto"/>
      </w:divBdr>
    </w:div>
    <w:div w:id="966618290">
      <w:bodyDiv w:val="1"/>
      <w:marLeft w:val="0"/>
      <w:marRight w:val="0"/>
      <w:marTop w:val="0"/>
      <w:marBottom w:val="0"/>
      <w:divBdr>
        <w:top w:val="none" w:sz="0" w:space="0" w:color="auto"/>
        <w:left w:val="none" w:sz="0" w:space="0" w:color="auto"/>
        <w:bottom w:val="none" w:sz="0" w:space="0" w:color="auto"/>
        <w:right w:val="none" w:sz="0" w:space="0" w:color="auto"/>
      </w:divBdr>
    </w:div>
    <w:div w:id="1098718796">
      <w:bodyDiv w:val="1"/>
      <w:marLeft w:val="0"/>
      <w:marRight w:val="0"/>
      <w:marTop w:val="0"/>
      <w:marBottom w:val="0"/>
      <w:divBdr>
        <w:top w:val="none" w:sz="0" w:space="0" w:color="auto"/>
        <w:left w:val="none" w:sz="0" w:space="0" w:color="auto"/>
        <w:bottom w:val="none" w:sz="0" w:space="0" w:color="auto"/>
        <w:right w:val="none" w:sz="0" w:space="0" w:color="auto"/>
      </w:divBdr>
    </w:div>
    <w:div w:id="1105807905">
      <w:bodyDiv w:val="1"/>
      <w:marLeft w:val="0"/>
      <w:marRight w:val="0"/>
      <w:marTop w:val="0"/>
      <w:marBottom w:val="0"/>
      <w:divBdr>
        <w:top w:val="none" w:sz="0" w:space="0" w:color="auto"/>
        <w:left w:val="none" w:sz="0" w:space="0" w:color="auto"/>
        <w:bottom w:val="none" w:sz="0" w:space="0" w:color="auto"/>
        <w:right w:val="none" w:sz="0" w:space="0" w:color="auto"/>
      </w:divBdr>
    </w:div>
    <w:div w:id="1107576224">
      <w:bodyDiv w:val="1"/>
      <w:marLeft w:val="0"/>
      <w:marRight w:val="0"/>
      <w:marTop w:val="0"/>
      <w:marBottom w:val="0"/>
      <w:divBdr>
        <w:top w:val="none" w:sz="0" w:space="0" w:color="auto"/>
        <w:left w:val="none" w:sz="0" w:space="0" w:color="auto"/>
        <w:bottom w:val="none" w:sz="0" w:space="0" w:color="auto"/>
        <w:right w:val="none" w:sz="0" w:space="0" w:color="auto"/>
      </w:divBdr>
    </w:div>
    <w:div w:id="1113095753">
      <w:bodyDiv w:val="1"/>
      <w:marLeft w:val="0"/>
      <w:marRight w:val="0"/>
      <w:marTop w:val="0"/>
      <w:marBottom w:val="0"/>
      <w:divBdr>
        <w:top w:val="none" w:sz="0" w:space="0" w:color="auto"/>
        <w:left w:val="none" w:sz="0" w:space="0" w:color="auto"/>
        <w:bottom w:val="none" w:sz="0" w:space="0" w:color="auto"/>
        <w:right w:val="none" w:sz="0" w:space="0" w:color="auto"/>
      </w:divBdr>
    </w:div>
    <w:div w:id="1134448029">
      <w:bodyDiv w:val="1"/>
      <w:marLeft w:val="0"/>
      <w:marRight w:val="0"/>
      <w:marTop w:val="0"/>
      <w:marBottom w:val="0"/>
      <w:divBdr>
        <w:top w:val="none" w:sz="0" w:space="0" w:color="auto"/>
        <w:left w:val="none" w:sz="0" w:space="0" w:color="auto"/>
        <w:bottom w:val="none" w:sz="0" w:space="0" w:color="auto"/>
        <w:right w:val="none" w:sz="0" w:space="0" w:color="auto"/>
      </w:divBdr>
    </w:div>
    <w:div w:id="1150947401">
      <w:bodyDiv w:val="1"/>
      <w:marLeft w:val="0"/>
      <w:marRight w:val="0"/>
      <w:marTop w:val="0"/>
      <w:marBottom w:val="0"/>
      <w:divBdr>
        <w:top w:val="none" w:sz="0" w:space="0" w:color="auto"/>
        <w:left w:val="none" w:sz="0" w:space="0" w:color="auto"/>
        <w:bottom w:val="none" w:sz="0" w:space="0" w:color="auto"/>
        <w:right w:val="none" w:sz="0" w:space="0" w:color="auto"/>
      </w:divBdr>
    </w:div>
    <w:div w:id="1192494097">
      <w:bodyDiv w:val="1"/>
      <w:marLeft w:val="0"/>
      <w:marRight w:val="0"/>
      <w:marTop w:val="0"/>
      <w:marBottom w:val="0"/>
      <w:divBdr>
        <w:top w:val="none" w:sz="0" w:space="0" w:color="auto"/>
        <w:left w:val="none" w:sz="0" w:space="0" w:color="auto"/>
        <w:bottom w:val="none" w:sz="0" w:space="0" w:color="auto"/>
        <w:right w:val="none" w:sz="0" w:space="0" w:color="auto"/>
      </w:divBdr>
    </w:div>
    <w:div w:id="1196043143">
      <w:bodyDiv w:val="1"/>
      <w:marLeft w:val="0"/>
      <w:marRight w:val="0"/>
      <w:marTop w:val="0"/>
      <w:marBottom w:val="0"/>
      <w:divBdr>
        <w:top w:val="none" w:sz="0" w:space="0" w:color="auto"/>
        <w:left w:val="none" w:sz="0" w:space="0" w:color="auto"/>
        <w:bottom w:val="none" w:sz="0" w:space="0" w:color="auto"/>
        <w:right w:val="none" w:sz="0" w:space="0" w:color="auto"/>
      </w:divBdr>
    </w:div>
    <w:div w:id="1200125416">
      <w:bodyDiv w:val="1"/>
      <w:marLeft w:val="0"/>
      <w:marRight w:val="0"/>
      <w:marTop w:val="0"/>
      <w:marBottom w:val="0"/>
      <w:divBdr>
        <w:top w:val="none" w:sz="0" w:space="0" w:color="auto"/>
        <w:left w:val="none" w:sz="0" w:space="0" w:color="auto"/>
        <w:bottom w:val="none" w:sz="0" w:space="0" w:color="auto"/>
        <w:right w:val="none" w:sz="0" w:space="0" w:color="auto"/>
      </w:divBdr>
    </w:div>
    <w:div w:id="1205025113">
      <w:bodyDiv w:val="1"/>
      <w:marLeft w:val="0"/>
      <w:marRight w:val="0"/>
      <w:marTop w:val="0"/>
      <w:marBottom w:val="0"/>
      <w:divBdr>
        <w:top w:val="none" w:sz="0" w:space="0" w:color="auto"/>
        <w:left w:val="none" w:sz="0" w:space="0" w:color="auto"/>
        <w:bottom w:val="none" w:sz="0" w:space="0" w:color="auto"/>
        <w:right w:val="none" w:sz="0" w:space="0" w:color="auto"/>
      </w:divBdr>
    </w:div>
    <w:div w:id="1242786907">
      <w:bodyDiv w:val="1"/>
      <w:marLeft w:val="0"/>
      <w:marRight w:val="0"/>
      <w:marTop w:val="0"/>
      <w:marBottom w:val="0"/>
      <w:divBdr>
        <w:top w:val="none" w:sz="0" w:space="0" w:color="auto"/>
        <w:left w:val="none" w:sz="0" w:space="0" w:color="auto"/>
        <w:bottom w:val="none" w:sz="0" w:space="0" w:color="auto"/>
        <w:right w:val="none" w:sz="0" w:space="0" w:color="auto"/>
      </w:divBdr>
    </w:div>
    <w:div w:id="1246066648">
      <w:bodyDiv w:val="1"/>
      <w:marLeft w:val="0"/>
      <w:marRight w:val="0"/>
      <w:marTop w:val="0"/>
      <w:marBottom w:val="0"/>
      <w:divBdr>
        <w:top w:val="none" w:sz="0" w:space="0" w:color="auto"/>
        <w:left w:val="none" w:sz="0" w:space="0" w:color="auto"/>
        <w:bottom w:val="none" w:sz="0" w:space="0" w:color="auto"/>
        <w:right w:val="none" w:sz="0" w:space="0" w:color="auto"/>
      </w:divBdr>
    </w:div>
    <w:div w:id="1266035258">
      <w:bodyDiv w:val="1"/>
      <w:marLeft w:val="0"/>
      <w:marRight w:val="0"/>
      <w:marTop w:val="0"/>
      <w:marBottom w:val="0"/>
      <w:divBdr>
        <w:top w:val="none" w:sz="0" w:space="0" w:color="auto"/>
        <w:left w:val="none" w:sz="0" w:space="0" w:color="auto"/>
        <w:bottom w:val="none" w:sz="0" w:space="0" w:color="auto"/>
        <w:right w:val="none" w:sz="0" w:space="0" w:color="auto"/>
      </w:divBdr>
    </w:div>
    <w:div w:id="1271088910">
      <w:bodyDiv w:val="1"/>
      <w:marLeft w:val="0"/>
      <w:marRight w:val="0"/>
      <w:marTop w:val="0"/>
      <w:marBottom w:val="0"/>
      <w:divBdr>
        <w:top w:val="none" w:sz="0" w:space="0" w:color="auto"/>
        <w:left w:val="none" w:sz="0" w:space="0" w:color="auto"/>
        <w:bottom w:val="none" w:sz="0" w:space="0" w:color="auto"/>
        <w:right w:val="none" w:sz="0" w:space="0" w:color="auto"/>
      </w:divBdr>
    </w:div>
    <w:div w:id="1293557397">
      <w:bodyDiv w:val="1"/>
      <w:marLeft w:val="0"/>
      <w:marRight w:val="0"/>
      <w:marTop w:val="0"/>
      <w:marBottom w:val="0"/>
      <w:divBdr>
        <w:top w:val="none" w:sz="0" w:space="0" w:color="auto"/>
        <w:left w:val="none" w:sz="0" w:space="0" w:color="auto"/>
        <w:bottom w:val="none" w:sz="0" w:space="0" w:color="auto"/>
        <w:right w:val="none" w:sz="0" w:space="0" w:color="auto"/>
      </w:divBdr>
    </w:div>
    <w:div w:id="1325932683">
      <w:bodyDiv w:val="1"/>
      <w:marLeft w:val="0"/>
      <w:marRight w:val="0"/>
      <w:marTop w:val="0"/>
      <w:marBottom w:val="0"/>
      <w:divBdr>
        <w:top w:val="none" w:sz="0" w:space="0" w:color="auto"/>
        <w:left w:val="none" w:sz="0" w:space="0" w:color="auto"/>
        <w:bottom w:val="none" w:sz="0" w:space="0" w:color="auto"/>
        <w:right w:val="none" w:sz="0" w:space="0" w:color="auto"/>
      </w:divBdr>
    </w:div>
    <w:div w:id="1345590260">
      <w:bodyDiv w:val="1"/>
      <w:marLeft w:val="0"/>
      <w:marRight w:val="0"/>
      <w:marTop w:val="0"/>
      <w:marBottom w:val="0"/>
      <w:divBdr>
        <w:top w:val="none" w:sz="0" w:space="0" w:color="auto"/>
        <w:left w:val="none" w:sz="0" w:space="0" w:color="auto"/>
        <w:bottom w:val="none" w:sz="0" w:space="0" w:color="auto"/>
        <w:right w:val="none" w:sz="0" w:space="0" w:color="auto"/>
      </w:divBdr>
    </w:div>
    <w:div w:id="1384792822">
      <w:bodyDiv w:val="1"/>
      <w:marLeft w:val="0"/>
      <w:marRight w:val="0"/>
      <w:marTop w:val="0"/>
      <w:marBottom w:val="0"/>
      <w:divBdr>
        <w:top w:val="none" w:sz="0" w:space="0" w:color="auto"/>
        <w:left w:val="none" w:sz="0" w:space="0" w:color="auto"/>
        <w:bottom w:val="none" w:sz="0" w:space="0" w:color="auto"/>
        <w:right w:val="none" w:sz="0" w:space="0" w:color="auto"/>
      </w:divBdr>
    </w:div>
    <w:div w:id="1407845479">
      <w:bodyDiv w:val="1"/>
      <w:marLeft w:val="0"/>
      <w:marRight w:val="0"/>
      <w:marTop w:val="0"/>
      <w:marBottom w:val="0"/>
      <w:divBdr>
        <w:top w:val="none" w:sz="0" w:space="0" w:color="auto"/>
        <w:left w:val="none" w:sz="0" w:space="0" w:color="auto"/>
        <w:bottom w:val="none" w:sz="0" w:space="0" w:color="auto"/>
        <w:right w:val="none" w:sz="0" w:space="0" w:color="auto"/>
      </w:divBdr>
    </w:div>
    <w:div w:id="1425805037">
      <w:bodyDiv w:val="1"/>
      <w:marLeft w:val="0"/>
      <w:marRight w:val="0"/>
      <w:marTop w:val="0"/>
      <w:marBottom w:val="0"/>
      <w:divBdr>
        <w:top w:val="none" w:sz="0" w:space="0" w:color="auto"/>
        <w:left w:val="none" w:sz="0" w:space="0" w:color="auto"/>
        <w:bottom w:val="none" w:sz="0" w:space="0" w:color="auto"/>
        <w:right w:val="none" w:sz="0" w:space="0" w:color="auto"/>
      </w:divBdr>
    </w:div>
    <w:div w:id="1464277126">
      <w:bodyDiv w:val="1"/>
      <w:marLeft w:val="0"/>
      <w:marRight w:val="0"/>
      <w:marTop w:val="0"/>
      <w:marBottom w:val="0"/>
      <w:divBdr>
        <w:top w:val="none" w:sz="0" w:space="0" w:color="auto"/>
        <w:left w:val="none" w:sz="0" w:space="0" w:color="auto"/>
        <w:bottom w:val="none" w:sz="0" w:space="0" w:color="auto"/>
        <w:right w:val="none" w:sz="0" w:space="0" w:color="auto"/>
      </w:divBdr>
    </w:div>
    <w:div w:id="1466502842">
      <w:bodyDiv w:val="1"/>
      <w:marLeft w:val="0"/>
      <w:marRight w:val="0"/>
      <w:marTop w:val="0"/>
      <w:marBottom w:val="0"/>
      <w:divBdr>
        <w:top w:val="none" w:sz="0" w:space="0" w:color="auto"/>
        <w:left w:val="none" w:sz="0" w:space="0" w:color="auto"/>
        <w:bottom w:val="none" w:sz="0" w:space="0" w:color="auto"/>
        <w:right w:val="none" w:sz="0" w:space="0" w:color="auto"/>
      </w:divBdr>
    </w:div>
    <w:div w:id="1468934855">
      <w:bodyDiv w:val="1"/>
      <w:marLeft w:val="0"/>
      <w:marRight w:val="0"/>
      <w:marTop w:val="0"/>
      <w:marBottom w:val="0"/>
      <w:divBdr>
        <w:top w:val="none" w:sz="0" w:space="0" w:color="auto"/>
        <w:left w:val="none" w:sz="0" w:space="0" w:color="auto"/>
        <w:bottom w:val="none" w:sz="0" w:space="0" w:color="auto"/>
        <w:right w:val="none" w:sz="0" w:space="0" w:color="auto"/>
      </w:divBdr>
    </w:div>
    <w:div w:id="1470171969">
      <w:bodyDiv w:val="1"/>
      <w:marLeft w:val="0"/>
      <w:marRight w:val="0"/>
      <w:marTop w:val="0"/>
      <w:marBottom w:val="0"/>
      <w:divBdr>
        <w:top w:val="none" w:sz="0" w:space="0" w:color="auto"/>
        <w:left w:val="none" w:sz="0" w:space="0" w:color="auto"/>
        <w:bottom w:val="none" w:sz="0" w:space="0" w:color="auto"/>
        <w:right w:val="none" w:sz="0" w:space="0" w:color="auto"/>
      </w:divBdr>
    </w:div>
    <w:div w:id="1502961746">
      <w:bodyDiv w:val="1"/>
      <w:marLeft w:val="0"/>
      <w:marRight w:val="0"/>
      <w:marTop w:val="0"/>
      <w:marBottom w:val="0"/>
      <w:divBdr>
        <w:top w:val="none" w:sz="0" w:space="0" w:color="auto"/>
        <w:left w:val="none" w:sz="0" w:space="0" w:color="auto"/>
        <w:bottom w:val="none" w:sz="0" w:space="0" w:color="auto"/>
        <w:right w:val="none" w:sz="0" w:space="0" w:color="auto"/>
      </w:divBdr>
    </w:div>
    <w:div w:id="1529562961">
      <w:bodyDiv w:val="1"/>
      <w:marLeft w:val="0"/>
      <w:marRight w:val="0"/>
      <w:marTop w:val="0"/>
      <w:marBottom w:val="0"/>
      <w:divBdr>
        <w:top w:val="none" w:sz="0" w:space="0" w:color="auto"/>
        <w:left w:val="none" w:sz="0" w:space="0" w:color="auto"/>
        <w:bottom w:val="none" w:sz="0" w:space="0" w:color="auto"/>
        <w:right w:val="none" w:sz="0" w:space="0" w:color="auto"/>
      </w:divBdr>
    </w:div>
    <w:div w:id="1542278619">
      <w:bodyDiv w:val="1"/>
      <w:marLeft w:val="0"/>
      <w:marRight w:val="0"/>
      <w:marTop w:val="0"/>
      <w:marBottom w:val="0"/>
      <w:divBdr>
        <w:top w:val="none" w:sz="0" w:space="0" w:color="auto"/>
        <w:left w:val="none" w:sz="0" w:space="0" w:color="auto"/>
        <w:bottom w:val="none" w:sz="0" w:space="0" w:color="auto"/>
        <w:right w:val="none" w:sz="0" w:space="0" w:color="auto"/>
      </w:divBdr>
    </w:div>
    <w:div w:id="1544172156">
      <w:bodyDiv w:val="1"/>
      <w:marLeft w:val="0"/>
      <w:marRight w:val="0"/>
      <w:marTop w:val="0"/>
      <w:marBottom w:val="0"/>
      <w:divBdr>
        <w:top w:val="none" w:sz="0" w:space="0" w:color="auto"/>
        <w:left w:val="none" w:sz="0" w:space="0" w:color="auto"/>
        <w:bottom w:val="none" w:sz="0" w:space="0" w:color="auto"/>
        <w:right w:val="none" w:sz="0" w:space="0" w:color="auto"/>
      </w:divBdr>
    </w:div>
    <w:div w:id="1561744102">
      <w:bodyDiv w:val="1"/>
      <w:marLeft w:val="0"/>
      <w:marRight w:val="0"/>
      <w:marTop w:val="0"/>
      <w:marBottom w:val="0"/>
      <w:divBdr>
        <w:top w:val="none" w:sz="0" w:space="0" w:color="auto"/>
        <w:left w:val="none" w:sz="0" w:space="0" w:color="auto"/>
        <w:bottom w:val="none" w:sz="0" w:space="0" w:color="auto"/>
        <w:right w:val="none" w:sz="0" w:space="0" w:color="auto"/>
      </w:divBdr>
    </w:div>
    <w:div w:id="1649288231">
      <w:bodyDiv w:val="1"/>
      <w:marLeft w:val="0"/>
      <w:marRight w:val="0"/>
      <w:marTop w:val="0"/>
      <w:marBottom w:val="0"/>
      <w:divBdr>
        <w:top w:val="none" w:sz="0" w:space="0" w:color="auto"/>
        <w:left w:val="none" w:sz="0" w:space="0" w:color="auto"/>
        <w:bottom w:val="none" w:sz="0" w:space="0" w:color="auto"/>
        <w:right w:val="none" w:sz="0" w:space="0" w:color="auto"/>
      </w:divBdr>
    </w:div>
    <w:div w:id="1661932792">
      <w:bodyDiv w:val="1"/>
      <w:marLeft w:val="0"/>
      <w:marRight w:val="0"/>
      <w:marTop w:val="0"/>
      <w:marBottom w:val="0"/>
      <w:divBdr>
        <w:top w:val="none" w:sz="0" w:space="0" w:color="auto"/>
        <w:left w:val="none" w:sz="0" w:space="0" w:color="auto"/>
        <w:bottom w:val="none" w:sz="0" w:space="0" w:color="auto"/>
        <w:right w:val="none" w:sz="0" w:space="0" w:color="auto"/>
      </w:divBdr>
    </w:div>
    <w:div w:id="1696883418">
      <w:bodyDiv w:val="1"/>
      <w:marLeft w:val="0"/>
      <w:marRight w:val="0"/>
      <w:marTop w:val="0"/>
      <w:marBottom w:val="0"/>
      <w:divBdr>
        <w:top w:val="none" w:sz="0" w:space="0" w:color="auto"/>
        <w:left w:val="none" w:sz="0" w:space="0" w:color="auto"/>
        <w:bottom w:val="none" w:sz="0" w:space="0" w:color="auto"/>
        <w:right w:val="none" w:sz="0" w:space="0" w:color="auto"/>
      </w:divBdr>
    </w:div>
    <w:div w:id="1713575382">
      <w:bodyDiv w:val="1"/>
      <w:marLeft w:val="0"/>
      <w:marRight w:val="0"/>
      <w:marTop w:val="0"/>
      <w:marBottom w:val="0"/>
      <w:divBdr>
        <w:top w:val="none" w:sz="0" w:space="0" w:color="auto"/>
        <w:left w:val="none" w:sz="0" w:space="0" w:color="auto"/>
        <w:bottom w:val="none" w:sz="0" w:space="0" w:color="auto"/>
        <w:right w:val="none" w:sz="0" w:space="0" w:color="auto"/>
      </w:divBdr>
    </w:div>
    <w:div w:id="1769545270">
      <w:bodyDiv w:val="1"/>
      <w:marLeft w:val="0"/>
      <w:marRight w:val="0"/>
      <w:marTop w:val="0"/>
      <w:marBottom w:val="0"/>
      <w:divBdr>
        <w:top w:val="none" w:sz="0" w:space="0" w:color="auto"/>
        <w:left w:val="none" w:sz="0" w:space="0" w:color="auto"/>
        <w:bottom w:val="none" w:sz="0" w:space="0" w:color="auto"/>
        <w:right w:val="none" w:sz="0" w:space="0" w:color="auto"/>
      </w:divBdr>
    </w:div>
    <w:div w:id="1787893856">
      <w:bodyDiv w:val="1"/>
      <w:marLeft w:val="0"/>
      <w:marRight w:val="0"/>
      <w:marTop w:val="0"/>
      <w:marBottom w:val="0"/>
      <w:divBdr>
        <w:top w:val="none" w:sz="0" w:space="0" w:color="auto"/>
        <w:left w:val="none" w:sz="0" w:space="0" w:color="auto"/>
        <w:bottom w:val="none" w:sz="0" w:space="0" w:color="auto"/>
        <w:right w:val="none" w:sz="0" w:space="0" w:color="auto"/>
      </w:divBdr>
    </w:div>
    <w:div w:id="1813404450">
      <w:bodyDiv w:val="1"/>
      <w:marLeft w:val="0"/>
      <w:marRight w:val="0"/>
      <w:marTop w:val="0"/>
      <w:marBottom w:val="0"/>
      <w:divBdr>
        <w:top w:val="none" w:sz="0" w:space="0" w:color="auto"/>
        <w:left w:val="none" w:sz="0" w:space="0" w:color="auto"/>
        <w:bottom w:val="none" w:sz="0" w:space="0" w:color="auto"/>
        <w:right w:val="none" w:sz="0" w:space="0" w:color="auto"/>
      </w:divBdr>
    </w:div>
    <w:div w:id="1879973452">
      <w:bodyDiv w:val="1"/>
      <w:marLeft w:val="0"/>
      <w:marRight w:val="0"/>
      <w:marTop w:val="0"/>
      <w:marBottom w:val="0"/>
      <w:divBdr>
        <w:top w:val="none" w:sz="0" w:space="0" w:color="auto"/>
        <w:left w:val="none" w:sz="0" w:space="0" w:color="auto"/>
        <w:bottom w:val="none" w:sz="0" w:space="0" w:color="auto"/>
        <w:right w:val="none" w:sz="0" w:space="0" w:color="auto"/>
      </w:divBdr>
    </w:div>
    <w:div w:id="1961035954">
      <w:bodyDiv w:val="1"/>
      <w:marLeft w:val="0"/>
      <w:marRight w:val="0"/>
      <w:marTop w:val="0"/>
      <w:marBottom w:val="0"/>
      <w:divBdr>
        <w:top w:val="none" w:sz="0" w:space="0" w:color="auto"/>
        <w:left w:val="none" w:sz="0" w:space="0" w:color="auto"/>
        <w:bottom w:val="none" w:sz="0" w:space="0" w:color="auto"/>
        <w:right w:val="none" w:sz="0" w:space="0" w:color="auto"/>
      </w:divBdr>
    </w:div>
    <w:div w:id="2003045280">
      <w:bodyDiv w:val="1"/>
      <w:marLeft w:val="0"/>
      <w:marRight w:val="0"/>
      <w:marTop w:val="0"/>
      <w:marBottom w:val="0"/>
      <w:divBdr>
        <w:top w:val="none" w:sz="0" w:space="0" w:color="auto"/>
        <w:left w:val="none" w:sz="0" w:space="0" w:color="auto"/>
        <w:bottom w:val="none" w:sz="0" w:space="0" w:color="auto"/>
        <w:right w:val="none" w:sz="0" w:space="0" w:color="auto"/>
      </w:divBdr>
    </w:div>
    <w:div w:id="2015302476">
      <w:bodyDiv w:val="1"/>
      <w:marLeft w:val="0"/>
      <w:marRight w:val="0"/>
      <w:marTop w:val="0"/>
      <w:marBottom w:val="0"/>
      <w:divBdr>
        <w:top w:val="none" w:sz="0" w:space="0" w:color="auto"/>
        <w:left w:val="none" w:sz="0" w:space="0" w:color="auto"/>
        <w:bottom w:val="none" w:sz="0" w:space="0" w:color="auto"/>
        <w:right w:val="none" w:sz="0" w:space="0" w:color="auto"/>
      </w:divBdr>
    </w:div>
    <w:div w:id="2017075494">
      <w:bodyDiv w:val="1"/>
      <w:marLeft w:val="0"/>
      <w:marRight w:val="0"/>
      <w:marTop w:val="0"/>
      <w:marBottom w:val="0"/>
      <w:divBdr>
        <w:top w:val="none" w:sz="0" w:space="0" w:color="auto"/>
        <w:left w:val="none" w:sz="0" w:space="0" w:color="auto"/>
        <w:bottom w:val="none" w:sz="0" w:space="0" w:color="auto"/>
        <w:right w:val="none" w:sz="0" w:space="0" w:color="auto"/>
      </w:divBdr>
    </w:div>
    <w:div w:id="2045203879">
      <w:bodyDiv w:val="1"/>
      <w:marLeft w:val="0"/>
      <w:marRight w:val="0"/>
      <w:marTop w:val="0"/>
      <w:marBottom w:val="0"/>
      <w:divBdr>
        <w:top w:val="none" w:sz="0" w:space="0" w:color="auto"/>
        <w:left w:val="none" w:sz="0" w:space="0" w:color="auto"/>
        <w:bottom w:val="none" w:sz="0" w:space="0" w:color="auto"/>
        <w:right w:val="none" w:sz="0" w:space="0" w:color="auto"/>
      </w:divBdr>
    </w:div>
    <w:div w:id="2094815820">
      <w:bodyDiv w:val="1"/>
      <w:marLeft w:val="0"/>
      <w:marRight w:val="0"/>
      <w:marTop w:val="0"/>
      <w:marBottom w:val="0"/>
      <w:divBdr>
        <w:top w:val="none" w:sz="0" w:space="0" w:color="auto"/>
        <w:left w:val="none" w:sz="0" w:space="0" w:color="auto"/>
        <w:bottom w:val="none" w:sz="0" w:space="0" w:color="auto"/>
        <w:right w:val="none" w:sz="0" w:space="0" w:color="auto"/>
      </w:divBdr>
    </w:div>
    <w:div w:id="2109615613">
      <w:bodyDiv w:val="1"/>
      <w:marLeft w:val="0"/>
      <w:marRight w:val="0"/>
      <w:marTop w:val="0"/>
      <w:marBottom w:val="0"/>
      <w:divBdr>
        <w:top w:val="none" w:sz="0" w:space="0" w:color="auto"/>
        <w:left w:val="none" w:sz="0" w:space="0" w:color="auto"/>
        <w:bottom w:val="none" w:sz="0" w:space="0" w:color="auto"/>
        <w:right w:val="none" w:sz="0" w:space="0" w:color="auto"/>
      </w:divBdr>
    </w:div>
    <w:div w:id="21138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2775</TotalTime>
  <Pages>31</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49863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Brad</dc:creator>
  <cp:keywords/>
  <cp:lastModifiedBy>Brad</cp:lastModifiedBy>
  <cp:revision>84</cp:revision>
  <dcterms:created xsi:type="dcterms:W3CDTF">2012-05-23T17:52:00Z</dcterms:created>
  <dcterms:modified xsi:type="dcterms:W3CDTF">2012-06-26T22:12:00Z</dcterms:modified>
</cp:coreProperties>
</file>