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12:26:50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12:26:51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12:26:51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12:26:51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12:26:56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12:26:57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apriori.dat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richness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diversity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ordination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lav.apriori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litter ~ crown</w:t>
      </w:r>
      <w:r>
        <w:br/>
      </w:r>
      <w:r>
        <w:rPr>
          <w:rStyle w:val="StringTok"/>
        </w:rPr>
        <w:t xml:space="preserve">                rock.lg ~ litter</w:t>
      </w:r>
      <w:r>
        <w:br/>
      </w:r>
      <w:r>
        <w:rPr>
          <w:rStyle w:val="StringTok"/>
        </w:rPr>
        <w:t xml:space="preserve">                abundance ~ light + rock.lg + rock.sm</w:t>
      </w:r>
      <w:r>
        <w:br/>
      </w:r>
      <w:r>
        <w:rPr>
          <w:rStyle w:val="StringTok"/>
        </w:rPr>
        <w:t xml:space="preserve">                richness ~ light + rock.lg + rock.sm</w:t>
      </w:r>
      <w:r>
        <w:br/>
      </w:r>
      <w:r>
        <w:rPr>
          <w:rStyle w:val="StringTok"/>
        </w:rPr>
        <w:t xml:space="preserve">                diversity ~ light + rock.lg + rock.sm</w:t>
      </w:r>
      <w:r>
        <w:br/>
      </w:r>
      <w:r>
        <w:rPr>
          <w:rStyle w:val="StringTok"/>
        </w:rPr>
        <w:t xml:space="preserve">                ordination ~ light + rock.lg + rock.sm</w:t>
      </w:r>
      <w:r>
        <w:br/>
      </w:r>
      <w:r>
        <w:rPr>
          <w:rStyle w:val="StringTok"/>
        </w:rPr>
        <w:t xml:space="preserve">                rock.lg ~~ rock.sm</w:t>
      </w:r>
      <w:r>
        <w:br/>
      </w:r>
      <w:r>
        <w:rPr>
          <w:rStyle w:val="StringTok"/>
        </w:rPr>
        <w:t xml:space="preserve">               '</w:t>
      </w:r>
      <w:r>
        <w:br/>
      </w:r>
      <w:r>
        <w:rPr>
          <w:rStyle w:val="NormalTok"/>
        </w:rPr>
        <w:t xml:space="preserve">fit.apriori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(lav.apriori,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apriori.dat)</w:t>
      </w:r>
    </w:p>
    <w:p>
      <w:pPr>
        <w:pStyle w:val="SourceCode"/>
      </w:pPr>
      <w:r>
        <w:rPr>
          <w:rStyle w:val="VerbatimChar"/>
        </w:rPr>
        <w:t xml:space="preserve">## Warning in lav_partable_vnames(FLAT, "ov.x", warn = TRUE): lavaan WARNING:</w:t>
      </w:r>
      <w:r>
        <w:br/>
      </w:r>
      <w:r>
        <w:rPr>
          <w:rStyle w:val="VerbatimChar"/>
        </w:rPr>
        <w:t xml:space="preserve">##     model syntax contains variance/covariance/intercept formulas</w:t>
      </w:r>
      <w:r>
        <w:br/>
      </w:r>
      <w:r>
        <w:rPr>
          <w:rStyle w:val="VerbatimChar"/>
        </w:rPr>
        <w:t xml:space="preserve">##     involving (an) exogenous variable(s): [rock.sm]; These variables</w:t>
      </w:r>
      <w:r>
        <w:br/>
      </w:r>
      <w:r>
        <w:rPr>
          <w:rStyle w:val="VerbatimChar"/>
        </w:rPr>
        <w:t xml:space="preserve">##     will now be treated as random introducing additional free</w:t>
      </w:r>
      <w:r>
        <w:br/>
      </w:r>
      <w:r>
        <w:rPr>
          <w:rStyle w:val="VerbatimChar"/>
        </w:rPr>
        <w:t xml:space="preserve">##     parameters. If you wish to treat those variables as fixed, remove</w:t>
      </w:r>
      <w:r>
        <w:br/>
      </w:r>
      <w:r>
        <w:rPr>
          <w:rStyle w:val="VerbatimChar"/>
        </w:rPr>
        <w:t xml:space="preserve">##     these formulas from the model syntax. Otherwise, consider adding</w:t>
      </w:r>
      <w:r>
        <w:br/>
      </w:r>
      <w:r>
        <w:rPr>
          <w:rStyle w:val="VerbatimChar"/>
        </w:rPr>
        <w:t xml:space="preserve">##     the fixed.x = FALSE option.</w:t>
      </w:r>
    </w:p>
    <w:p>
      <w:pPr>
        <w:pStyle w:val="SourceCode"/>
      </w:pPr>
      <w:r>
        <w:rPr>
          <w:rStyle w:val="NormalTok"/>
        </w:rPr>
        <w:t xml:space="preserve">lay.apriori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"ordination"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tg.apriori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edges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community-analyses"/>
      <w:r>
        <w:t xml:space="preserve">Community Analyses</w:t>
      </w:r>
      <w:bookmarkEnd w:id="62"/>
    </w:p>
    <w:p>
      <w:pPr>
        <w:pStyle w:val="FirstParagraph"/>
      </w:pPr>
      <w:r>
        <w:t xml:space="preserve">To examine the lichen and plant community responses to moth</w:t>
      </w:r>
      <w:r>
        <w:t xml:space="preserve"> </w:t>
      </w:r>
      <w:r>
        <w:t xml:space="preserve">susceptibility we analyzed both univariate and multivariate community</w:t>
      </w:r>
      <w:r>
        <w:t xml:space="preserve"> </w:t>
      </w:r>
      <w:r>
        <w:t xml:space="preserve">metrics. All univariate metrics, which included total abundance (as</w:t>
      </w:r>
      <w:r>
        <w:t xml:space="preserve"> </w:t>
      </w:r>
      <w:r>
        <w:t xml:space="preserve">total % cover), species richness and Shannon’s diversity, were</w:t>
      </w:r>
      <w:r>
        <w:t xml:space="preserve"> </w:t>
      </w:r>
      <w:r>
        <w:t xml:space="preserve">analyzed using</w:t>
      </w:r>
      <w:r>
        <w:t xml:space="preserve"> </w:t>
      </w:r>
      <w:r>
        <w:rPr>
          <w:i/>
        </w:rPr>
        <w:t xml:space="preserve">t</w:t>
      </w:r>
      <w:r>
        <w:t xml:space="preserve">-tests of the differences between susceptible and</w:t>
      </w:r>
      <w:r>
        <w:t xml:space="preserve"> </w:t>
      </w:r>
      <w:r>
        <w:t xml:space="preserve">resistant trees as done for the tree traits (Pearson</w:t>
      </w:r>
      <w:r>
        <w:t xml:space="preserve"> </w:t>
      </w:r>
      <w:r>
        <w:t xml:space="preserve">1895). Mulivariate community responses were analyzed with paired</w:t>
      </w:r>
      <w:r>
        <w:t xml:space="preserve"> </w:t>
      </w:r>
      <w:r>
        <w:t xml:space="preserve">PERMANOVAs (Anderson 2001) using Bray-Curtis dissimilarity (Bray &amp;</w:t>
      </w:r>
      <w:r>
        <w:t xml:space="preserve"> </w:t>
      </w:r>
      <w:r>
        <w:t xml:space="preserve">Curtis 1957) adjusted to include zero-sum observations and 10,000</w:t>
      </w:r>
      <w:r>
        <w:t xml:space="preserve"> </w:t>
      </w:r>
      <w:r>
        <w:t xml:space="preserve">permutations. Mantel correlation was conducted to test</w:t>
      </w:r>
      <w:r>
        <w:t xml:space="preserve"> </w:t>
      </w:r>
      <w:r>
        <w:t xml:space="preserve">for multivariate similarity of lichen and plant community responses to</w:t>
      </w:r>
      <w:r>
        <w:t xml:space="preserve"> </w:t>
      </w:r>
      <w:r>
        <w:t xml:space="preserve">moth susceptibility.</w:t>
      </w:r>
    </w:p>
    <w:p>
      <w:pPr>
        <w:pStyle w:val="Heading2"/>
      </w:pPr>
      <w:bookmarkStart w:id="63" w:name="sem-methods"/>
      <w:r>
        <w:t xml:space="preserve">SEM Methods</w:t>
      </w:r>
      <w:bookmarkEnd w:id="63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using 100</w:t>
      </w:r>
      <w:r>
        <w:t xml:space="preserve"> </w:t>
      </w:r>
      <w:r>
        <w:t xml:space="preserve">random initial configurations with a maximum of 1000 iterations and a</w:t>
      </w:r>
      <w:r>
        <w:t xml:space="preserve"> </w:t>
      </w:r>
      <w:r>
        <w:t xml:space="preserve">change in 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</w:t>
      </w:r>
      <w:r>
        <w:t xml:space="preserve"> </w:t>
      </w:r>
      <w:r>
        <w:t xml:space="preserve">for one to four dimension configurations, and the configuration with</w:t>
      </w:r>
      <w:r>
        <w:t xml:space="preserve"> </w:t>
      </w:r>
      <w:r>
        <w:t xml:space="preserve">the lowest dimensionality and an unexplained variation less than 10%</w:t>
      </w:r>
      <w:r>
        <w:t xml:space="preserve"> </w:t>
      </w:r>
      <w:r>
        <w:t xml:space="preserve">was selected. Ordinated scores were then rotated for maximum</w:t>
      </w:r>
      <w:r>
        <w:t xml:space="preserve"> </w:t>
      </w:r>
      <w:r>
        <w:t xml:space="preserve">correlation with the tree trait variables using a procrustes rotation</w:t>
      </w:r>
      <w:r>
        <w:t xml:space="preserve"> </w:t>
      </w:r>
      <w:r>
        <w:t xml:space="preserve">(Oksanen et al. 2019).</w:t>
      </w:r>
    </w:p>
    <w:p>
      <w:pPr>
        <w:pStyle w:val="BodyText"/>
      </w:pPr>
      <w:r>
        <w:t xml:space="preserve">Applying an ecological causal modeling approach (Grace and Bollen</w:t>
      </w:r>
      <w:r>
        <w:t xml:space="preserve"> </w:t>
      </w:r>
      <w:r>
        <w:t xml:space="preserve">2008), 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</w:t>
      </w:r>
      <w:r>
        <w:t xml:space="preserve"> </w:t>
      </w:r>
      <w:r>
        <w:t xml:space="preserve">(Figure Supplemental</w:t>
      </w:r>
      <w:r>
        <w:t xml:space="preserve"> </w:t>
      </w:r>
      <w:r>
        <w:rPr>
          <w:i/>
        </w:rPr>
        <w:t xml:space="preserve">a priori models</w:t>
      </w:r>
      <w:r>
        <w:t xml:space="preserve">). We used the differences</w:t>
      </w:r>
      <w:r>
        <w:t xml:space="preserve"> </w:t>
      </w:r>
      <w:r>
        <w:t xml:space="preserve">beteween moth susceptible and resistant trees for all variables in</w:t>
      </w:r>
      <w:r>
        <w:t xml:space="preserve"> </w:t>
      </w:r>
      <w:r>
        <w:t xml:space="preserve">structural model using linear regressions with only the measured</w:t>
      </w:r>
      <w:r>
        <w:t xml:space="preserve"> </w:t>
      </w:r>
      <w:r>
        <w:t xml:space="preserve">variables. Models were fit to the standardized variables using a</w:t>
      </w:r>
      <w:r>
        <w:t xml:space="preserve"> </w:t>
      </w:r>
      <w:r>
        <w:t xml:space="preserve">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test. We</w:t>
      </w:r>
      <w:r>
        <w:t xml:space="preserve"> </w:t>
      </w:r>
      <w:r>
        <w:t xml:space="preserve">modeled the two communities (lichens and plants) separately because we</w:t>
      </w:r>
      <w:r>
        <w:t xml:space="preserve"> </w:t>
      </w:r>
      <w:r>
        <w:t xml:space="preserve">found no significant correlation between the response of the two</w:t>
      </w:r>
      <w:r>
        <w:t xml:space="preserve"> </w:t>
      </w:r>
      <w:r>
        <w:t xml:space="preserve">communities to moth herbivory (see Results).</w:t>
      </w:r>
    </w:p>
    <w:p>
      <w:pPr>
        <w:pStyle w:val="Heading2"/>
      </w:pPr>
      <w:bookmarkStart w:id="64" w:name="X70f56cf3fcc1c62b853eaffbb91fa3a78c0db8e"/>
      <w:r>
        <w:t xml:space="preserve">Moth Susceptibility Impacted Lichen and Plant Communities</w:t>
      </w:r>
      <w:bookmarkEnd w:id="64"/>
    </w:p>
    <w:p>
      <w:pPr>
        <w:pStyle w:val="FirstParagraph"/>
      </w:pPr>
      <w:r>
        <w:t xml:space="preserve">We found significant lichen and plant community differences between</w:t>
      </w:r>
      <w:r>
        <w:t xml:space="preserve"> </w:t>
      </w:r>
      <w:r>
        <w:t xml:space="preserve">moth susceptibile and resistant trees. Abundance, richness and</w:t>
      </w:r>
      <w:r>
        <w:t xml:space="preserve"> </w:t>
      </w:r>
      <w:r>
        <w:t xml:space="preserve">diversity were all lower under susceptible trees for both communities</w:t>
      </w:r>
      <w:r>
        <w:t xml:space="preserve"> </w:t>
      </w:r>
      <w:r>
        <w:t xml:space="preserve">(TABLE abundance richness and diversity t-tests). As a whole both</w:t>
      </w:r>
      <w:r>
        <w:t xml:space="preserve"> </w:t>
      </w:r>
      <w:r>
        <w:t xml:space="preserve">lichen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0.04,</w:t>
      </w:r>
      <w:r>
        <w:t xml:space="preserve"> </w:t>
      </w:r>
      <w:r>
        <w:rPr>
          <w:i/>
        </w:rPr>
        <w:t xml:space="preserve">p</w:t>
      </w:r>
      <w:r>
        <w:t xml:space="preserve">-value = 0.031) and plant (</w:t>
      </w:r>
      <w:r>
        <w:rPr>
          <w:i/>
        </w:rPr>
        <w:t xml:space="preserve">R^2</w:t>
      </w:r>
      <w:r>
        <w:t xml:space="preserve"> </w:t>
      </w:r>
      <w:r>
        <w:t xml:space="preserve">= 0.31,</w:t>
      </w:r>
      <w:r>
        <w:t xml:space="preserve"> </w:t>
      </w:r>
      <w:r>
        <w:rPr>
          <w:i/>
        </w:rPr>
        <w:t xml:space="preserve">p</w:t>
      </w:r>
      <w:r>
        <w:t xml:space="preserve">-value = 0.0001) communities were signifcantly predicted by moth</w:t>
      </w:r>
      <w:r>
        <w:t xml:space="preserve"> </w:t>
      </w:r>
      <w:r>
        <w:t xml:space="preserve">susceptibility. Although the moth effect was significant for both</w:t>
      </w:r>
      <w:r>
        <w:t xml:space="preserve"> </w:t>
      </w:r>
      <w:r>
        <w:t xml:space="preserve">lichens and plants, their multivariate differences were not correlated</w:t>
      </w:r>
      <w:r>
        <w:t xml:space="preserve"> </w:t>
      </w:r>
      <w:r>
        <w:t xml:space="preserve">(Mantel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-0.12,</w:t>
      </w:r>
      <w:r>
        <w:t xml:space="preserve"> </w:t>
      </w:r>
      <w:r>
        <w:rPr>
          <w:i/>
        </w:rPr>
        <w:t xml:space="preserve">p</w:t>
      </w:r>
      <w:r>
        <w:t xml:space="preserve">-value = 0.44).</w:t>
      </w:r>
    </w:p>
    <w:p>
      <w:pPr>
        <w:pStyle w:val="Heading2"/>
      </w:pPr>
      <w:bookmarkStart w:id="65" w:name="X35e8527fac94b4a1e92c1bd947160dd3bb7598c"/>
      <w:r>
        <w:t xml:space="preserve">Causal Pathway of Moth Susceptibility Effects on Communities</w:t>
      </w:r>
      <w:bookmarkEnd w:id="65"/>
    </w:p>
    <w:p>
      <w:pPr>
        <w:pStyle w:val="FirstParagraph"/>
      </w:pPr>
      <w:r>
        <w:t xml:space="preserve">Moth susceptiblity indirectly influenced lichen and plants community</w:t>
      </w:r>
      <w:r>
        <w:t xml:space="preserve"> </w:t>
      </w:r>
      <w:r>
        <w:t xml:space="preserve">composition by impacting local environmental conditions via altered</w:t>
      </w:r>
      <w:r>
        <w:t xml:space="preserve"> </w:t>
      </w:r>
      <w:r>
        <w:t xml:space="preserve">tree traits. Both SEMs fit the lichen</w:t>
      </w:r>
      <w:r>
        <w:t xml:space="preserve"> </w:t>
      </w:r>
      <w:r>
        <w:t xml:space="preserve">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and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data well, as neither model showed significant differences from their observed</w:t>
      </w:r>
      <w:r>
        <w:t xml:space="preserve"> </w:t>
      </w:r>
      <w:r>
        <w:t xml:space="preserve">covariance matrices based on their respective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</w:t>
      </w:r>
      <w:r>
        <w:t xml:space="preserve"> </w:t>
      </w:r>
      <w:r>
        <w:t xml:space="preserve">tests. Moth crown herbivory effects on litter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 Together, both of the</w:t>
      </w:r>
      <w:r>
        <w:t xml:space="preserve"> </w:t>
      </w:r>
      <w:r>
        <w:t xml:space="preserve">SEM support a causal pathway from moth crown herbivory increased</w:t>
      </w:r>
      <w:r>
        <w:t xml:space="preserve"> </w:t>
      </w:r>
      <w:r>
        <w:t xml:space="preserve">litter, which altered the abundance of rocks of different size</w:t>
      </w:r>
      <w:r>
        <w:t xml:space="preserve"> </w:t>
      </w:r>
      <w:r>
        <w:t xml:space="preserve">classes, ultimately impacting the lichen and plant communities</w:t>
      </w:r>
      <w:r>
        <w:t xml:space="preserve"> </w:t>
      </w:r>
      <w:r>
        <w:t xml:space="preserve">(Fig. SEM PATH DIAGRAM). However, causal pathways involving light</w:t>
      </w:r>
      <w:r>
        <w:t xml:space="preserve"> </w:t>
      </w:r>
      <w:r>
        <w:t xml:space="preserve">differences between resulting from moth susceptibility were not</w:t>
      </w:r>
      <w:r>
        <w:t xml:space="preserve"> </w:t>
      </w:r>
      <w:r>
        <w:t xml:space="preserve">supported in either the lichen or the plant SEM (SUPPLEMENTARY TABLE</w:t>
      </w:r>
      <w:r>
        <w:t xml:space="preserve"> </w:t>
      </w:r>
      <w:r>
        <w:t xml:space="preserve">SEM path coefficents).</w:t>
      </w:r>
    </w:p>
    <w:p>
      <w:pPr>
        <w:pStyle w:val="Heading2"/>
      </w:pPr>
      <w:bookmarkStart w:id="66" w:name="software-and-data"/>
      <w:r>
        <w:t xml:space="preserve">Software and Data</w:t>
      </w:r>
      <w:bookmarkEnd w:id="66"/>
    </w:p>
    <w:p>
      <w:pPr>
        <w:pStyle w:val="FirstParagraph"/>
      </w:pPr>
      <w:r>
        <w:t xml:space="preserve">All analyses were done with R version 4.0.4 (R Core Team</w:t>
      </w:r>
      <w:r>
        <w:t xml:space="preserve"> </w:t>
      </w:r>
      <w:r>
        <w:t xml:space="preserve">2021). Univariate</w:t>
      </w:r>
      <w:r>
        <w:t xml:space="preserve"> </w:t>
      </w:r>
      <w:r>
        <w:rPr>
          <w:i/>
        </w:rPr>
        <w:t xml:space="preserve">t</w:t>
      </w:r>
      <w:r>
        <w:t xml:space="preserve">-tests were conducted using the</w:t>
      </w:r>
      <w:r>
        <w:t xml:space="preserve"> </w:t>
      </w:r>
      <w:r>
        <w:rPr>
          <w:i/>
        </w:rPr>
        <w:t xml:space="preserve">stats</w:t>
      </w:r>
      <w:r>
        <w:t xml:space="preserve"> </w:t>
      </w:r>
      <w:r>
        <w:t xml:space="preserve">package</w:t>
      </w:r>
      <w:r>
        <w:t xml:space="preserve"> </w:t>
      </w:r>
      <w:r>
        <w:t xml:space="preserve">(R Core Team 2021). Multivariate analyses were conducted using the</w:t>
      </w:r>
      <w:r>
        <w:t xml:space="preserve"> </w:t>
      </w:r>
      <w:r>
        <w:rPr>
          <w:i/>
        </w:rPr>
        <w:t xml:space="preserve">ecodist</w:t>
      </w:r>
      <w:r>
        <w:t xml:space="preserve"> </w:t>
      </w:r>
      <w:r>
        <w:t xml:space="preserve">package for distance calculations (Goslee &amp; Urban 2007) and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 for PERMANOVA and Mantel</w:t>
      </w:r>
      <w:r>
        <w:t xml:space="preserve"> </w:t>
      </w:r>
      <w:r>
        <w:t xml:space="preserve">tests and to conduct the ordination and procrustes rotation. The</w:t>
      </w:r>
      <w:r>
        <w:t xml:space="preserve"> </w:t>
      </w:r>
      <w:r>
        <w:t xml:space="preserve">structural equation modeling was conducted 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(Rosseel</w:t>
      </w:r>
      <w:r>
        <w:t xml:space="preserve"> </w:t>
      </w:r>
      <w:r>
        <w:t xml:space="preserve">2012) and</w:t>
      </w:r>
      <w:r>
        <w:t xml:space="preserve"> </w:t>
      </w:r>
      <w:r>
        <w:rPr>
          <w:i/>
        </w:rPr>
        <w:t xml:space="preserve">tidygraph</w:t>
      </w:r>
      <w:r>
        <w:t xml:space="preserve"> </w:t>
      </w:r>
      <w:r>
        <w:t xml:space="preserve">(Pedersen 2020) packages. Data and software for</w:t>
      </w:r>
      <w:r>
        <w:t xml:space="preserve"> </w:t>
      </w:r>
      <w:r>
        <w:t xml:space="preserve">all the analyses are deposited as a reproducible workflow using the</w:t>
      </w:r>
      <w:r>
        <w:t xml:space="preserve"> </w:t>
      </w:r>
      <w:r>
        <w:t xml:space="preserve">drake package (Landau 2018) at Zenodo</w:t>
      </w:r>
      <w:r>
        <w:t xml:space="preserve"> </w:t>
      </w:r>
      <w:r>
        <w:t xml:space="preserve">(</w:t>
      </w:r>
      <w:hyperlink r:id="rId67">
        <w:r>
          <w:rPr>
            <w:rStyle w:val="Hyperlink"/>
          </w:rPr>
          <w:t xml:space="preserve">https://zenodo.org/record/4531170</w:t>
        </w:r>
      </w:hyperlink>
      <w:r>
        <w:t xml:space="preserve">).</w:t>
      </w:r>
    </w:p>
    <w:p>
      <w:pPr>
        <w:pStyle w:val="Heading2"/>
      </w:pPr>
      <w:bookmarkStart w:id="68" w:name="citations"/>
      <w:r>
        <w:t xml:space="preserve">Citations</w:t>
      </w:r>
      <w:bookmarkEnd w:id="68"/>
    </w:p>
    <w:p>
      <w:pPr>
        <w:pStyle w:val="FirstParagraph"/>
      </w:pPr>
      <w:r>
        <w:t xml:space="preserve">Grace, James B. and Bollen, Kenneth A. 2008. Representing general</w:t>
      </w:r>
      <w:r>
        <w:t xml:space="preserve"> </w:t>
      </w:r>
      <w:r>
        <w:t xml:space="preserve">theoretical concepts in structural equation models: the role of</w:t>
      </w:r>
      <w:r>
        <w:t xml:space="preserve"> </w:t>
      </w:r>
      <w:r>
        <w:t xml:space="preserve">composite variables. Environmental and Ecological Statistics,</w:t>
      </w:r>
      <w:r>
        <w:t xml:space="preserve"> </w:t>
      </w:r>
      <w:r>
        <w:t xml:space="preserve">Vol. 15, Issue. 2, p. 191.</w:t>
      </w:r>
    </w:p>
    <w:p>
      <w:pPr>
        <w:pStyle w:val="BodyText"/>
      </w:pPr>
      <w:r>
        <w:t xml:space="preserve">Oksanen, Jari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</w:p>
    <w:p>
      <w:pPr>
        <w:pStyle w:val="BodyText"/>
      </w:pPr>
      <w:r>
        <w:t xml:space="preserve">Pedersen, Thomas Lin (2020). tidygraph: A Tidy API for Graph</w:t>
      </w:r>
      <w:r>
        <w:t xml:space="preserve"> </w:t>
      </w:r>
      <w:r>
        <w:t xml:space="preserve">Manipulation. R package version 1.2.0.</w:t>
      </w:r>
    </w:p>
    <w:p>
      <w:pPr>
        <w:pStyle w:val="BodyText"/>
      </w:pPr>
      <w:r>
        <w:t xml:space="preserve">R Core Team (2021). R: A language and environment for statistical</w:t>
      </w:r>
      <w:r>
        <w:t xml:space="preserve"> </w:t>
      </w:r>
      <w:r>
        <w:t xml:space="preserve">computing. R Foundation for Statistical Computing, Vienna, Austria.</w:t>
      </w:r>
    </w:p>
    <w:p>
      <w:pPr>
        <w:pStyle w:val="BodyText"/>
      </w:pPr>
      <w:r>
        <w:t xml:space="preserve">Rosseel, Yves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9" w:name="figure-captions"/>
      <w:r>
        <w:t xml:space="preserve">Figure Captions</w:t>
      </w:r>
      <w:bookmarkEnd w:id="69"/>
    </w:p>
    <w:p>
      <w:pPr>
        <w:pStyle w:val="FirstParagraph"/>
      </w:pPr>
      <w:r>
        <w:t xml:space="preserve">Path diagrams of the structural equation models (SEM) for the (A)</w:t>
      </w:r>
      <w:r>
        <w:t xml:space="preserve"> </w:t>
      </w:r>
      <w:r>
        <w:t xml:space="preserve">lichen and (B) plant communities. Boxes are measured variables and</w:t>
      </w:r>
      <w:r>
        <w:t xml:space="preserve"> </w:t>
      </w:r>
      <w:r>
        <w:t xml:space="preserve">single-headed arrows show the directed hypothesized causal link</w:t>
      </w:r>
      <w:r>
        <w:t xml:space="preserve"> </w:t>
      </w:r>
      <w:r>
        <w:t xml:space="preserve">between variables with the standardized path coeffiecients overlayed</w:t>
      </w:r>
      <w:r>
        <w:t xml:space="preserve"> </w:t>
      </w:r>
      <w:r>
        <w:t xml:space="preserve">onto their respective arrows. Double-headed arrows and undirected</w:t>
      </w:r>
      <w:r>
        <w:t xml:space="preserve"> </w:t>
      </w:r>
      <w:r>
        <w:t xml:space="preserve">dashed lines show the variances and co-variances, respectively. Only</w:t>
      </w:r>
      <w:r>
        <w:t xml:space="preserve"> </w:t>
      </w:r>
      <w:r>
        <w:t xml:space="preserve">variables with at least one significant path coefficient are shown for</w:t>
      </w:r>
      <w:r>
        <w:t xml:space="preserve"> </w:t>
      </w:r>
      <w:r>
        <w:t xml:space="preserve">clarity and estimates for all modeled pathways can be found in</w:t>
      </w:r>
      <w:r>
        <w:t xml:space="preserve"> </w:t>
      </w:r>
      <w:r>
        <w:t xml:space="preserve">Supplementary Table ????.</w:t>
      </w:r>
    </w:p>
    <w:p>
      <w:pPr>
        <w:pStyle w:val="BodyText"/>
      </w:pPr>
      <w:r>
        <w:t xml:space="preserve">Bivariate plots of the procrustes rotated ordinations for the (A)</w:t>
      </w:r>
      <w:r>
        <w:t xml:space="preserve"> </w:t>
      </w:r>
      <w:r>
        <w:t xml:space="preserve">lichen and (B) plant communities. Overlaid vectors show the magnitude</w:t>
      </w:r>
      <w:r>
        <w:t xml:space="preserve"> </w:t>
      </w:r>
      <w:r>
        <w:t xml:space="preserve">and direction of the correlations for variables indicated by their</w:t>
      </w:r>
      <w:r>
        <w:t xml:space="preserve"> </w:t>
      </w:r>
      <w:r>
        <w:t xml:space="preserve">respective labels.</w:t>
      </w:r>
    </w:p>
    <w:p>
      <w:pPr>
        <w:pStyle w:val="Heading2"/>
      </w:pPr>
      <w:bookmarkStart w:id="70" w:name="table-legends"/>
      <w:r>
        <w:t xml:space="preserve">Table Legends</w:t>
      </w:r>
      <w:bookmarkEnd w:id="70"/>
    </w:p>
    <w:p>
      <w:pPr>
        <w:pStyle w:val="FirstParagraph"/>
      </w:pPr>
      <w:r>
        <w:t xml:space="preserve">Combined results from the univariate</w:t>
      </w:r>
      <w:r>
        <w:t xml:space="preserve"> </w:t>
      </w:r>
      <w:r>
        <w:rPr>
          <w:i/>
        </w:rPr>
        <w:t xml:space="preserve">t</w:t>
      </w:r>
      <w:r>
        <w:t xml:space="preserve">-tests of the differences of</w:t>
      </w:r>
      <w:r>
        <w:t xml:space="preserve"> </w:t>
      </w:r>
      <w:r>
        <w:t xml:space="preserve">the community metrics (abundance, richness and diversity) between moth</w:t>
      </w:r>
      <w:r>
        <w:t xml:space="preserve"> </w:t>
      </w:r>
      <w:r>
        <w:t xml:space="preserve">susceptible and resistiant trees (S -R).</w:t>
      </w:r>
    </w:p>
    <w:p>
      <w:pPr>
        <w:pStyle w:val="SourceCode"/>
      </w:pP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tab.ttest.ard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(community, metric, tab.ard.combined)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"statistic.t"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"parameter.df"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"df"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"estimate.mean.of.x"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"results/table_ard_combined.csv"</w:t>
      </w:r>
      <w:r>
        <w:rPr>
          <w:rStyle w:val="NormalTok"/>
        </w:rPr>
        <w:t xml:space="preserve">, tab.ard.combined)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(tab.ard.combined,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include.rownames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12:27:02 2021</w:t>
      </w:r>
    </w:p>
    <w:p>
      <w:pPr>
        <w:pStyle w:val="BodyText"/>
      </w:pPr>
      <w:r>
        <w:t xml:space="preserve">Standardized path coefficients, variance and covariance statistics</w:t>
      </w:r>
      <w:r>
        <w:t xml:space="preserve"> </w:t>
      </w:r>
      <w:r>
        <w:t xml:space="preserve">from the Lavann structural equation modeling (SEM) for the lichen</w:t>
      </w:r>
      <w:r>
        <w:t xml:space="preserve"> </w:t>
      </w:r>
      <w:r>
        <w:t xml:space="preserve">community. The labels show the pathway for path coefficients with the</w:t>
      </w:r>
      <w:r>
        <w:t xml:space="preserve"> </w:t>
      </w:r>
      <w:r>
        <w:t xml:space="preserve">directionality indicated by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and covariances are indicated by</w:t>
      </w:r>
      <w:r>
        <w:t xml:space="preserve"> </w:t>
      </w:r>
      <w:r>
        <w:t xml:space="preserve">“</w:t>
      </w:r>
      <w:r>
        <w:t xml:space="preserve">WITH</w:t>
      </w:r>
      <w:r>
        <w:t xml:space="preserve">”</w:t>
      </w:r>
      <w:r>
        <w:t xml:space="preserve">. Paths common to both models are only shown once while other</w:t>
      </w:r>
      <w:r>
        <w:t xml:space="preserve"> </w:t>
      </w:r>
      <w:r>
        <w:t xml:space="preserve">varialbes specific to each model are preceded by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for lichen and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for plant community. The</w:t>
      </w:r>
      <w:r>
        <w:t xml:space="preserve"> </w:t>
      </w:r>
      <w:r>
        <w:rPr>
          <w:i/>
        </w:rPr>
        <w:t xml:space="preserve">est_sig</w:t>
      </w:r>
      <w:r>
        <w:t xml:space="preserve"> </w:t>
      </w:r>
      <w:r>
        <w:t xml:space="preserve">column contains the standardize</w:t>
      </w:r>
      <w:r>
        <w:t xml:space="preserve"> </w:t>
      </w:r>
      <w:r>
        <w:t xml:space="preserve">path coefficient and possibly asterisks indicating the level of</w:t>
      </w:r>
      <w:r>
        <w:t xml:space="preserve"> </w:t>
      </w:r>
      <w:r>
        <w:t xml:space="preserve">significance. The standard error and</w:t>
      </w:r>
      <w:r>
        <w:t xml:space="preserve"> </w:t>
      </w:r>
      <w:r>
        <w:rPr>
          <w:i/>
        </w:rPr>
        <w:t xml:space="preserve">p</w:t>
      </w:r>
      <w:r>
        <w:t xml:space="preserve">-value for the linear</w:t>
      </w:r>
      <w:r>
        <w:t xml:space="preserve"> </w:t>
      </w:r>
      <w:r>
        <w:t xml:space="preserve">regression for each path are in the following columns</w:t>
      </w:r>
      <w:r>
        <w:t xml:space="preserve"> </w:t>
      </w:r>
      <w:r>
        <w:rPr>
          <w:i/>
        </w:rPr>
        <w:t xml:space="preserve">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pval</w:t>
      </w:r>
      <w:r>
        <w:t xml:space="preserve">,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sem.combined[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]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".A."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".abundance."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".richness."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".diversity."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".axis"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l.axis1.ON.rock.lg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l.axis2.ON.rock.lg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l.axis1.WITH.l.axis2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p.axis1.ON.light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p.axis1.ON.rock.sm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p.axis2.ON.light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p.axis2.ON.rock.sm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p.axis3.ON.light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p.axis3.ON.rock.sm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p.axis2.WITH.p.axis3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"results/sem_results_combined.csv"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sem.combined,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7" Target="https://zenodo.org/record/4531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s://zenodo.org/record/4531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2021-05-06T16:27:05Z</dcterms:created>
  <dcterms:modified xsi:type="dcterms:W3CDTF">2021-05-06T16:27:05Z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