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2025-06-14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0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0"/>
    <w:bookmarkStart w:id="51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1"/>
    <w:bookmarkStart w:id="52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0"/>
        </w:numPr>
      </w:pPr>
      <w:r>
        <w:t xml:space="preserve">TBD</w:t>
      </w:r>
    </w:p>
    <w:bookmarkEnd w:id="52"/>
    <w:bookmarkStart w:id="53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1"/>
        </w:numPr>
      </w:pPr>
      <w:r>
        <w:t xml:space="preserve">Repetition and Preparation for the Exam</w:t>
      </w:r>
    </w:p>
    <w:bookmarkEnd w:id="53"/>
    <w:bookmarkStart w:id="59" w:name="references"/>
    <w:p>
      <w:pPr>
        <w:pStyle w:val="Heading2"/>
      </w:pPr>
      <w:r>
        <w:t xml:space="preserve">References</w:t>
      </w:r>
    </w:p>
    <w:bookmarkStart w:id="58" w:name="refs"/>
    <w:bookmarkStart w:id="54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4"/>
    <w:bookmarkStart w:id="55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55"/>
    <w:bookmarkStart w:id="56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56"/>
    <w:bookmarkStart w:id="57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57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2025-06-14T14:29:48Z</dcterms:created>
  <dcterms:modified xsi:type="dcterms:W3CDTF">2025-06-14T14:29:48Z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