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2025-06-02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(20.05.2025)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2" w:name="sec-lecture3"/>
    <w:p>
      <w:pPr>
        <w:pStyle w:val="Heading2"/>
      </w:pPr>
      <w:r>
        <w:t xml:space="preserve">3 Lecture 3: CNNs (03.06.2025)</w:t>
      </w:r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39">
        <w:r>
          <w:rPr>
            <w:rStyle w:val="Hyperlink"/>
          </w:rPr>
          <w:t xml:space="preserve">Lecture 3: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d2l Chapter 8: CNNs</w:t>
        </w:r>
      </w:hyperlink>
    </w:p>
    <w:bookmarkEnd w:id="42"/>
    <w:bookmarkStart w:id="45" w:name="sec-lecture4"/>
    <w:p>
      <w:pPr>
        <w:pStyle w:val="Heading2"/>
      </w:pPr>
      <w:r>
        <w:t xml:space="preserve">4 Lecture 4: Classification, Segmentation, AutoEncoders (10.06.2025)</w:t>
      </w:r>
    </w:p>
    <w:p>
      <w:pPr>
        <w:pStyle w:val="Compact"/>
        <w:numPr>
          <w:ilvl w:val="0"/>
          <w:numId w:val="1004"/>
        </w:numPr>
      </w:pPr>
      <w:hyperlink r:id="rId43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5"/>
    <w:bookmarkStart w:id="46" w:name="sec-lecture5"/>
    <w:p>
      <w:pPr>
        <w:pStyle w:val="Heading2"/>
      </w:pPr>
      <w:r>
        <w:t xml:space="preserve">5 Miniproject (10.6.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6"/>
    <w:bookmarkStart w:id="47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bookmarkEnd w:id="47"/>
    <w:bookmarkStart w:id="48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48"/>
    <w:bookmarkStart w:id="49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49"/>
    <w:bookmarkStart w:id="50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0"/>
        </w:numPr>
      </w:pPr>
      <w:r>
        <w:t xml:space="preserve">TBD</w:t>
      </w:r>
    </w:p>
    <w:bookmarkEnd w:id="50"/>
    <w:bookmarkStart w:id="51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1"/>
        </w:numPr>
      </w:pPr>
      <w:r>
        <w:t xml:space="preserve">Repetition and Preparation for the Exam</w:t>
      </w:r>
    </w:p>
    <w:bookmarkEnd w:id="51"/>
    <w:bookmarkStart w:id="57" w:name="references"/>
    <w:p>
      <w:pPr>
        <w:pStyle w:val="Heading2"/>
      </w:pPr>
      <w:r>
        <w:t xml:space="preserve">References</w:t>
      </w:r>
    </w:p>
    <w:bookmarkStart w:id="56" w:name="refs"/>
    <w:bookmarkStart w:id="52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52"/>
    <w:bookmarkStart w:id="53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53"/>
    <w:bookmarkStart w:id="54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54"/>
    <w:bookmarkStart w:id="55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55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4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3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01_intro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3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01_intro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2025-06-02T10:36:16Z</dcterms:created>
  <dcterms:modified xsi:type="dcterms:W3CDTF">2025-06-02T10:36:16Z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