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 Genomics</w:t>
      </w:r>
    </w:p>
    <w:p>
      <w:pPr>
        <w:pStyle w:val="Subtitle"/>
      </w:pPr>
      <w:r>
        <w:t xml:space="preserve">Computational Materials Discovery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2026-01-20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course introduces students to materials genomics, treating the periodic table</w:t>
      </w:r>
      <w:r>
        <w:t xml:space="preserve"> </w:t>
      </w:r>
      <w:r>
        <w:t xml:space="preserve">and the space of known crystal structures as a searchable, computable design space.</w:t>
      </w:r>
      <w:r>
        <w:t xml:space="preserve"> </w:t>
      </w:r>
      <w:r>
        <w:t xml:space="preserve">Students learn how materials databases are built, how atomic structure is represented</w:t>
      </w:r>
      <w:r>
        <w:t xml:space="preserve"> </w:t>
      </w:r>
      <w:r>
        <w:t xml:space="preserve">numerically, how structure–property relationships are learned using machine learning,</w:t>
      </w:r>
      <w:r>
        <w:t xml:space="preserve"> </w:t>
      </w:r>
      <w:r>
        <w:t xml:space="preserve">and how uncertainty-aware models enable accelerated materials discovery.</w:t>
      </w:r>
    </w:p>
    <w:bookmarkStart w:id="20" w:name="course-information"/>
    <w:p>
      <w:pPr>
        <w:pStyle w:val="Heading2"/>
      </w:pPr>
      <w:r>
        <w:t xml:space="preserve">1 Course Information</w:t>
      </w:r>
    </w:p>
    <w:p>
      <w:pPr>
        <w:pStyle w:val="FirstParagraph"/>
      </w:pPr>
      <w:r>
        <w:rPr>
          <w:b/>
          <w:bCs/>
        </w:rPr>
        <w:t xml:space="preserve">4th/5th Semester – 5 ECTS · 2h lecture + 2h exercises per week</w:t>
      </w:r>
      <w:r>
        <w:br/>
      </w:r>
      <w:r>
        <w:rPr>
          <w:i/>
          <w:iCs/>
        </w:rPr>
        <w:t xml:space="preserve">Coordinated with</w:t>
      </w:r>
      <w:r>
        <w:rPr>
          <w:i/>
          <w:iCs/>
        </w:rPr>
        <w:t xml:space="preserve"> </w:t>
      </w:r>
      <w:r>
        <w:rPr>
          <w:i/>
          <w:iCs/>
        </w:rPr>
        <w:t xml:space="preserve">“Mathematical Foundations of AI &amp; ML”</w:t>
      </w:r>
      <w:r>
        <w:rPr>
          <w:i/>
          <w:iCs/>
        </w:rPr>
        <w:t xml:space="preserve"> </w:t>
      </w:r>
      <w:r>
        <w:rPr>
          <w:i/>
          <w:iCs/>
        </w:rPr>
        <w:t xml:space="preserve">(MFML) and</w:t>
      </w:r>
      <w:r>
        <w:br/>
      </w:r>
      <w:r>
        <w:rPr>
          <w:i/>
          <w:iCs/>
        </w:rPr>
        <w:t xml:space="preserve">“ML for Materials Processing &amp; Characterization”</w:t>
      </w:r>
      <w:r>
        <w:rPr>
          <w:i/>
          <w:iCs/>
        </w:rPr>
        <w:t xml:space="preserve"> </w:t>
      </w:r>
      <w:r>
        <w:rPr>
          <w:i/>
          <w:iCs/>
        </w:rPr>
        <w:t xml:space="preserve">(ML-PC)</w:t>
      </w:r>
    </w:p>
    <w:p>
      <w:r>
        <w:pict>
          <v:rect style="width:0;height:1.5pt" o:hralign="center" o:hrstd="t" o:hr="t"/>
        </w:pict>
      </w:r>
    </w:p>
    <w:bookmarkEnd w:id="20"/>
    <w:bookmarkStart w:id="21" w:name="course-philosophy"/>
    <w:p>
      <w:pPr>
        <w:pStyle w:val="Heading2"/>
      </w:pPr>
      <w:r>
        <w:t xml:space="preserve">2 Course Philosophy</w:t>
      </w:r>
    </w:p>
    <w:p>
      <w:pPr>
        <w:pStyle w:val="FirstParagraph"/>
      </w:pPr>
      <w:r>
        <w:t xml:space="preserve">Materials genomics views the periodic table and all known crystal structures as a</w:t>
      </w:r>
      <w:r>
        <w:t xml:space="preserve"> </w:t>
      </w:r>
      <w:r>
        <w:rPr>
          <w:b/>
          <w:bCs/>
        </w:rPr>
        <w:t xml:space="preserve">high-dimensional design space</w:t>
      </w:r>
      <w:r>
        <w:t xml:space="preserve">.</w:t>
      </w:r>
    </w:p>
    <w:p>
      <w:pPr>
        <w:pStyle w:val="BodyText"/>
      </w:pPr>
      <w:r>
        <w:t xml:space="preserve">In this course, students learn to:</w:t>
      </w:r>
    </w:p>
    <w:p>
      <w:pPr>
        <w:pStyle w:val="Compact"/>
        <w:numPr>
          <w:ilvl w:val="0"/>
          <w:numId w:val="1001"/>
        </w:numPr>
      </w:pPr>
      <w:r>
        <w:t xml:space="preserve">treat materials data as a structured, learnable representation space,</w:t>
      </w:r>
    </w:p>
    <w:p>
      <w:pPr>
        <w:pStyle w:val="Compact"/>
        <w:numPr>
          <w:ilvl w:val="0"/>
          <w:numId w:val="1001"/>
        </w:numPr>
      </w:pPr>
      <w:r>
        <w:t xml:space="preserve">move beyond classical descriptors toward learned representations,</w:t>
      </w:r>
    </w:p>
    <w:p>
      <w:pPr>
        <w:pStyle w:val="Compact"/>
        <w:numPr>
          <w:ilvl w:val="0"/>
          <w:numId w:val="1001"/>
        </w:numPr>
      </w:pPr>
      <w:r>
        <w:t xml:space="preserve">use ML models as surrogates for quantum-mechanical calculations,</w:t>
      </w:r>
    </w:p>
    <w:p>
      <w:pPr>
        <w:pStyle w:val="Compact"/>
        <w:numPr>
          <w:ilvl w:val="0"/>
          <w:numId w:val="1001"/>
        </w:numPr>
      </w:pPr>
      <w:r>
        <w:t xml:space="preserve">reason about uncertainty, stability, and discovery,</w:t>
      </w:r>
    </w:p>
    <w:p>
      <w:pPr>
        <w:pStyle w:val="Compact"/>
        <w:numPr>
          <w:ilvl w:val="0"/>
          <w:numId w:val="1001"/>
        </w:numPr>
      </w:pPr>
      <w:r>
        <w:t xml:space="preserve">understand how computational screening integrates with experiments.</w:t>
      </w:r>
    </w:p>
    <w:p>
      <w:pPr>
        <w:pStyle w:val="FirstParagraph"/>
      </w:pPr>
      <w:r>
        <w:t xml:space="preserve">The course explicitly</w:t>
      </w:r>
      <w:r>
        <w:t xml:space="preserve"> </w:t>
      </w:r>
      <w:r>
        <w:rPr>
          <w:b/>
          <w:bCs/>
        </w:rPr>
        <w:t xml:space="preserve">builds on MFML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PCA and regression are assumed background,</w:t>
      </w:r>
    </w:p>
    <w:p>
      <w:pPr>
        <w:pStyle w:val="Compact"/>
        <w:numPr>
          <w:ilvl w:val="0"/>
          <w:numId w:val="1002"/>
        </w:numPr>
      </w:pPr>
      <w:r>
        <w:t xml:space="preserve">neural networks, representation learning, and uncertainty are used, not re-derived.</w:t>
      </w:r>
    </w:p>
    <w:p>
      <w:r>
        <w:pict>
          <v:rect style="width:0;height:1.5pt" o:hralign="center" o:hrstd="t" o:hr="t"/>
        </w:pict>
      </w:r>
    </w:p>
    <w:bookmarkEnd w:id="21"/>
    <w:bookmarkStart w:id="41" w:name="week-by-week-curriculum-14-weeks"/>
    <w:p>
      <w:pPr>
        <w:pStyle w:val="Heading2"/>
      </w:pPr>
      <w:r>
        <w:t xml:space="preserve">3 Week-by-Week Curriculum (14 weeks)</w:t>
      </w:r>
    </w:p>
    <w:bookmarkStart w:id="25" w:name="Xf3b9271a675a44e21c154e9ca258b7145a6d1cd"/>
    <w:p>
      <w:pPr>
        <w:pStyle w:val="Heading3"/>
      </w:pPr>
      <w:r>
        <w:t xml:space="preserve">3.1 Unit I — Materials Data as a Design Space (Weeks 1–3)</w:t>
      </w:r>
    </w:p>
    <w:bookmarkStart w:id="22" w:name="week-1-what-is-materials-genomics"/>
    <w:p>
      <w:pPr>
        <w:pStyle w:val="Heading4"/>
      </w:pPr>
      <w:r>
        <w:t xml:space="preserve">3.1.1 Week 1 – What is Materials Genomics?</w:t>
      </w:r>
    </w:p>
    <w:p>
      <w:pPr>
        <w:pStyle w:val="Compact"/>
        <w:numPr>
          <w:ilvl w:val="0"/>
          <w:numId w:val="1003"/>
        </w:numPr>
      </w:pPr>
      <w:r>
        <w:t xml:space="preserve">Genomics analogy: genes → functions vs atoms → properties.</w:t>
      </w:r>
    </w:p>
    <w:p>
      <w:pPr>
        <w:pStyle w:val="Compact"/>
        <w:numPr>
          <w:ilvl w:val="0"/>
          <w:numId w:val="1003"/>
        </w:numPr>
      </w:pPr>
      <w:r>
        <w:t xml:space="preserve">Structure–property–processing paradigm from a</w:t>
      </w:r>
      <w:r>
        <w:t xml:space="preserve"> </w:t>
      </w:r>
      <w:r>
        <w:rPr>
          <w:i/>
          <w:iCs/>
        </w:rPr>
        <w:t xml:space="preserve">structure-first</w:t>
      </w:r>
      <w:r>
        <w:t xml:space="preserve"> </w:t>
      </w:r>
      <w:r>
        <w:t xml:space="preserve">viewpoint.</w:t>
      </w:r>
    </w:p>
    <w:p>
      <w:pPr>
        <w:pStyle w:val="Compact"/>
        <w:numPr>
          <w:ilvl w:val="0"/>
          <w:numId w:val="1003"/>
        </w:numPr>
      </w:pPr>
      <w:r>
        <w:t xml:space="preserve">Overview of major databases: Materials Project, OQMD, AFLOW, NOMAD.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Explore Materials Project; query bandgaps, formation energies, symmetries.</w:t>
      </w:r>
    </w:p>
    <w:p>
      <w:r>
        <w:pict>
          <v:rect style="width:0;height:1.5pt" o:hralign="center" o:hrstd="t" o:hr="t"/>
        </w:pict>
      </w:r>
    </w:p>
    <w:bookmarkEnd w:id="22"/>
    <w:bookmarkStart w:id="23" w:name="X7cc210532313b347880842b69cedb18e9c7b1ac"/>
    <w:p>
      <w:pPr>
        <w:pStyle w:val="Heading4"/>
      </w:pPr>
      <w:r>
        <w:t xml:space="preserve">3.1.2 Week 2 – Crystal structures, symmetry, and low-dimensional structure</w:t>
      </w:r>
    </w:p>
    <w:p>
      <w:pPr>
        <w:pStyle w:val="Compact"/>
        <w:numPr>
          <w:ilvl w:val="0"/>
          <w:numId w:val="1004"/>
        </w:numPr>
      </w:pPr>
      <w:r>
        <w:t xml:space="preserve">Crystal structures as data objects.</w:t>
      </w:r>
    </w:p>
    <w:p>
      <w:pPr>
        <w:pStyle w:val="Compact"/>
        <w:numPr>
          <w:ilvl w:val="0"/>
          <w:numId w:val="1004"/>
        </w:numPr>
      </w:pPr>
      <w:r>
        <w:t xml:space="preserve">Space groups, Wyckoff positions, symmetry constraints.</w:t>
      </w:r>
    </w:p>
    <w:p>
      <w:pPr>
        <w:pStyle w:val="Compact"/>
        <w:numPr>
          <w:ilvl w:val="0"/>
          <w:numId w:val="1004"/>
        </w:numPr>
      </w:pPr>
      <w:r>
        <w:t xml:space="preserve">PCA as an</w:t>
      </w:r>
      <w:r>
        <w:t xml:space="preserve"> </w:t>
      </w:r>
      <w:r>
        <w:rPr>
          <w:i/>
          <w:iCs/>
        </w:rPr>
        <w:t xml:space="preserve">exploratory tool</w:t>
      </w:r>
      <w:r>
        <w:t xml:space="preserve"> </w:t>
      </w:r>
      <w:r>
        <w:t xml:space="preserve">for structural/property data (refresher).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Use pymatgen/spglib to analyze symmetry; visualize PCA of structural features.</w:t>
      </w:r>
    </w:p>
    <w:p>
      <w:r>
        <w:pict>
          <v:rect style="width:0;height:1.5pt" o:hralign="center" o:hrstd="t" o:hr="t"/>
        </w:pict>
      </w:r>
    </w:p>
    <w:bookmarkEnd w:id="23"/>
    <w:bookmarkStart w:id="24" w:name="X3b0762771cf15099bc72043a5775824676fdcf3"/>
    <w:p>
      <w:pPr>
        <w:pStyle w:val="Heading4"/>
      </w:pPr>
      <w:r>
        <w:t xml:space="preserve">3.1.3 Week 3 – Materials databases &amp; thermodynamic quantities</w:t>
      </w:r>
    </w:p>
    <w:p>
      <w:pPr>
        <w:pStyle w:val="Compact"/>
        <w:numPr>
          <w:ilvl w:val="0"/>
          <w:numId w:val="1005"/>
        </w:numPr>
      </w:pPr>
      <w:r>
        <w:t xml:space="preserve">File formats: CIF, POSCAR, database schemas.</w:t>
      </w:r>
    </w:p>
    <w:p>
      <w:pPr>
        <w:pStyle w:val="Compact"/>
        <w:numPr>
          <w:ilvl w:val="0"/>
          <w:numId w:val="1005"/>
        </w:numPr>
      </w:pPr>
      <w:r>
        <w:t xml:space="preserve">Formation energies, convex hulls, metastability.</w:t>
      </w:r>
    </w:p>
    <w:p>
      <w:pPr>
        <w:pStyle w:val="Compact"/>
        <w:numPr>
          <w:ilvl w:val="0"/>
          <w:numId w:val="1005"/>
        </w:numPr>
      </w:pPr>
      <w:r>
        <w:t xml:space="preserve">What databases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contain (bias, incompleteness).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Parse CIF files; compute basic structural properties; analyze stability.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d84df46f80fde56ebbf41985b35a710864d84a8"/>
    <w:p>
      <w:pPr>
        <w:pStyle w:val="Heading3"/>
      </w:pPr>
      <w:r>
        <w:t xml:space="preserve">3.2 Unit II — Representations of Materials (Weeks 4–6)</w:t>
      </w:r>
    </w:p>
    <w:p>
      <w:pPr>
        <w:pStyle w:val="FirstParagraph"/>
      </w:pPr>
      <w:r>
        <w:rPr>
          <w:i/>
          <w:iCs/>
        </w:rPr>
        <w:t xml:space="preserve">(Aligned with early neural networks in MFML)</w:t>
      </w:r>
    </w:p>
    <w:bookmarkStart w:id="26" w:name="X8709d6efa1d172d0b4bfeaa436844d2966e233d"/>
    <w:p>
      <w:pPr>
        <w:pStyle w:val="Heading4"/>
      </w:pPr>
      <w:r>
        <w:t xml:space="preserve">3.2.1 Week 4 – From classical descriptors to learned representations</w:t>
      </w:r>
    </w:p>
    <w:p>
      <w:pPr>
        <w:pStyle w:val="Compact"/>
        <w:numPr>
          <w:ilvl w:val="0"/>
          <w:numId w:val="1006"/>
        </w:numPr>
      </w:pPr>
      <w:r>
        <w:t xml:space="preserve">Classical descriptors: Magpie, matminer (composition-based).</w:t>
      </w:r>
    </w:p>
    <w:p>
      <w:pPr>
        <w:pStyle w:val="Compact"/>
        <w:numPr>
          <w:ilvl w:val="0"/>
          <w:numId w:val="1006"/>
        </w:numPr>
      </w:pPr>
      <w:r>
        <w:t xml:space="preserve">Limits of hand-crafted features.</w:t>
      </w:r>
    </w:p>
    <w:p>
      <w:pPr>
        <w:pStyle w:val="Compact"/>
        <w:numPr>
          <w:ilvl w:val="0"/>
          <w:numId w:val="1006"/>
        </w:numPr>
      </w:pPr>
      <w:r>
        <w:t xml:space="preserve">Why representation learning matters.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Build a simple property predictor using classical descriptors.</w:t>
      </w:r>
    </w:p>
    <w:p>
      <w:r>
        <w:pict>
          <v:rect style="width:0;height:1.5pt" o:hralign="center" o:hrstd="t" o:hr="t"/>
        </w:pict>
      </w:r>
    </w:p>
    <w:bookmarkEnd w:id="26"/>
    <w:bookmarkStart w:id="27" w:name="Xc6c5bdcecb328727de6421231be4eb0310fc823"/>
    <w:p>
      <w:pPr>
        <w:pStyle w:val="Heading4"/>
      </w:pPr>
      <w:r>
        <w:t xml:space="preserve">3.2.2 Week 5 – Graph-based crystal representations</w:t>
      </w:r>
    </w:p>
    <w:p>
      <w:pPr>
        <w:pStyle w:val="Compact"/>
        <w:numPr>
          <w:ilvl w:val="0"/>
          <w:numId w:val="1007"/>
        </w:numPr>
      </w:pPr>
      <w:r>
        <w:t xml:space="preserve">Crystals as graphs: nodes, edges, periodicity.</w:t>
      </w:r>
    </w:p>
    <w:p>
      <w:pPr>
        <w:pStyle w:val="Compact"/>
        <w:numPr>
          <w:ilvl w:val="0"/>
          <w:numId w:val="1007"/>
        </w:numPr>
      </w:pPr>
      <w:r>
        <w:t xml:space="preserve">Intuition behind CGCNN, MEGNet (no architecture deep dive).</w:t>
      </w:r>
    </w:p>
    <w:p>
      <w:pPr>
        <w:pStyle w:val="Compact"/>
        <w:numPr>
          <w:ilvl w:val="0"/>
          <w:numId w:val="1007"/>
        </w:numPr>
      </w:pPr>
      <w:r>
        <w:t xml:space="preserve">Relation to MFML neural network concepts.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Construct a graph representation of crystals; visualize connectivity.</w:t>
      </w:r>
    </w:p>
    <w:p>
      <w:r>
        <w:pict>
          <v:rect style="width:0;height:1.5pt" o:hralign="center" o:hrstd="t" o:hr="t"/>
        </w:pict>
      </w:r>
    </w:p>
    <w:bookmarkEnd w:id="27"/>
    <w:bookmarkStart w:id="28" w:name="week-6-local-atomic-environments"/>
    <w:p>
      <w:pPr>
        <w:pStyle w:val="Heading4"/>
      </w:pPr>
      <w:r>
        <w:t xml:space="preserve">3.2.3 Week 6 – Local atomic environments</w:t>
      </w:r>
    </w:p>
    <w:p>
      <w:pPr>
        <w:pStyle w:val="Compact"/>
        <w:numPr>
          <w:ilvl w:val="0"/>
          <w:numId w:val="1008"/>
        </w:numPr>
      </w:pPr>
      <w:r>
        <w:t xml:space="preserve">Local vs global representations.</w:t>
      </w:r>
    </w:p>
    <w:p>
      <w:pPr>
        <w:pStyle w:val="Compact"/>
        <w:numPr>
          <w:ilvl w:val="0"/>
          <w:numId w:val="1008"/>
        </w:numPr>
      </w:pPr>
      <w:r>
        <w:t xml:space="preserve">Coordination environments, Voronoi tessellations.</w:t>
      </w:r>
    </w:p>
    <w:p>
      <w:pPr>
        <w:pStyle w:val="Compact"/>
        <w:numPr>
          <w:ilvl w:val="0"/>
          <w:numId w:val="1008"/>
        </w:numPr>
      </w:pPr>
      <w:r>
        <w:t xml:space="preserve">SOAP descriptors as a bridge to learned representations.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Compute SOAP vectors; cluster structures in environment space.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5760f5217955fa5e7b324c535097d65d30d9faa"/>
    <w:p>
      <w:pPr>
        <w:pStyle w:val="Heading3"/>
      </w:pPr>
      <w:r>
        <w:t xml:space="preserve">3.3 Unit III — Learning Structure–Property Relations (Weeks 7–9)</w:t>
      </w:r>
    </w:p>
    <w:bookmarkStart w:id="30" w:name="X12ef3de22980ca731b967e5537b0fa642e8fd61"/>
    <w:p>
      <w:pPr>
        <w:pStyle w:val="Heading4"/>
      </w:pPr>
      <w:r>
        <w:t xml:space="preserve">3.3.1 Week 7 – Regression and generalization in materials data</w:t>
      </w:r>
    </w:p>
    <w:p>
      <w:pPr>
        <w:pStyle w:val="Compact"/>
        <w:numPr>
          <w:ilvl w:val="0"/>
          <w:numId w:val="1009"/>
        </w:numPr>
      </w:pPr>
      <w:r>
        <w:t xml:space="preserve">Predicting bandgaps, elastic moduli, formation energies.</w:t>
      </w:r>
    </w:p>
    <w:p>
      <w:pPr>
        <w:pStyle w:val="Compact"/>
        <w:numPr>
          <w:ilvl w:val="0"/>
          <w:numId w:val="1009"/>
        </w:numPr>
      </w:pPr>
      <w:r>
        <w:t xml:space="preserve">Bias–variance and overfitting in materials datasets.</w:t>
      </w:r>
    </w:p>
    <w:p>
      <w:pPr>
        <w:pStyle w:val="Compact"/>
        <w:numPr>
          <w:ilvl w:val="0"/>
          <w:numId w:val="1009"/>
        </w:numPr>
      </w:pPr>
      <w:r>
        <w:t xml:space="preserve">Dataset size vs model complexity.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Compare linear, random forest, and NN regressors on a materials dataset.</w:t>
      </w:r>
    </w:p>
    <w:p>
      <w:r>
        <w:pict>
          <v:rect style="width:0;height:1.5pt" o:hralign="center" o:hrstd="t" o:hr="t"/>
        </w:pict>
      </w:r>
    </w:p>
    <w:bookmarkEnd w:id="30"/>
    <w:bookmarkStart w:id="31" w:name="Xdc25f69e08f07951a3e789eb9bdf5aadcb6671a"/>
    <w:p>
      <w:pPr>
        <w:pStyle w:val="Heading4"/>
      </w:pPr>
      <w:r>
        <w:t xml:space="preserve">3.3.2 Week 8 – Neural networks for materials properties</w:t>
      </w:r>
    </w:p>
    <w:p>
      <w:pPr>
        <w:pStyle w:val="Compact"/>
        <w:numPr>
          <w:ilvl w:val="0"/>
          <w:numId w:val="1010"/>
        </w:numPr>
      </w:pPr>
      <w:r>
        <w:t xml:space="preserve">Neural networks as universal surrogates for DFT-level properties.</w:t>
      </w:r>
    </w:p>
    <w:p>
      <w:pPr>
        <w:pStyle w:val="Compact"/>
        <w:numPr>
          <w:ilvl w:val="0"/>
          <w:numId w:val="1010"/>
        </w:numPr>
      </w:pPr>
      <w:r>
        <w:t xml:space="preserve">Training pitfalls: data leakage, imbalance, extrapolation.</w:t>
      </w:r>
    </w:p>
    <w:p>
      <w:pPr>
        <w:pStyle w:val="Compact"/>
        <w:numPr>
          <w:ilvl w:val="0"/>
          <w:numId w:val="1010"/>
        </w:numPr>
      </w:pPr>
      <w:r>
        <w:t xml:space="preserve">Physical interpretability concerns.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Train a small NN for property prediction; analyze overfitting.</w:t>
      </w:r>
    </w:p>
    <w:p>
      <w:r>
        <w:pict>
          <v:rect style="width:0;height:1.5pt" o:hralign="center" o:hrstd="t" o:hr="t"/>
        </w:pict>
      </w:r>
    </w:p>
    <w:bookmarkEnd w:id="31"/>
    <w:bookmarkStart w:id="32" w:name="X4302757447c958acd7eb432015e80f4b584f82e"/>
    <w:p>
      <w:pPr>
        <w:pStyle w:val="Heading4"/>
      </w:pPr>
      <w:r>
        <w:t xml:space="preserve">3.3.3 Week 9 – Representation learning and feature discovery</w:t>
      </w:r>
    </w:p>
    <w:p>
      <w:pPr>
        <w:pStyle w:val="Compact"/>
        <w:numPr>
          <w:ilvl w:val="0"/>
          <w:numId w:val="1011"/>
        </w:numPr>
      </w:pPr>
      <w:r>
        <w:t xml:space="preserve">Learned vs engineered features.</w:t>
      </w:r>
    </w:p>
    <w:p>
      <w:pPr>
        <w:pStyle w:val="Compact"/>
        <w:numPr>
          <w:ilvl w:val="0"/>
          <w:numId w:val="1011"/>
        </w:numPr>
      </w:pPr>
      <w:r>
        <w:t xml:space="preserve">What networks</w:t>
      </w:r>
      <w:r>
        <w:t xml:space="preserve"> </w:t>
      </w:r>
      <w:r>
        <w:t xml:space="preserve">“learn”</w:t>
      </w:r>
      <w:r>
        <w:t xml:space="preserve"> </w:t>
      </w:r>
      <w:r>
        <w:t xml:space="preserve">about chemistry and structure.</w:t>
      </w:r>
    </w:p>
    <w:p>
      <w:pPr>
        <w:pStyle w:val="Compact"/>
        <w:numPr>
          <w:ilvl w:val="0"/>
          <w:numId w:val="1011"/>
        </w:numPr>
      </w:pPr>
      <w:r>
        <w:t xml:space="preserve">Transferability across chemical systems.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Compare performance using raw descriptors vs learned embeddings.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da3fde8532c57320bab4ff9f637078c39af8e09"/>
    <w:p>
      <w:pPr>
        <w:pStyle w:val="Heading3"/>
      </w:pPr>
      <w:r>
        <w:t xml:space="preserve">3.4 Unit IV — Latent Spaces, Uncertainty, and Discovery (Weeks 10–12)</w:t>
      </w:r>
    </w:p>
    <w:bookmarkStart w:id="34" w:name="week-10-latent-spaces-of-materials"/>
    <w:p>
      <w:pPr>
        <w:pStyle w:val="Heading4"/>
      </w:pPr>
      <w:r>
        <w:t xml:space="preserve">3.4.1 Week 10 – Latent spaces of materials</w:t>
      </w:r>
    </w:p>
    <w:p>
      <w:pPr>
        <w:pStyle w:val="Compact"/>
        <w:numPr>
          <w:ilvl w:val="0"/>
          <w:numId w:val="1012"/>
        </w:numPr>
      </w:pPr>
      <w:r>
        <w:t xml:space="preserve">Autoencoders and embeddings for crystal data.</w:t>
      </w:r>
    </w:p>
    <w:p>
      <w:pPr>
        <w:pStyle w:val="Compact"/>
        <w:numPr>
          <w:ilvl w:val="0"/>
          <w:numId w:val="1012"/>
        </w:numPr>
      </w:pPr>
      <w:r>
        <w:t xml:space="preserve">Interpreting latent dimensions.</w:t>
      </w:r>
    </w:p>
    <w:p>
      <w:pPr>
        <w:pStyle w:val="Compact"/>
        <w:numPr>
          <w:ilvl w:val="0"/>
          <w:numId w:val="1012"/>
        </w:numPr>
      </w:pPr>
      <w:r>
        <w:t xml:space="preserve">Relation to chemical intuition and structure families.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Train an autoencoder; visualize latent materials space.</w:t>
      </w:r>
    </w:p>
    <w:p>
      <w:r>
        <w:pict>
          <v:rect style="width:0;height:1.5pt" o:hralign="center" o:hrstd="t" o:hr="t"/>
        </w:pict>
      </w:r>
    </w:p>
    <w:bookmarkEnd w:id="34"/>
    <w:bookmarkStart w:id="35" w:name="X1f44b414b77c2751510f144eb1bfdd8ed842d99"/>
    <w:p>
      <w:pPr>
        <w:pStyle w:val="Heading4"/>
      </w:pPr>
      <w:r>
        <w:t xml:space="preserve">3.4.2 Week 11 – Clustering vs discovery in materials spaces</w:t>
      </w:r>
    </w:p>
    <w:p>
      <w:pPr>
        <w:pStyle w:val="Compact"/>
        <w:numPr>
          <w:ilvl w:val="0"/>
          <w:numId w:val="1013"/>
        </w:numPr>
      </w:pPr>
      <w:r>
        <w:t xml:space="preserve">Why clustering ≠ discovery.</w:t>
      </w:r>
    </w:p>
    <w:p>
      <w:pPr>
        <w:pStyle w:val="Compact"/>
        <w:numPr>
          <w:ilvl w:val="0"/>
          <w:numId w:val="1013"/>
        </w:numPr>
      </w:pPr>
      <w:r>
        <w:t xml:space="preserve">Structure in latent space.</w:t>
      </w:r>
    </w:p>
    <w:p>
      <w:pPr>
        <w:pStyle w:val="Compact"/>
        <w:numPr>
          <w:ilvl w:val="0"/>
          <w:numId w:val="1013"/>
        </w:numPr>
      </w:pPr>
      <w:r>
        <w:t xml:space="preserve">Identifying families, outliers, and anomalies.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Compare k-means clustering with latent-space organization.</w:t>
      </w:r>
    </w:p>
    <w:p>
      <w:r>
        <w:pict>
          <v:rect style="width:0;height:1.5pt" o:hralign="center" o:hrstd="t" o:hr="t"/>
        </w:pict>
      </w:r>
    </w:p>
    <w:bookmarkEnd w:id="35"/>
    <w:bookmarkStart w:id="36" w:name="X2c68495ecd2fa3d78c6d24d847b65210e5648d8"/>
    <w:p>
      <w:pPr>
        <w:pStyle w:val="Heading4"/>
      </w:pPr>
      <w:r>
        <w:t xml:space="preserve">3.4.3 Week 12 – Uncertainty-aware discovery &amp; Gaussian Processes</w:t>
      </w:r>
    </w:p>
    <w:p>
      <w:pPr>
        <w:pStyle w:val="Compact"/>
        <w:numPr>
          <w:ilvl w:val="0"/>
          <w:numId w:val="1014"/>
        </w:numPr>
      </w:pPr>
      <w:r>
        <w:t xml:space="preserve">Aleatoric vs epistemic uncertainty.</w:t>
      </w:r>
    </w:p>
    <w:p>
      <w:pPr>
        <w:pStyle w:val="Compact"/>
        <w:numPr>
          <w:ilvl w:val="0"/>
          <w:numId w:val="1014"/>
        </w:numPr>
      </w:pPr>
      <w:r>
        <w:t xml:space="preserve">Gaussian Process regression as a gold standard for uncertainty.</w:t>
      </w:r>
    </w:p>
    <w:p>
      <w:pPr>
        <w:pStyle w:val="Compact"/>
        <w:numPr>
          <w:ilvl w:val="0"/>
          <w:numId w:val="1014"/>
        </w:numPr>
      </w:pPr>
      <w:r>
        <w:t xml:space="preserve">Exploration vs exploitation in materials screening.</w:t>
      </w:r>
    </w:p>
    <w:p>
      <w:pPr>
        <w:pStyle w:val="Compact"/>
        <w:numPr>
          <w:ilvl w:val="0"/>
          <w:numId w:val="1014"/>
        </w:numPr>
      </w:pPr>
      <w:r>
        <w:t xml:space="preserve">Relevance to materials acceleration platforms.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GP regression vs NN ensembles; visualize uncertainty-driven screening.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59c1e682dc0491b9d33aa03ff89ff967d9b307d"/>
    <w:p>
      <w:pPr>
        <w:pStyle w:val="Heading3"/>
      </w:pPr>
      <w:r>
        <w:t xml:space="preserve">3.5 Unit V — Constraints, Trust, and Synthesis (Weeks 13–14)</w:t>
      </w:r>
    </w:p>
    <w:bookmarkStart w:id="38" w:name="Xae9b8897162e8a73169d0582f163a404793aa08"/>
    <w:p>
      <w:pPr>
        <w:pStyle w:val="Heading4"/>
      </w:pPr>
      <w:r>
        <w:t xml:space="preserve">3.5.1 Week 13 – Physical constraints and informed learning</w:t>
      </w:r>
    </w:p>
    <w:p>
      <w:pPr>
        <w:pStyle w:val="Compact"/>
        <w:numPr>
          <w:ilvl w:val="0"/>
          <w:numId w:val="1015"/>
        </w:numPr>
      </w:pPr>
      <w:r>
        <w:t xml:space="preserve">Stability, charge neutrality, symmetry constraints.</w:t>
      </w:r>
    </w:p>
    <w:p>
      <w:pPr>
        <w:pStyle w:val="Compact"/>
        <w:numPr>
          <w:ilvl w:val="0"/>
          <w:numId w:val="1015"/>
        </w:numPr>
      </w:pPr>
      <w:r>
        <w:t xml:space="preserve">Physics-informed ML in materials discovery.</w:t>
      </w:r>
    </w:p>
    <w:p>
      <w:pPr>
        <w:pStyle w:val="Compact"/>
        <w:numPr>
          <w:ilvl w:val="0"/>
          <w:numId w:val="1015"/>
        </w:numPr>
      </w:pPr>
      <w:r>
        <w:t xml:space="preserve">Failure modes of unconstrained models.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Train a constrained model using penalty-based approaches.</w:t>
      </w:r>
    </w:p>
    <w:p>
      <w:r>
        <w:pict>
          <v:rect style="width:0;height:1.5pt" o:hralign="center" o:hrstd="t" o:hr="t"/>
        </w:pict>
      </w:r>
    </w:p>
    <w:bookmarkEnd w:id="38"/>
    <w:bookmarkStart w:id="39" w:name="week-14-integration-limits-and-outlook"/>
    <w:p>
      <w:pPr>
        <w:pStyle w:val="Heading4"/>
      </w:pPr>
      <w:r>
        <w:t xml:space="preserve">3.5.2 Week 14 – Integration, limits, and outlook</w:t>
      </w:r>
    </w:p>
    <w:p>
      <w:pPr>
        <w:pStyle w:val="Compact"/>
        <w:numPr>
          <w:ilvl w:val="0"/>
          <w:numId w:val="1016"/>
        </w:numPr>
      </w:pPr>
      <w:r>
        <w:t xml:space="preserve">Explainability of materials ML models.</w:t>
      </w:r>
    </w:p>
    <w:p>
      <w:pPr>
        <w:pStyle w:val="Compact"/>
        <w:numPr>
          <w:ilvl w:val="0"/>
          <w:numId w:val="1016"/>
        </w:numPr>
      </w:pPr>
      <w:r>
        <w:t xml:space="preserve">What ML can and cannot discover.</w:t>
      </w:r>
    </w:p>
    <w:p>
      <w:pPr>
        <w:pStyle w:val="Compact"/>
        <w:numPr>
          <w:ilvl w:val="0"/>
          <w:numId w:val="1016"/>
        </w:numPr>
      </w:pPr>
      <w:r>
        <w:t xml:space="preserve">How computational genomics meets experiment-driven workflows.</w:t>
      </w:r>
    </w:p>
    <w:p>
      <w:pPr>
        <w:pStyle w:val="FirstParagraph"/>
      </w:pPr>
      <w:r>
        <w:rPr>
          <w:b/>
          <w:bCs/>
        </w:rPr>
        <w:t xml:space="preserve">Exercise:</w:t>
      </w:r>
      <w:r>
        <w:br/>
      </w:r>
      <w:r>
        <w:t xml:space="preserve">Mini-project synthesis and presentation.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2" w:name="learning-outcomes"/>
    <w:p>
      <w:pPr>
        <w:pStyle w:val="Heading2"/>
      </w:pPr>
      <w:r>
        <w:t xml:space="preserve">4 Learning Outcomes</w:t>
      </w:r>
    </w:p>
    <w:p>
      <w:pPr>
        <w:pStyle w:val="FirstParagraph"/>
      </w:pPr>
      <w:r>
        <w:t xml:space="preserve">Students completing this course will be able to:</w:t>
      </w:r>
    </w:p>
    <w:p>
      <w:pPr>
        <w:pStyle w:val="Compact"/>
        <w:numPr>
          <w:ilvl w:val="0"/>
          <w:numId w:val="1017"/>
        </w:numPr>
      </w:pPr>
      <w:r>
        <w:t xml:space="preserve">Navigate and interrogate major materials databases.</w:t>
      </w:r>
    </w:p>
    <w:p>
      <w:pPr>
        <w:pStyle w:val="Compact"/>
        <w:numPr>
          <w:ilvl w:val="0"/>
          <w:numId w:val="1017"/>
        </w:numPr>
      </w:pPr>
      <w:r>
        <w:t xml:space="preserve">Represent crystal structures using descriptors, graphs, and learned embeddings.</w:t>
      </w:r>
    </w:p>
    <w:p>
      <w:pPr>
        <w:pStyle w:val="Compact"/>
        <w:numPr>
          <w:ilvl w:val="0"/>
          <w:numId w:val="1017"/>
        </w:numPr>
      </w:pPr>
      <w:r>
        <w:t xml:space="preserve">Train and evaluate ML models for predicting materials properties.</w:t>
      </w:r>
    </w:p>
    <w:p>
      <w:pPr>
        <w:pStyle w:val="Compact"/>
        <w:numPr>
          <w:ilvl w:val="0"/>
          <w:numId w:val="1017"/>
        </w:numPr>
      </w:pPr>
      <w:r>
        <w:t xml:space="preserve">Understand latent spaces and their role in materials discovery.</w:t>
      </w:r>
    </w:p>
    <w:p>
      <w:pPr>
        <w:pStyle w:val="Compact"/>
        <w:numPr>
          <w:ilvl w:val="0"/>
          <w:numId w:val="1017"/>
        </w:numPr>
      </w:pPr>
      <w:r>
        <w:t xml:space="preserve">Quantify and interpret uncertainty in materials predictions.</w:t>
      </w:r>
    </w:p>
    <w:p>
      <w:pPr>
        <w:pStyle w:val="Compact"/>
        <w:numPr>
          <w:ilvl w:val="0"/>
          <w:numId w:val="1017"/>
        </w:numPr>
      </w:pPr>
      <w:r>
        <w:t xml:space="preserve">Apply ML to accelerate materials screening responsibly.</w:t>
      </w:r>
    </w:p>
    <w:p>
      <w:pPr>
        <w:pStyle w:val="Compact"/>
        <w:numPr>
          <w:ilvl w:val="0"/>
          <w:numId w:val="1017"/>
        </w:numPr>
      </w:pPr>
      <w:r>
        <w:t xml:space="preserve">Critically assess the limits of data-driven materials discovery.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 Genomics</dc:title>
  <dc:creator>Philipp Pelz</dc:creator>
  <cp:keywords>Materials Science, Machine Learning, Computational Materials Discovery, Materials Databases, Crystal Structure</cp:keywords>
  <dcterms:created xsi:type="dcterms:W3CDTF">2026-01-20T12:46:55Z</dcterms:created>
  <dcterms:modified xsi:type="dcterms:W3CDTF">2026-01-20T12:46:55Z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course introduces students to materials genomics, treating the periodic table and the space of known crystal structures as a searchable, computable design space. Students learn how materials databases are built, how atomic structure is represented numerically, how structure–property relationships are learned using machine learning, and how uncertainty-aware models enable accelerated materials discovery.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2026-01-20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pyter">
    <vt:lpwstr>python3</vt:lpwstr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subtitle">
    <vt:lpwstr>Computational Materials Discovery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