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760"/>
      </w:pPr>
    </w:p>
    <w:p>
      <w:pPr>
        <w:widowControl/>
        <w:spacing w:after="200"/>
      </w:pPr>
      <w:r>
        <w:rPr>
          <w:rFonts w:ascii="Carlito" w:hAnsi="Carlito"/>
          <w:b/>
          <w:i w:val="0"/>
          <w:color w:val="4C78A8"/>
          <w:sz w:val="20"/>
        </w:rPr>
        <w:t>PRAKTIJKINSTRUMENT VOOR AI-REGIE</w:t>
      </w:r>
    </w:p>
    <w:p>
      <w:pPr>
        <w:pStyle w:val="Title"/>
        <w:widowControl/>
        <w:spacing w:after="20"/>
      </w:pPr>
      <w:r>
        <w:rPr>
          <w:rFonts w:ascii="Carlito" w:hAnsi="Carlito"/>
          <w:i w:val="0"/>
        </w:rPr>
        <w:t>PAM-AI</w:t>
      </w:r>
    </w:p>
    <w:p>
      <w:pPr>
        <w:pStyle w:val="Title"/>
        <w:widowControl/>
      </w:pPr>
      <w:r>
        <w:rPr>
          <w:rFonts w:ascii="Carlito" w:hAnsi="Carlito"/>
          <w:i w:val="0"/>
          <w:sz w:val="44"/>
        </w:rPr>
        <w:t>Proportionele AI-modelkeuze</w:t>
      </w:r>
    </w:p>
    <w:p>
      <w:pPr>
        <w:pStyle w:val="Subtitle"/>
        <w:widowControl/>
      </w:pPr>
      <w:r>
        <w:rPr>
          <w:rFonts w:ascii="Carlito" w:hAnsi="Carlito"/>
          <w:i w:val="0"/>
        </w:rPr>
        <w:t>Methodiek, praktijkhandleiding en validatieprotocol</w:t>
      </w:r>
    </w:p>
    <w:p>
      <w:pPr>
        <w:widowControl/>
        <w:spacing w:after="300"/>
      </w:pP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4C78A8"/>
            <w:tcBorders>
              <w:top w:val="single" w:sz="0" w:color="4C78A8"/>
              <w:left w:val="single" w:sz="0" w:color="4C78A8"/>
              <w:bottom w:val="single" w:sz="0" w:color="4C78A8"/>
              <w:right w:val="single" w:sz="0" w:color="4C78A8"/>
              <w:insideH w:val="single" w:sz="0" w:color="4C78A8"/>
              <w:insideV w:val="single" w:sz="0" w:color="4C78A8"/>
            </w:tcBorders>
          </w:tcPr>
          <w:p/>
        </w:tc>
        <w:tc>
          <w:tcPr>
            <w:tcW w:type="dxa" w:w="9383"/>
            <w:shd w:fill="E8F1FA"/>
            <w:tcBorders>
              <w:top w:val="single" w:sz="0" w:color="E8F1FA"/>
              <w:left w:val="single" w:sz="0" w:color="E8F1FA"/>
              <w:bottom w:val="single" w:sz="0" w:color="E8F1FA"/>
              <w:right w:val="single" w:sz="0" w:color="E8F1FA"/>
              <w:insideH w:val="single" w:sz="0" w:color="E8F1FA"/>
              <w:insideV w:val="single" w:sz="0" w:color="E8F1FA"/>
            </w:tcBorders>
            <w:tcMar>
              <w:top w:w="120" w:type="dxa"/>
              <w:start w:w="160" w:type="dxa"/>
              <w:bottom w:w="120" w:type="dxa"/>
              <w:end w:w="160" w:type="dxa"/>
            </w:tcMar>
          </w:tcPr>
          <w:p>
            <w:pPr>
              <w:spacing w:after="0"/>
            </w:pPr>
            <w:r>
              <w:rPr>
                <w:rFonts w:ascii="Carlito" w:hAnsi="Carlito"/>
                <w:b/>
                <w:color w:val="102A43"/>
                <w:sz w:val="21"/>
              </w:rPr>
              <w:t>Van ‘welk model is het beste?’ naar ‘welke oplossing is passend?’</w:t>
              <w:br/>
            </w:r>
            <w:r>
              <w:rPr>
                <w:rFonts w:ascii="Carlito" w:hAnsi="Carlito"/>
                <w:color w:val="243B53"/>
                <w:sz w:val="18"/>
              </w:rPr>
              <w:t>PAM-AI helpt organisaties een concrete AI-configuratie te vergelijken met alternatieven — inclusief de huidige niet-AI-werkwijze — op toelaatbaarheid, voldoende geschiktheid en proportionaliteit.</w:t>
            </w:r>
          </w:p>
        </w:tc>
      </w:tr>
    </w:tbl>
    <w:p>
      <w:pPr>
        <w:widowControl/>
        <w:spacing w:after="0"/>
      </w:pPr>
    </w:p>
    <w:p>
      <w:pPr>
        <w:widowControl/>
        <w:spacing w:after="560"/>
      </w:pPr>
    </w:p>
    <w:tbl>
      <w:tblPr>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1134"/>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8"/>
              </w:rPr>
              <w:t>Versie</w:t>
            </w:r>
          </w:p>
        </w:tc>
        <w:tc>
          <w:tcPr>
            <w:tcW w:type="dxa" w:w="2494"/>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8"/>
              </w:rPr>
              <w:t>Auteur</w:t>
            </w:r>
          </w:p>
        </w:tc>
        <w:tc>
          <w:tcPr>
            <w:tcW w:type="dxa" w:w="1757"/>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8"/>
              </w:rPr>
              <w:t>Datum</w:t>
            </w:r>
          </w:p>
        </w:tc>
        <w:tc>
          <w:tcPr>
            <w:tcW w:type="dxa" w:w="3969"/>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8"/>
              </w:rPr>
              <w:t>Status</w:t>
            </w:r>
          </w:p>
        </w:tc>
      </w:tr>
      <w:tr>
        <w:tc>
          <w:tcPr>
            <w:tcW w:type="dxa" w:w="113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1.1</w:t>
            </w:r>
          </w:p>
        </w:tc>
        <w:tc>
          <w:tcPr>
            <w:tcW w:type="dxa" w:w="249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E.C.M. Willems</w:t>
            </w:r>
          </w:p>
        </w:tc>
        <w:tc>
          <w:tcPr>
            <w:tcW w:type="dxa" w:w="175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4 september 2026</w:t>
            </w:r>
          </w:p>
        </w:tc>
        <w:tc>
          <w:tcPr>
            <w:tcW w:type="dxa" w:w="3969"/>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Research-grade validatiekandidaat</w:t>
            </w:r>
          </w:p>
        </w:tc>
      </w:tr>
    </w:tbl>
    <w:p>
      <w:pPr>
        <w:widowControl/>
        <w:spacing w:after="0"/>
      </w:pPr>
    </w:p>
    <w:p>
      <w:pPr>
        <w:widowControl/>
        <w:spacing w:after="1100"/>
      </w:pPr>
    </w:p>
    <w:p>
      <w:pPr>
        <w:widowControl/>
        <w:jc w:val="center"/>
      </w:pPr>
      <w:r>
        <w:rPr>
          <w:rFonts w:ascii="Carlito" w:hAnsi="Carlito"/>
          <w:i/>
          <w:color w:val="486581"/>
          <w:sz w:val="22"/>
        </w:rPr>
        <w:t>Ontworpen voor praktische toepassing én externe validatie.</w:t>
      </w:r>
    </w:p>
    <w:p>
      <w:pPr>
        <w:widowControl/>
        <w:jc w:val="center"/>
      </w:pPr>
      <w:r>
        <w:rPr>
          <w:rFonts w:ascii="Carlito" w:hAnsi="Carlito"/>
          <w:i w:val="0"/>
          <w:color w:val="486581"/>
          <w:sz w:val="18"/>
        </w:rPr>
        <w:t>Niet gepresenteerd als reeds empirisch gevalideerde norm.</w:t>
      </w:r>
    </w:p>
    <w:p>
      <w:pPr>
        <w:widowControl/>
      </w:pPr>
      <w:r>
        <w:br w:type="page"/>
      </w:r>
    </w:p>
    <w:p>
      <w:pPr>
        <w:widowControl/>
        <w:spacing w:after="60"/>
      </w:pPr>
      <w:r>
        <w:rPr>
          <w:rFonts w:ascii="Carlito" w:hAnsi="Carlito"/>
          <w:b/>
          <w:i w:val="0"/>
          <w:color w:val="4C78A8"/>
          <w:sz w:val="17"/>
        </w:rPr>
        <w:t>START IN TIEN MINUTEN</w:t>
      </w:r>
    </w:p>
    <w:p>
      <w:pPr>
        <w:pStyle w:val="Heading1"/>
        <w:keepNext/>
        <w:keepLines/>
        <w:widowControl/>
      </w:pPr>
      <w:r>
        <w:rPr>
          <w:rFonts w:ascii="Carlito" w:hAnsi="Carlito"/>
          <w:i w:val="0"/>
        </w:rPr>
        <w:t>Quick start: zo gebruik je PAM-AI</w:t>
      </w:r>
    </w:p>
    <w:p>
      <w:pPr>
        <w:widowControl/>
      </w:pPr>
      <w:r>
        <w:rPr>
          <w:rFonts w:ascii="Carlito" w:hAnsi="Carlito"/>
          <w:i w:val="0"/>
        </w:rPr>
        <w:t>Het werkboek volgt één redeneerketen. Begin niet bij benchmarks of modellen, maar bij het besluit dat je moet nemen.</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453"/>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8"/>
              </w:rPr>
            </w:r>
          </w:p>
        </w:tc>
        <w:tc>
          <w:tcPr>
            <w:tcW w:type="dxa" w:w="1814"/>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8"/>
              </w:rPr>
              <w:t>Stap</w:t>
            </w:r>
          </w:p>
        </w:tc>
        <w:tc>
          <w:tcPr>
            <w:tcW w:type="dxa" w:w="7087"/>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8"/>
              </w:rPr>
              <w:t>Doe dit</w:t>
            </w:r>
          </w:p>
        </w:tc>
      </w:tr>
      <w:tr>
        <w:tc>
          <w:tcPr>
            <w:tcW w:type="dxa" w:w="45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1</w:t>
            </w:r>
          </w:p>
        </w:tc>
        <w:tc>
          <w:tcPr>
            <w:tcW w:type="dxa" w:w="181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Intake</w:t>
            </w:r>
          </w:p>
        </w:tc>
        <w:tc>
          <w:tcPr>
            <w:tcW w:type="dxa" w:w="708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Beschrijf taak, legitiem doel, beoogd gebruik, geraakten en de huidige niet-AI-baseline.</w:t>
            </w:r>
          </w:p>
        </w:tc>
      </w:tr>
      <w:tr>
        <w:tc>
          <w:tcPr>
            <w:tcW w:type="dxa" w:w="453"/>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2</w:t>
            </w:r>
          </w:p>
        </w:tc>
        <w:tc>
          <w:tcPr>
            <w:tcW w:type="dxa" w:w="181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Route</w:t>
            </w:r>
          </w:p>
        </w:tc>
        <w:tc>
          <w:tcPr>
            <w:tcW w:type="dxa" w:w="708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Beantwoord zeven routeringsvragen. Bevestig R1–R4 of motiveer de afwijking.</w:t>
            </w:r>
          </w:p>
        </w:tc>
      </w:tr>
      <w:tr>
        <w:tc>
          <w:tcPr>
            <w:tcW w:type="dxa" w:w="45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3</w:t>
            </w:r>
          </w:p>
        </w:tc>
        <w:tc>
          <w:tcPr>
            <w:tcW w:type="dxa" w:w="181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Kandidaten</w:t>
            </w:r>
          </w:p>
        </w:tc>
        <w:tc>
          <w:tcPr>
            <w:tcW w:type="dxa" w:w="708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Leg de echte configuratie vast: versie, deployment, tools, RAG, agents en instellingen.</w:t>
            </w:r>
          </w:p>
        </w:tc>
      </w:tr>
      <w:tr>
        <w:tc>
          <w:tcPr>
            <w:tcW w:type="dxa" w:w="453"/>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4</w:t>
            </w:r>
          </w:p>
        </w:tc>
        <w:tc>
          <w:tcPr>
            <w:tcW w:type="dxa" w:w="181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Poort 1</w:t>
            </w:r>
          </w:p>
        </w:tc>
        <w:tc>
          <w:tcPr>
            <w:tcW w:type="dxa" w:w="708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Sluit ontoelaatbare opties uit. FAIL kan nooit door prestaties of kosten worden gecompenseerd.</w:t>
            </w:r>
          </w:p>
        </w:tc>
      </w:tr>
      <w:tr>
        <w:tc>
          <w:tcPr>
            <w:tcW w:type="dxa" w:w="45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5</w:t>
            </w:r>
          </w:p>
        </w:tc>
        <w:tc>
          <w:tcPr>
            <w:tcW w:type="dxa" w:w="181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Test</w:t>
            </w:r>
          </w:p>
        </w:tc>
        <w:tc>
          <w:tcPr>
            <w:tcW w:type="dxa" w:w="708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Definieer acceptatie en critical errors vooraf; voer vergelijkbare cases uit.</w:t>
            </w:r>
          </w:p>
        </w:tc>
      </w:tr>
      <w:tr>
        <w:tc>
          <w:tcPr>
            <w:tcW w:type="dxa" w:w="453"/>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6</w:t>
            </w:r>
          </w:p>
        </w:tc>
        <w:tc>
          <w:tcPr>
            <w:tcW w:type="dxa" w:w="181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Bewijs</w:t>
            </w:r>
          </w:p>
        </w:tc>
        <w:tc>
          <w:tcPr>
            <w:tcW w:type="dxa" w:w="708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Lees PASS, FAIL of MORE EVIDENCE en controleer kosten, menswerk en kritieke bewijsdimensies.</w:t>
            </w:r>
          </w:p>
        </w:tc>
      </w:tr>
      <w:tr>
        <w:tc>
          <w:tcPr>
            <w:tcW w:type="dxa" w:w="45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7</w:t>
            </w:r>
          </w:p>
        </w:tc>
        <w:tc>
          <w:tcPr>
            <w:tcW w:type="dxa" w:w="181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Vergelijk en besluit</w:t>
            </w:r>
          </w:p>
        </w:tc>
        <w:tc>
          <w:tcPr>
            <w:tcW w:type="dxa" w:w="708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8"/>
              </w:rPr>
              <w:t>Motiveer marginale waarde, voorwaarden, eigenaar en herbeoordeling.</w:t>
            </w:r>
          </w:p>
        </w:tc>
      </w:tr>
    </w:tbl>
    <w:p>
      <w:pPr>
        <w:widowControl/>
        <w:spacing w:after="0"/>
      </w:pP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D99A00"/>
            <w:tcBorders>
              <w:top w:val="single" w:sz="0" w:color="D99A00"/>
              <w:left w:val="single" w:sz="0" w:color="D99A00"/>
              <w:bottom w:val="single" w:sz="0" w:color="D99A00"/>
              <w:right w:val="single" w:sz="0" w:color="D99A00"/>
              <w:insideH w:val="single" w:sz="0" w:color="D99A00"/>
              <w:insideV w:val="single" w:sz="0" w:color="D99A00"/>
            </w:tcBorders>
          </w:tcPr>
          <w:p/>
        </w:tc>
        <w:tc>
          <w:tcPr>
            <w:tcW w:type="dxa" w:w="9383"/>
            <w:shd w:fill="FFF1C2"/>
            <w:tcBorders>
              <w:top w:val="single" w:sz="0" w:color="FFF1C2"/>
              <w:left w:val="single" w:sz="0" w:color="FFF1C2"/>
              <w:bottom w:val="single" w:sz="0" w:color="FFF1C2"/>
              <w:right w:val="single" w:sz="0" w:color="FFF1C2"/>
              <w:insideH w:val="single" w:sz="0" w:color="FFF1C2"/>
              <w:insideV w:val="single" w:sz="0" w:color="FFF1C2"/>
            </w:tcBorders>
            <w:tcMar>
              <w:top w:w="120" w:type="dxa"/>
              <w:start w:w="160" w:type="dxa"/>
              <w:bottom w:w="120" w:type="dxa"/>
              <w:end w:w="160" w:type="dxa"/>
            </w:tcMar>
          </w:tcPr>
          <w:p>
            <w:pPr>
              <w:spacing w:after="0"/>
            </w:pPr>
            <w:r>
              <w:rPr>
                <w:rFonts w:ascii="Carlito" w:hAnsi="Carlito"/>
                <w:b/>
                <w:color w:val="102A43"/>
                <w:sz w:val="21"/>
              </w:rPr>
              <w:t>De praktische versnelling zit in de route, niet in minder zorgvuldig denken</w:t>
              <w:br/>
            </w:r>
            <w:r>
              <w:rPr>
                <w:rFonts w:ascii="Carlito" w:hAnsi="Carlito"/>
                <w:color w:val="243B53"/>
                <w:sz w:val="18"/>
              </w:rPr>
              <w:t>R1 ondersteunt een begrensde verkenning of pilot. R2–R4 vragen steeds sterker bewijs en aanvullende beoordeling naarmate impact, schaal, gevoeligheid of mandaat toenemen.</w:t>
            </w:r>
          </w:p>
        </w:tc>
      </w:tr>
    </w:tbl>
    <w:p>
      <w:pPr>
        <w:widowControl/>
        <w:spacing w:after="0"/>
      </w:pPr>
    </w:p>
    <w:p>
      <w:pPr>
        <w:pStyle w:val="Heading2"/>
        <w:keepNext/>
        <w:keepLines/>
        <w:widowControl/>
      </w:pPr>
      <w:r>
        <w:rPr>
          <w:rFonts w:ascii="Carlito" w:hAnsi="Carlito"/>
          <w:i w:val="0"/>
        </w:rPr>
        <w:t>Wanneer stop je meteen?</w:t>
      </w:r>
    </w:p>
    <w:p>
      <w:pPr>
        <w:pStyle w:val="ListBullet"/>
        <w:keepNext w:val="0"/>
        <w:keepLines/>
        <w:widowControl/>
      </w:pPr>
      <w:r>
        <w:rPr>
          <w:rFonts w:ascii="Carlito" w:hAnsi="Carlito"/>
          <w:i w:val="0"/>
        </w:rPr>
        <w:t>De taak of toepassing is verboden of niet verenigbaar met sectorale eisen.</w:t>
      </w:r>
    </w:p>
    <w:p>
      <w:pPr>
        <w:pStyle w:val="ListBullet"/>
        <w:keepNext w:val="0"/>
        <w:keepLines/>
        <w:widowControl/>
      </w:pPr>
      <w:r>
        <w:rPr>
          <w:rFonts w:ascii="Carlito" w:hAnsi="Carlito"/>
          <w:i w:val="0"/>
        </w:rPr>
        <w:t>De gegevensstroom, security of menselijke verantwoordelijkheid kan niet verantwoord worden ingericht.</w:t>
      </w:r>
    </w:p>
    <w:p>
      <w:pPr>
        <w:pStyle w:val="ListBullet"/>
        <w:keepNext w:val="0"/>
        <w:keepLines/>
        <w:widowControl/>
      </w:pPr>
      <w:r>
        <w:rPr>
          <w:rFonts w:ascii="Carlito" w:hAnsi="Carlito"/>
          <w:i w:val="0"/>
        </w:rPr>
        <w:t>De kandidaat haalt de vooraf vastgestelde taaknorm feitelijk niet.</w:t>
      </w:r>
    </w:p>
    <w:p>
      <w:pPr>
        <w:pStyle w:val="ListBullet"/>
        <w:keepNext w:val="0"/>
        <w:keepLines/>
        <w:widowControl/>
      </w:pPr>
      <w:r>
        <w:rPr>
          <w:rFonts w:ascii="Carlito" w:hAnsi="Carlito"/>
          <w:i w:val="0"/>
        </w:rPr>
        <w:t>Besliskritiek bewijs ontbreekt en de onzekerheid kan niet eerlijk worden begrensd.</w:t>
      </w:r>
    </w:p>
    <w:p>
      <w:pPr>
        <w:widowControl/>
      </w:pPr>
      <w:r>
        <w:br w:type="page"/>
      </w:r>
    </w:p>
    <w:p>
      <w:pPr>
        <w:widowControl/>
        <w:spacing w:after="60"/>
      </w:pPr>
      <w:r>
        <w:rPr>
          <w:rFonts w:ascii="Carlito" w:hAnsi="Carlito"/>
          <w:b/>
          <w:i w:val="0"/>
          <w:color w:val="4C78A8"/>
          <w:sz w:val="17"/>
        </w:rPr>
        <w:t>PROPORTIONELE BEWIJSLAST</w:t>
      </w:r>
    </w:p>
    <w:p>
      <w:pPr>
        <w:pStyle w:val="Heading1"/>
        <w:keepNext/>
        <w:keepLines/>
        <w:widowControl/>
      </w:pPr>
      <w:r>
        <w:rPr>
          <w:rFonts w:ascii="Carlito" w:hAnsi="Carlito"/>
          <w:i w:val="0"/>
        </w:rPr>
        <w:t>Vier routes, één methodische kern</w:t>
      </w:r>
    </w:p>
    <w:p>
      <w:pPr>
        <w:widowControl/>
      </w:pPr>
      <w:r>
        <w:rPr>
          <w:rFonts w:ascii="Carlito" w:hAnsi="Carlito"/>
          <w:i w:val="0"/>
        </w:rPr>
        <w:t>De route verandert de diepte en onafhankelijkheid van het bewijs. Zij verandert niet de harde eis dat onaanvaardbare inzet wordt uitgesloten en onzekerheid zichtbaar blijft.</w:t>
      </w:r>
    </w:p>
    <w:tbl>
      <w:tblPr>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680"/>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Route</w:t>
            </w:r>
          </w:p>
        </w:tc>
        <w:tc>
          <w:tcPr>
            <w:tcW w:type="dxa" w:w="283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Passend voor</w:t>
            </w:r>
          </w:p>
        </w:tc>
        <w:tc>
          <w:tcPr>
            <w:tcW w:type="dxa" w:w="306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Minimale uitkomst</w:t>
            </w:r>
          </w:p>
        </w:tc>
        <w:tc>
          <w:tcPr>
            <w:tcW w:type="dxa" w:w="283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Aanvullend</w:t>
            </w:r>
          </w:p>
        </w:tc>
      </w:tr>
      <w:tr>
        <w:tc>
          <w:tcPr>
            <w:tcW w:type="dxa" w:w="68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R1</w:t>
            </w:r>
          </w:p>
        </w:tc>
        <w:tc>
          <w:tcPr>
            <w:tcW w:type="dxa" w:w="283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Verkenning of kleine gecontroleerde pilot</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PILOT-READY, PILOT WITH CONDITIONS of HOLD</w:t>
            </w:r>
          </w:p>
        </w:tc>
        <w:tc>
          <w:tcPr>
            <w:tcW w:type="dxa" w:w="283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Geen claim over brede invoering</w:t>
            </w:r>
          </w:p>
        </w:tc>
      </w:tr>
      <w:tr>
        <w:tc>
          <w:tcPr>
            <w:tcW w:type="dxa" w:w="680"/>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R2</w:t>
            </w:r>
          </w:p>
        </w:tc>
        <w:tc>
          <w:tcPr>
            <w:tcW w:type="dxa" w:w="283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Standaard operationele keuze</w:t>
            </w:r>
          </w:p>
        </w:tc>
        <w:tc>
          <w:tcPr>
            <w:tcW w:type="dxa" w:w="306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Volledige proportionaliteitsafweging</w:t>
            </w:r>
          </w:p>
        </w:tc>
        <w:tc>
          <w:tcPr>
            <w:tcW w:type="dxa" w:w="283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Collegiale review aanbevolen</w:t>
            </w:r>
          </w:p>
        </w:tc>
      </w:tr>
      <w:tr>
        <w:tc>
          <w:tcPr>
            <w:tcW w:type="dxa" w:w="68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R3</w:t>
            </w:r>
          </w:p>
        </w:tc>
        <w:tc>
          <w:tcPr>
            <w:tcW w:type="dxa" w:w="283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Hoge impact, grotere schaal of gevoelige afhankelijkheden</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Volledige afweging met sterker bewijs</w:t>
            </w:r>
          </w:p>
        </w:tc>
        <w:tc>
          <w:tcPr>
            <w:tcW w:type="dxa" w:w="283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Multidisciplinair + onafhankelijke reviewer</w:t>
            </w:r>
          </w:p>
        </w:tc>
      </w:tr>
      <w:tr>
        <w:tc>
          <w:tcPr>
            <w:tcW w:type="dxa" w:w="680"/>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R4</w:t>
            </w:r>
          </w:p>
        </w:tc>
        <w:tc>
          <w:tcPr>
            <w:tcW w:type="dxa" w:w="283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Kritieke rechten-/veiligheidsimpact of formele plicht</w:t>
            </w:r>
          </w:p>
        </w:tc>
        <w:tc>
          <w:tcPr>
            <w:tcW w:type="dxa" w:w="306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Formeel verdedigbaar besluit</w:t>
            </w:r>
          </w:p>
        </w:tc>
        <w:tc>
          <w:tcPr>
            <w:tcW w:type="dxa" w:w="283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Aanvullende juridische, security- en sectorale toets</w:t>
            </w:r>
          </w:p>
        </w:tc>
      </w:tr>
    </w:tbl>
    <w:p>
      <w:pPr>
        <w:widowControl/>
        <w:spacing w:after="0"/>
      </w:pPr>
    </w:p>
    <w:p>
      <w:pPr>
        <w:pStyle w:val="Heading2"/>
        <w:keepNext/>
        <w:keepLines/>
        <w:widowControl/>
      </w:pPr>
      <w:r>
        <w:rPr>
          <w:rFonts w:ascii="Carlito" w:hAnsi="Carlito"/>
          <w:i w:val="0"/>
        </w:rPr>
        <w:t>Routeringslogica</w:t>
      </w:r>
    </w:p>
    <w:p>
      <w:pPr>
        <w:pStyle w:val="ListBullet"/>
        <w:keepNext w:val="0"/>
        <w:keepLines/>
        <w:widowControl/>
      </w:pPr>
      <w:r>
        <w:rPr>
          <w:rFonts w:ascii="Carlito" w:hAnsi="Carlito"/>
          <w:i w:val="0"/>
        </w:rPr>
        <w:t>R4 bij kritieke foutimpact of directe rechten-/veiligheidsimpact.</w:t>
      </w:r>
    </w:p>
    <w:p>
      <w:pPr>
        <w:pStyle w:val="ListBullet"/>
        <w:keepNext w:val="0"/>
        <w:keepLines/>
        <w:widowControl/>
      </w:pPr>
      <w:r>
        <w:rPr>
          <w:rFonts w:ascii="Carlito" w:hAnsi="Carlito"/>
          <w:i w:val="0"/>
        </w:rPr>
        <w:t>R3 bij hoge impact, slechte omkeerbaarheid, gevoelige data, grote schaal, externe/agentische handelingen of formele verplichtingen.</w:t>
      </w:r>
    </w:p>
    <w:p>
      <w:pPr>
        <w:pStyle w:val="ListBullet"/>
        <w:keepNext w:val="0"/>
        <w:keepLines/>
        <w:widowControl/>
      </w:pPr>
      <w:r>
        <w:rPr>
          <w:rFonts w:ascii="Carlito" w:hAnsi="Carlito"/>
          <w:i w:val="0"/>
        </w:rPr>
        <w:t>R2 bij middelgrote of gedeeltelijke effecten en afhankelijkheden.</w:t>
      </w:r>
    </w:p>
    <w:p>
      <w:pPr>
        <w:pStyle w:val="ListBullet"/>
        <w:keepNext w:val="0"/>
        <w:keepLines/>
        <w:widowControl/>
      </w:pPr>
      <w:r>
        <w:rPr>
          <w:rFonts w:ascii="Carlito" w:hAnsi="Carlito"/>
          <w:i w:val="0"/>
        </w:rPr>
        <w:t>R1 alleen wanneer de inzet werkelijk begrensd, omkeerbaar en kleinschalig is.</w:t>
      </w:r>
    </w:p>
    <w:p>
      <w:pPr>
        <w:pStyle w:val="Heading2"/>
        <w:keepNext/>
        <w:keepLines/>
        <w:widowControl/>
      </w:pPr>
      <w:r>
        <w:rPr>
          <w:rFonts w:ascii="Carlito" w:hAnsi="Carlito"/>
          <w:i w:val="0"/>
        </w:rPr>
        <w:t>Rollen: niet één persoon vult alles in</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268"/>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Rol</w:t>
            </w:r>
          </w:p>
        </w:tc>
        <w:tc>
          <w:tcPr>
            <w:tcW w:type="dxa" w:w="737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Verantwoordelijkheid</w:t>
            </w:r>
          </w:p>
        </w:tc>
      </w:tr>
      <w:tr>
        <w:tc>
          <w:tcPr>
            <w:tcW w:type="dxa" w:w="226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Besluiteigenaar</w:t>
            </w:r>
          </w:p>
        </w:tc>
        <w:tc>
          <w:tcPr>
            <w:tcW w:type="dxa" w:w="737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Legitimeert doel en scope; neemt het besluit; accepteert geen verborgen onzekerheid.</w:t>
            </w:r>
          </w:p>
        </w:tc>
      </w:tr>
      <w:tr>
        <w:tc>
          <w:tcPr>
            <w:tcW w:type="dxa" w:w="226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Taakeigenaar / inhoudsdeskundige</w:t>
            </w:r>
          </w:p>
        </w:tc>
        <w:tc>
          <w:tcPr>
            <w:tcW w:type="dxa" w:w="737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Definieert taak, acceptatie, critical errors, cases en materiële waarde.</w:t>
            </w:r>
          </w:p>
        </w:tc>
      </w:tr>
      <w:tr>
        <w:tc>
          <w:tcPr>
            <w:tcW w:type="dxa" w:w="226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Techniek / data / inkoop</w:t>
            </w:r>
          </w:p>
        </w:tc>
        <w:tc>
          <w:tcPr>
            <w:tcW w:type="dxa" w:w="737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Legt configuratie, metingen, kosten, deployment en afhankelijkheden vast.</w:t>
            </w:r>
          </w:p>
        </w:tc>
      </w:tr>
      <w:tr>
        <w:tc>
          <w:tcPr>
            <w:tcW w:type="dxa" w:w="226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Privacy / security / juridisch</w:t>
            </w:r>
          </w:p>
        </w:tc>
        <w:tc>
          <w:tcPr>
            <w:tcW w:type="dxa" w:w="737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Beoordeelt toepasselijke Poort 1-domeinen en formele verplichtingen.</w:t>
            </w:r>
          </w:p>
        </w:tc>
      </w:tr>
      <w:tr>
        <w:tc>
          <w:tcPr>
            <w:tcW w:type="dxa" w:w="226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Reviewer</w:t>
            </w:r>
          </w:p>
        </w:tc>
        <w:tc>
          <w:tcPr>
            <w:tcW w:type="dxa" w:w="737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Daagt bewijs, alternatieven en redenering uit; verplicht bij R3–R4.</w:t>
            </w:r>
          </w:p>
        </w:tc>
      </w:tr>
    </w:tbl>
    <w:p>
      <w:pPr>
        <w:widowControl/>
        <w:spacing w:after="0"/>
      </w:pP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486581"/>
            <w:tcBorders>
              <w:top w:val="single" w:sz="0" w:color="486581"/>
              <w:left w:val="single" w:sz="0" w:color="486581"/>
              <w:bottom w:val="single" w:sz="0" w:color="486581"/>
              <w:right w:val="single" w:sz="0" w:color="486581"/>
              <w:insideH w:val="single" w:sz="0" w:color="486581"/>
              <w:insideV w:val="single" w:sz="0" w:color="486581"/>
            </w:tcBorders>
          </w:tcPr>
          <w:p/>
        </w:tc>
        <w:tc>
          <w:tcPr>
            <w:tcW w:type="dxa" w:w="9383"/>
            <w:shd w:fill="F3F4F6"/>
            <w:tcBorders>
              <w:top w:val="single" w:sz="0" w:color="F3F4F6"/>
              <w:left w:val="single" w:sz="0" w:color="F3F4F6"/>
              <w:bottom w:val="single" w:sz="0" w:color="F3F4F6"/>
              <w:right w:val="single" w:sz="0" w:color="F3F4F6"/>
              <w:insideH w:val="single" w:sz="0" w:color="F3F4F6"/>
              <w:insideV w:val="single" w:sz="0" w:color="F3F4F6"/>
            </w:tcBorders>
            <w:tcMar>
              <w:top w:w="120" w:type="dxa"/>
              <w:start w:w="160" w:type="dxa"/>
              <w:bottom w:w="120" w:type="dxa"/>
              <w:end w:w="160" w:type="dxa"/>
            </w:tcMar>
          </w:tcPr>
          <w:p>
            <w:pPr>
              <w:spacing w:after="0"/>
            </w:pPr>
            <w:r>
              <w:rPr>
                <w:rFonts w:ascii="Carlito" w:hAnsi="Carlito"/>
                <w:b/>
                <w:color w:val="102A43"/>
                <w:sz w:val="21"/>
              </w:rPr>
              <w:t>Gebruiksdoel voor validatie</w:t>
              <w:br/>
            </w:r>
            <w:r>
              <w:rPr>
                <w:rFonts w:ascii="Carlito" w:hAnsi="Carlito"/>
                <w:color w:val="243B53"/>
                <w:sz w:val="18"/>
              </w:rPr>
              <w:t>R1 streeft naar circa 20–30 minuten voorbereiding en R2 naar 60–90 minuten, exclusief testen. Dit zijn ontwerpdoelen die in pilots moeten worden gemeten, geen bewezen doorlooptijden.</w:t>
            </w:r>
          </w:p>
        </w:tc>
      </w:tr>
    </w:tbl>
    <w:p>
      <w:pPr>
        <w:widowControl/>
        <w:spacing w:after="0"/>
      </w:pPr>
    </w:p>
    <w:p>
      <w:pPr>
        <w:widowControl/>
      </w:pPr>
      <w:r>
        <w:br w:type="page"/>
      </w:r>
    </w:p>
    <w:p>
      <w:pPr>
        <w:widowControl/>
        <w:spacing w:after="60"/>
      </w:pPr>
      <w:r>
        <w:rPr>
          <w:rFonts w:ascii="Carlito" w:hAnsi="Carlito"/>
          <w:b/>
          <w:i w:val="0"/>
          <w:color w:val="4C78A8"/>
          <w:sz w:val="17"/>
        </w:rPr>
        <w:t>METHODIEK</w:t>
      </w:r>
    </w:p>
    <w:p>
      <w:pPr>
        <w:pStyle w:val="Heading1"/>
        <w:keepNext/>
        <w:keepLines/>
        <w:widowControl/>
      </w:pPr>
      <w:r>
        <w:rPr>
          <w:rFonts w:ascii="Carlito" w:hAnsi="Carlito"/>
          <w:i w:val="0"/>
        </w:rPr>
        <w:t>De drie poorten</w:t>
      </w:r>
    </w:p>
    <w:tbl>
      <w:tblPr>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170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Poort</w:t>
            </w:r>
          </w:p>
        </w:tc>
        <w:tc>
          <w:tcPr>
            <w:tcW w:type="dxa" w:w="306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Vraag</w:t>
            </w:r>
          </w:p>
        </w:tc>
        <w:tc>
          <w:tcPr>
            <w:tcW w:type="dxa" w:w="272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Kan niet worden gecompenseerd door</w:t>
            </w:r>
          </w:p>
        </w:tc>
        <w:tc>
          <w:tcPr>
            <w:tcW w:type="dxa" w:w="2268"/>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Uitkomst</w:t>
            </w:r>
          </w:p>
        </w:tc>
      </w:tr>
      <w:tr>
        <w:tc>
          <w:tcPr>
            <w:tcW w:type="dxa" w:w="170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1 · Toelaatbaarheid</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Mag en kan deze concrete configuratie verantwoord worden gebruikt?</w:t>
            </w:r>
          </w:p>
        </w:tc>
        <w:tc>
          <w:tcPr>
            <w:tcW w:type="dxa" w:w="272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Hogere kwaliteit, lagere prijs of populariteit</w:t>
            </w:r>
          </w:p>
        </w:tc>
        <w:tc>
          <w:tcPr>
            <w:tcW w:type="dxa" w:w="226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PASS, CONDITIONAL, FAIL of incompleet</w:t>
            </w:r>
          </w:p>
        </w:tc>
      </w:tr>
      <w:tr>
        <w:tc>
          <w:tcPr>
            <w:tcW w:type="dxa" w:w="170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2 · Voldoende geschiktheid</w:t>
            </w:r>
          </w:p>
        </w:tc>
        <w:tc>
          <w:tcPr>
            <w:tcW w:type="dxa" w:w="306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Haalt zij de taaknorm met voldoende zekerheid en zonder te veel critical errors?</w:t>
            </w:r>
          </w:p>
        </w:tc>
        <w:tc>
          <w:tcPr>
            <w:tcW w:type="dxa" w:w="272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Een gemiddelde benchmarkscore</w:t>
            </w:r>
          </w:p>
        </w:tc>
        <w:tc>
          <w:tcPr>
            <w:tcW w:type="dxa" w:w="226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PASS, FAIL, MORE EVIDENCE of hold</w:t>
            </w:r>
          </w:p>
        </w:tc>
      </w:tr>
      <w:tr>
        <w:tc>
          <w:tcPr>
            <w:tcW w:type="dxa" w:w="170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3 · Proportionaliteit</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Rechtvaardigt de extra taakwaarde de extra lasten ten opzichte van lichtere opties?</w:t>
            </w:r>
          </w:p>
        </w:tc>
        <w:tc>
          <w:tcPr>
            <w:tcW w:type="dxa" w:w="272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Een verborgen gewogen totaalscore</w:t>
            </w:r>
          </w:p>
        </w:tc>
        <w:tc>
          <w:tcPr>
            <w:tcW w:type="dxa" w:w="226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Proportioneel, conditioneel, meerdere opties, niet proportioneel of onbepaald</w:t>
            </w:r>
          </w:p>
        </w:tc>
      </w:tr>
    </w:tbl>
    <w:p>
      <w:pPr>
        <w:widowControl/>
        <w:spacing w:after="0"/>
      </w:pPr>
    </w:p>
    <w:p>
      <w:pPr>
        <w:pStyle w:val="Heading2"/>
        <w:keepNext/>
        <w:keepLines/>
        <w:widowControl/>
      </w:pPr>
      <w:r>
        <w:rPr>
          <w:rFonts w:ascii="Carlito" w:hAnsi="Carlito"/>
          <w:i w:val="0"/>
        </w:rPr>
        <w:t>Analyseeenheid: de oplossingsconfiguratie</w:t>
      </w:r>
    </w:p>
    <w:p>
      <w:pPr>
        <w:widowControl/>
      </w:pPr>
      <w:r>
        <w:rPr>
          <w:rFonts w:ascii="Carlito" w:hAnsi="Carlito"/>
          <w:i w:val="0"/>
        </w:rPr>
        <w:t>PAM-AI beoordeelt niet ‘GPT’, ‘Claude’, ‘open source’ of ‘klein model’ in abstracto. De kandidaat is de feitelijke combinatie van model/component, versie, deployment, regio, prompt, tools, RAG, agentgedrag, toegangsrechten en menselijke procesinrichting.</w:t>
      </w:r>
    </w:p>
    <w:p>
      <w:pPr>
        <w:pStyle w:val="Heading2"/>
        <w:keepNext/>
        <w:keepLines/>
        <w:widowControl/>
      </w:pPr>
      <w:r>
        <w:rPr>
          <w:rFonts w:ascii="Carlito" w:hAnsi="Carlito"/>
          <w:i w:val="0"/>
        </w:rPr>
        <w:t>Functionele eenheid: de geaccepteerde taakuitkomst</w:t>
      </w:r>
    </w:p>
    <w:p>
      <w:pPr>
        <w:widowControl/>
      </w:pPr>
      <w:r>
        <w:rPr>
          <w:rFonts w:ascii="Carlito" w:hAnsi="Carlito"/>
          <w:i w:val="0"/>
        </w:rPr>
        <w:t>Alle lasten worden toegerekend aan een taakuitkomst die de acceptatieregel haalt. Daardoor verdwijnen mislukte pogingen, retries, verificatie, correctie en herstel niet uit beeld.</w:t>
      </w: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4C78A8"/>
            <w:tcBorders>
              <w:top w:val="single" w:sz="0" w:color="4C78A8"/>
              <w:left w:val="single" w:sz="0" w:color="4C78A8"/>
              <w:bottom w:val="single" w:sz="0" w:color="4C78A8"/>
              <w:right w:val="single" w:sz="0" w:color="4C78A8"/>
              <w:insideH w:val="single" w:sz="0" w:color="4C78A8"/>
              <w:insideV w:val="single" w:sz="0" w:color="4C78A8"/>
            </w:tcBorders>
          </w:tcPr>
          <w:p/>
        </w:tc>
        <w:tc>
          <w:tcPr>
            <w:tcW w:type="dxa" w:w="9383"/>
            <w:shd w:fill="E8F1FA"/>
            <w:tcBorders>
              <w:top w:val="single" w:sz="0" w:color="E8F1FA"/>
              <w:left w:val="single" w:sz="0" w:color="E8F1FA"/>
              <w:bottom w:val="single" w:sz="0" w:color="E8F1FA"/>
              <w:right w:val="single" w:sz="0" w:color="E8F1FA"/>
              <w:insideH w:val="single" w:sz="0" w:color="E8F1FA"/>
              <w:insideV w:val="single" w:sz="0" w:color="E8F1FA"/>
            </w:tcBorders>
            <w:tcMar>
              <w:top w:w="120" w:type="dxa"/>
              <w:start w:w="160" w:type="dxa"/>
              <w:bottom w:w="120" w:type="dxa"/>
              <w:end w:w="160" w:type="dxa"/>
            </w:tcMar>
          </w:tcPr>
          <w:p>
            <w:pPr>
              <w:spacing w:after="0"/>
            </w:pPr>
            <w:r>
              <w:rPr>
                <w:rFonts w:ascii="Carlito" w:hAnsi="Carlito"/>
                <w:b/>
                <w:color w:val="102A43"/>
                <w:sz w:val="21"/>
              </w:rPr>
              <w:t>Waarom dit praktisch sterker is</w:t>
              <w:br/>
            </w:r>
            <w:r>
              <w:rPr>
                <w:rFonts w:ascii="Carlito" w:hAnsi="Carlito"/>
                <w:color w:val="243B53"/>
                <w:sz w:val="18"/>
              </w:rPr>
              <w:t>Een goedkoop model dat drie keer moet proberen en veel herstel vraagt, kan per geaccepteerde taak zwaarder zijn dan een duurder model dat in één keer goed is. Tokenprijs of één call vertelt dus niet genoeg.</w:t>
            </w:r>
          </w:p>
        </w:tc>
      </w:tr>
    </w:tbl>
    <w:p>
      <w:pPr>
        <w:widowControl/>
        <w:spacing w:after="0"/>
      </w:pPr>
    </w:p>
    <w:p>
      <w:pPr>
        <w:pStyle w:val="Heading2"/>
        <w:keepNext/>
        <w:keepLines/>
        <w:widowControl/>
      </w:pPr>
      <w:r>
        <w:rPr>
          <w:rFonts w:ascii="Carlito" w:hAnsi="Carlito"/>
          <w:i w:val="0"/>
        </w:rPr>
        <w:t>Geen winnaar forceren</w:t>
      </w:r>
    </w:p>
    <w:p>
      <w:pPr>
        <w:widowControl/>
      </w:pPr>
      <w:r>
        <w:rPr>
          <w:rFonts w:ascii="Carlito" w:hAnsi="Carlito"/>
          <w:i w:val="0"/>
        </w:rPr>
        <w:t>Een geldige uitkomst kan ook NO-GO, meerdere proportionele alternatieven, partiële proportionaliteit of onvoldoende bewijs zijn. Een instrument dat altijd een winnaar oplevert, verbergt meestal normatieve keuzes of ontbrekende data.</w:t>
      </w:r>
    </w:p>
    <w:p>
      <w:pPr>
        <w:widowControl/>
      </w:pPr>
      <w:r>
        <w:br w:type="page"/>
      </w:r>
    </w:p>
    <w:p>
      <w:pPr>
        <w:widowControl/>
        <w:spacing w:after="60"/>
      </w:pPr>
      <w:r>
        <w:rPr>
          <w:rFonts w:ascii="Carlito" w:hAnsi="Carlito"/>
          <w:b/>
          <w:i w:val="0"/>
          <w:color w:val="4C78A8"/>
          <w:sz w:val="17"/>
        </w:rPr>
        <w:t>WERKBLAD 03</w:t>
      </w:r>
    </w:p>
    <w:p>
      <w:pPr>
        <w:pStyle w:val="Heading1"/>
        <w:keepNext/>
        <w:keepLines/>
        <w:widowControl/>
      </w:pPr>
      <w:r>
        <w:rPr>
          <w:rFonts w:ascii="Carlito" w:hAnsi="Carlito"/>
          <w:i w:val="0"/>
        </w:rPr>
        <w:t>Poort 1 — toelaatbaarheid in acht domeinen</w:t>
      </w:r>
    </w:p>
    <w:p>
      <w:pPr>
        <w:widowControl/>
      </w:pPr>
      <w:r>
        <w:rPr>
          <w:rFonts w:ascii="Carlito" w:hAnsi="Carlito"/>
          <w:i w:val="0"/>
        </w:rPr>
        <w:t>Beoordeel alleen de werkelijk ingevulde kandidaten. Gebruik per domein PASS, CONDITIONAL, FAIL, UNKNOWN of N/A. Koppel bronnen via bewijs-ID’s; motiveer elke voorwaarde en elke N/A.</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396"/>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r>
          </w:p>
        </w:tc>
        <w:tc>
          <w:tcPr>
            <w:tcW w:type="dxa" w:w="306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Domein</w:t>
            </w:r>
          </w:p>
        </w:tc>
        <w:tc>
          <w:tcPr>
            <w:tcW w:type="dxa" w:w="6180"/>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Kernvraag</w:t>
            </w:r>
          </w:p>
        </w:tc>
      </w:tr>
      <w:tr>
        <w:tc>
          <w:tcPr>
            <w:tcW w:type="dxa" w:w="39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1</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Wet, verboden inzet en sectorale eisen</w:t>
            </w:r>
          </w:p>
        </w:tc>
        <w:tc>
          <w:tcPr>
            <w:tcW w:type="dxa" w:w="618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Past het doel en gebruik binnen toepasselijke regels en professionele normen?</w:t>
            </w:r>
          </w:p>
        </w:tc>
      </w:tr>
      <w:tr>
        <w:tc>
          <w:tcPr>
            <w:tcW w:type="dxa" w:w="39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2</w:t>
            </w:r>
          </w:p>
        </w:tc>
        <w:tc>
          <w:tcPr>
            <w:tcW w:type="dxa" w:w="306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Privacy en data</w:t>
            </w:r>
          </w:p>
        </w:tc>
        <w:tc>
          <w:tcPr>
            <w:tcW w:type="dxa" w:w="6180"/>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Zijn grondslag, minimalisatie, gevoeligheid, opslag, doorgifte en betrokkenen geregeld?</w:t>
            </w:r>
          </w:p>
        </w:tc>
      </w:tr>
      <w:tr>
        <w:tc>
          <w:tcPr>
            <w:tcW w:type="dxa" w:w="39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3</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Security en vertrouwelijkheid</w:t>
            </w:r>
          </w:p>
        </w:tc>
        <w:tc>
          <w:tcPr>
            <w:tcW w:type="dxa" w:w="618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Zijn toegang, secrets, leveranciersrisico, misbruik en aanvalsvlak beheerst?</w:t>
            </w:r>
          </w:p>
        </w:tc>
      </w:tr>
      <w:tr>
        <w:tc>
          <w:tcPr>
            <w:tcW w:type="dxa" w:w="39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4</w:t>
            </w:r>
          </w:p>
        </w:tc>
        <w:tc>
          <w:tcPr>
            <w:tcW w:type="dxa" w:w="306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Rechten, inclusie en toegankelijkheid</w:t>
            </w:r>
          </w:p>
        </w:tc>
        <w:tc>
          <w:tcPr>
            <w:tcW w:type="dxa" w:w="6180"/>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Zijn ongelijke effecten, uitsluiting en toegankelijkheid onderzocht?</w:t>
            </w:r>
          </w:p>
        </w:tc>
      </w:tr>
      <w:tr>
        <w:tc>
          <w:tcPr>
            <w:tcW w:type="dxa" w:w="39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5</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Menselijke verantwoordelijkheid en transparantie</w:t>
            </w:r>
          </w:p>
        </w:tc>
        <w:tc>
          <w:tcPr>
            <w:tcW w:type="dxa" w:w="618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Is duidelijk wie beslist, controleert, uitlegt en kan ingrijpen?</w:t>
            </w:r>
          </w:p>
        </w:tc>
      </w:tr>
      <w:tr>
        <w:tc>
          <w:tcPr>
            <w:tcW w:type="dxa" w:w="39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6</w:t>
            </w:r>
          </w:p>
        </w:tc>
        <w:tc>
          <w:tcPr>
            <w:tcW w:type="dxa" w:w="306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Provider, IP en contract</w:t>
            </w:r>
          </w:p>
        </w:tc>
        <w:tc>
          <w:tcPr>
            <w:tcW w:type="dxa" w:w="6180"/>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Zijn gebruiksvoorwaarden, datarechten, outputrechten en aansprakelijkheid passend?</w:t>
            </w:r>
          </w:p>
        </w:tc>
      </w:tr>
      <w:tr>
        <w:tc>
          <w:tcPr>
            <w:tcW w:type="dxa" w:w="39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7</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Logging, incident en corrigeerbaarheid</w:t>
            </w:r>
          </w:p>
        </w:tc>
        <w:tc>
          <w:tcPr>
            <w:tcW w:type="dxa" w:w="618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Kunnen fouten worden ontdekt, gestopt, teruggedraaid en hersteld?</w:t>
            </w:r>
          </w:p>
        </w:tc>
      </w:tr>
      <w:tr>
        <w:tc>
          <w:tcPr>
            <w:tcW w:type="dxa" w:w="39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8</w:t>
            </w:r>
          </w:p>
        </w:tc>
        <w:tc>
          <w:tcPr>
            <w:tcW w:type="dxa" w:w="306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Continuïteit, exit en omgeving</w:t>
            </w:r>
          </w:p>
        </w:tc>
        <w:tc>
          <w:tcPr>
            <w:tcW w:type="dxa" w:w="6180"/>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Is deployment goedgekeurd en bestaat een werkbare uitwijk- en exitroute?</w:t>
            </w:r>
          </w:p>
        </w:tc>
      </w:tr>
    </w:tbl>
    <w:p>
      <w:pPr>
        <w:widowControl/>
        <w:spacing w:after="0"/>
      </w:pPr>
    </w:p>
    <w:p>
      <w:pPr>
        <w:pStyle w:val="Heading2"/>
        <w:keepNext/>
        <w:keepLines/>
        <w:widowControl/>
      </w:pPr>
      <w:r>
        <w:rPr>
          <w:rFonts w:ascii="Carlito" w:hAnsi="Carlito"/>
          <w:i w:val="0"/>
        </w:rPr>
        <w:t>Beslisregels</w:t>
      </w:r>
    </w:p>
    <w:p>
      <w:pPr>
        <w:pStyle w:val="ListBullet"/>
        <w:keepNext w:val="0"/>
        <w:keepLines/>
        <w:widowControl/>
      </w:pPr>
      <w:r>
        <w:rPr>
          <w:rFonts w:ascii="Carlito" w:hAnsi="Carlito"/>
          <w:i w:val="0"/>
        </w:rPr>
        <w:t>Eén FAIL → kandidaat niet toelaatbaar. Stop de vergelijking voor deze kandidaat.</w:t>
      </w:r>
    </w:p>
    <w:p>
      <w:pPr>
        <w:pStyle w:val="ListBullet"/>
        <w:keepNext w:val="0"/>
        <w:keepLines/>
        <w:widowControl/>
      </w:pPr>
      <w:r>
        <w:rPr>
          <w:rFonts w:ascii="Carlito" w:hAnsi="Carlito"/>
          <w:i w:val="0"/>
        </w:rPr>
        <w:t>Eén UNKNOWN of ontbrekend bewijs → INCOMPLETE EVIDENCE, niet stilzwijgend PASS.</w:t>
      </w:r>
    </w:p>
    <w:p>
      <w:pPr>
        <w:pStyle w:val="ListBullet"/>
        <w:keepNext w:val="0"/>
        <w:keepLines/>
        <w:widowControl/>
      </w:pPr>
      <w:r>
        <w:rPr>
          <w:rFonts w:ascii="Carlito" w:hAnsi="Carlito"/>
          <w:i w:val="0"/>
        </w:rPr>
        <w:t>CONDITIONAL zonder concrete voorwaarde → CONDITION MISSING.</w:t>
      </w:r>
    </w:p>
    <w:p>
      <w:pPr>
        <w:pStyle w:val="ListBullet"/>
        <w:keepNext w:val="0"/>
        <w:keepLines/>
        <w:widowControl/>
      </w:pPr>
      <w:r>
        <w:rPr>
          <w:rFonts w:ascii="Carlito" w:hAnsi="Carlito"/>
          <w:i w:val="0"/>
        </w:rPr>
        <w:t>N/A zonder motivering → RATIONALE MISSING.</w:t>
      </w:r>
    </w:p>
    <w:p>
      <w:pPr>
        <w:pStyle w:val="ListBullet"/>
        <w:keepNext w:val="0"/>
        <w:keepLines/>
        <w:widowControl/>
      </w:pPr>
      <w:r>
        <w:rPr>
          <w:rFonts w:ascii="Carlito" w:hAnsi="Carlito"/>
          <w:i w:val="0"/>
        </w:rPr>
        <w:t>Alle domeinen akkoord en bewijs aanwezig → PASS; met voorwaarden → CONDITIONAL.</w:t>
      </w: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C0392B"/>
            <w:tcBorders>
              <w:top w:val="single" w:sz="0" w:color="C0392B"/>
              <w:left w:val="single" w:sz="0" w:color="C0392B"/>
              <w:bottom w:val="single" w:sz="0" w:color="C0392B"/>
              <w:right w:val="single" w:sz="0" w:color="C0392B"/>
              <w:insideH w:val="single" w:sz="0" w:color="C0392B"/>
              <w:insideV w:val="single" w:sz="0" w:color="C0392B"/>
            </w:tcBorders>
          </w:tcPr>
          <w:p/>
        </w:tc>
        <w:tc>
          <w:tcPr>
            <w:tcW w:type="dxa" w:w="9383"/>
            <w:shd w:fill="FDE2E2"/>
            <w:tcBorders>
              <w:top w:val="single" w:sz="0" w:color="FDE2E2"/>
              <w:left w:val="single" w:sz="0" w:color="FDE2E2"/>
              <w:bottom w:val="single" w:sz="0" w:color="FDE2E2"/>
              <w:right w:val="single" w:sz="0" w:color="FDE2E2"/>
              <w:insideH w:val="single" w:sz="0" w:color="FDE2E2"/>
              <w:insideV w:val="single" w:sz="0" w:color="FDE2E2"/>
            </w:tcBorders>
            <w:tcMar>
              <w:top w:w="120" w:type="dxa"/>
              <w:start w:w="160" w:type="dxa"/>
              <w:bottom w:w="120" w:type="dxa"/>
              <w:end w:w="160" w:type="dxa"/>
            </w:tcMar>
          </w:tcPr>
          <w:p>
            <w:pPr>
              <w:spacing w:after="0"/>
            </w:pPr>
            <w:r>
              <w:rPr>
                <w:rFonts w:ascii="Carlito" w:hAnsi="Carlito"/>
                <w:b/>
                <w:color w:val="102A43"/>
                <w:sz w:val="21"/>
              </w:rPr>
              <w:t>Rode regel</w:t>
              <w:br/>
            </w:r>
            <w:r>
              <w:rPr>
                <w:rFonts w:ascii="Carlito" w:hAnsi="Carlito"/>
                <w:color w:val="243B53"/>
                <w:sz w:val="18"/>
              </w:rPr>
              <w:t>Poort 1 is hard. Een onaanvaardbare configuratie wordt niet proportioneel doordat zij goedkoper, sneller of nauwkeuriger is.</w:t>
            </w:r>
          </w:p>
        </w:tc>
      </w:tr>
    </w:tbl>
    <w:p>
      <w:pPr>
        <w:widowControl/>
        <w:spacing w:after="0"/>
      </w:pPr>
    </w:p>
    <w:p>
      <w:pPr>
        <w:widowControl/>
      </w:pPr>
      <w:r>
        <w:br w:type="page"/>
      </w:r>
    </w:p>
    <w:p>
      <w:pPr>
        <w:widowControl/>
        <w:spacing w:after="60"/>
      </w:pPr>
      <w:r>
        <w:rPr>
          <w:rFonts w:ascii="Carlito" w:hAnsi="Carlito"/>
          <w:b/>
          <w:i w:val="0"/>
          <w:color w:val="4C78A8"/>
          <w:sz w:val="17"/>
        </w:rPr>
        <w:t>WERKBLADEN 04 EN 05</w:t>
      </w:r>
    </w:p>
    <w:p>
      <w:pPr>
        <w:pStyle w:val="Heading1"/>
        <w:keepNext/>
        <w:keepLines/>
        <w:widowControl/>
      </w:pPr>
      <w:r>
        <w:rPr>
          <w:rFonts w:ascii="Carlito" w:hAnsi="Carlito"/>
          <w:i w:val="0"/>
        </w:rPr>
        <w:t>Testen zonder administratieve valkuilen</w:t>
      </w:r>
    </w:p>
    <w:p>
      <w:pPr>
        <w:pStyle w:val="Heading2"/>
        <w:keepNext/>
        <w:keepLines/>
        <w:widowControl/>
      </w:pPr>
      <w:r>
        <w:rPr>
          <w:rFonts w:ascii="Carlito" w:hAnsi="Carlito"/>
          <w:i w:val="0"/>
        </w:rPr>
        <w:t>Definieer vóór de test</w:t>
      </w:r>
    </w:p>
    <w:p>
      <w:pPr>
        <w:pStyle w:val="ListBullet"/>
        <w:keepNext w:val="0"/>
        <w:keepLines/>
        <w:widowControl/>
      </w:pPr>
      <w:r>
        <w:rPr>
          <w:rFonts w:ascii="Carlito" w:hAnsi="Carlito"/>
          <w:i w:val="0"/>
        </w:rPr>
        <w:t>Wat geldt als geaccepteerde taakuitkomst?</w:t>
      </w:r>
    </w:p>
    <w:p>
      <w:pPr>
        <w:pStyle w:val="ListBullet"/>
        <w:keepNext w:val="0"/>
        <w:keepLines/>
        <w:widowControl/>
      </w:pPr>
      <w:r>
        <w:rPr>
          <w:rFonts w:ascii="Carlito" w:hAnsi="Carlito"/>
          <w:i w:val="0"/>
        </w:rPr>
        <w:t>Welke fout is ‘critical’ voor deze taak en doelgroep?</w:t>
      </w:r>
    </w:p>
    <w:p>
      <w:pPr>
        <w:pStyle w:val="ListBullet"/>
        <w:keepNext w:val="0"/>
        <w:keepLines/>
        <w:widowControl/>
      </w:pPr>
      <w:r>
        <w:rPr>
          <w:rFonts w:ascii="Carlito" w:hAnsi="Carlito"/>
          <w:i w:val="0"/>
        </w:rPr>
        <w:t>Welke strata of situaties moeten aantoonbaar vertegenwoordigd zijn?</w:t>
      </w:r>
    </w:p>
    <w:p>
      <w:pPr>
        <w:pStyle w:val="ListBullet"/>
        <w:keepNext w:val="0"/>
        <w:keepLines/>
        <w:widowControl/>
      </w:pPr>
      <w:r>
        <w:rPr>
          <w:rFonts w:ascii="Carlito" w:hAnsi="Carlito"/>
          <w:i w:val="0"/>
        </w:rPr>
        <w:t>Wie beoordeelt de uitkomst en hoe betrouwbaar is dat oordeel?</w:t>
      </w:r>
    </w:p>
    <w:p>
      <w:pPr>
        <w:pStyle w:val="ListBullet"/>
        <w:keepNext w:val="0"/>
        <w:keepLines/>
        <w:widowControl/>
      </w:pPr>
      <w:r>
        <w:rPr>
          <w:rFonts w:ascii="Carlito" w:hAnsi="Carlito"/>
          <w:i w:val="0"/>
        </w:rPr>
        <w:t>Hoeveel retries zijn toegestaan en wanneer stopt een run?</w:t>
      </w:r>
    </w:p>
    <w:p>
      <w:pPr>
        <w:pStyle w:val="Heading2"/>
        <w:keepNext/>
        <w:keepLines/>
        <w:widowControl/>
      </w:pPr>
      <w:r>
        <w:rPr>
          <w:rFonts w:ascii="Carlito" w:hAnsi="Carlito"/>
          <w:i w:val="0"/>
        </w:rPr>
        <w:t>Eén rij per kandidaat × testcase</w:t>
      </w:r>
    </w:p>
    <w:p>
      <w:pPr>
        <w:widowControl/>
      </w:pPr>
      <w:r>
        <w:rPr>
          <w:rFonts w:ascii="Carlito" w:hAnsi="Carlito"/>
          <w:i w:val="0"/>
        </w:rPr>
        <w:t>Registreer in 05_Testcases de finale acceptatie (1/0) en of in enige poging een critical error optrad (1/0). Tel modelcalls, retries, verificatie, correctie, doorlooptijd, kosten, tokens en eventuele resourcegegevens over alle pogingen op in dezelfde rij.</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3118"/>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Goed</w:t>
            </w:r>
          </w:p>
        </w:tc>
        <w:tc>
          <w:tcPr>
            <w:tcW w:type="dxa" w:w="306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Niet goed</w:t>
            </w:r>
          </w:p>
        </w:tc>
        <w:tc>
          <w:tcPr>
            <w:tcW w:type="dxa" w:w="3458"/>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Waarom</w:t>
            </w:r>
          </w:p>
        </w:tc>
      </w:tr>
      <w:tr>
        <w:tc>
          <w:tcPr>
            <w:tcW w:type="dxa" w:w="311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TC-017, kandidaat C02: 3 calls, 2 retries, finaal geaccepteerd</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Drie losse rijen alsof het drie onafhankelijke cases zijn</w:t>
            </w:r>
          </w:p>
        </w:tc>
        <w:tc>
          <w:tcPr>
            <w:tcW w:type="dxa" w:w="345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Retries mogen de succeskans of critical-error-rate niet verdunnen.</w:t>
            </w:r>
          </w:p>
        </w:tc>
      </w:tr>
      <w:tr>
        <w:tc>
          <w:tcPr>
            <w:tcW w:type="dxa" w:w="311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Critical error in poging 1 → Any_Critical_Error = 1</w:t>
            </w:r>
          </w:p>
        </w:tc>
        <w:tc>
          <w:tcPr>
            <w:tcW w:type="dxa" w:w="306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Alleen de finale poging als foutloos tellen</w:t>
            </w:r>
          </w:p>
        </w:tc>
        <w:tc>
          <w:tcPr>
            <w:tcW w:type="dxa" w:w="345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Een gevaarlijke tussenuitkomst blijft relevant voor beheersing.</w:t>
            </w:r>
          </w:p>
        </w:tc>
      </w:tr>
      <w:tr>
        <w:tc>
          <w:tcPr>
            <w:tcW w:type="dxa" w:w="311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Lege waarde = onbekend; gemeten nul = 0</w:t>
            </w:r>
          </w:p>
        </w:tc>
        <w:tc>
          <w:tcPr>
            <w:tcW w:type="dxa" w:w="306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Leeg behandelen als nul</w:t>
            </w:r>
          </w:p>
        </w:tc>
        <w:tc>
          <w:tcPr>
            <w:tcW w:type="dxa" w:w="345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Onbekende lasten mogen de kandidaat niet kunstmatig bevoordelen.</w:t>
            </w:r>
          </w:p>
        </w:tc>
      </w:tr>
    </w:tbl>
    <w:p>
      <w:pPr>
        <w:widowControl/>
        <w:spacing w:after="0"/>
      </w:pPr>
    </w:p>
    <w:p>
      <w:pPr>
        <w:pStyle w:val="Heading2"/>
        <w:keepNext/>
        <w:keepLines/>
        <w:widowControl/>
      </w:pPr>
      <w:r>
        <w:rPr>
          <w:rFonts w:ascii="Carlito" w:hAnsi="Carlito"/>
          <w:i w:val="0"/>
        </w:rPr>
        <w:t>Data-import</w:t>
      </w:r>
    </w:p>
    <w:p>
      <w:pPr>
        <w:widowControl/>
      </w:pPr>
      <w:r>
        <w:rPr>
          <w:rFonts w:ascii="Carlito" w:hAnsi="Carlito"/>
          <w:i w:val="0"/>
        </w:rPr>
        <w:t>De tabel bevat twintig lege startregels en groeit in Excel automatisch wanneer je met Tab doorgaat of onderaan plakt. De analyse leest maximaal 2.000 regels. Voor grotere studies kan dezelfde kolomstructuur uit een testharnas of log-export worden geplakt.</w:t>
      </w: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D99A00"/>
            <w:tcBorders>
              <w:top w:val="single" w:sz="0" w:color="D99A00"/>
              <w:left w:val="single" w:sz="0" w:color="D99A00"/>
              <w:bottom w:val="single" w:sz="0" w:color="D99A00"/>
              <w:right w:val="single" w:sz="0" w:color="D99A00"/>
              <w:insideH w:val="single" w:sz="0" w:color="D99A00"/>
              <w:insideV w:val="single" w:sz="0" w:color="D99A00"/>
            </w:tcBorders>
          </w:tcPr>
          <w:p/>
        </w:tc>
        <w:tc>
          <w:tcPr>
            <w:tcW w:type="dxa" w:w="9383"/>
            <w:shd w:fill="FFF1C2"/>
            <w:tcBorders>
              <w:top w:val="single" w:sz="0" w:color="FFF1C2"/>
              <w:left w:val="single" w:sz="0" w:color="FFF1C2"/>
              <w:bottom w:val="single" w:sz="0" w:color="FFF1C2"/>
              <w:right w:val="single" w:sz="0" w:color="FFF1C2"/>
              <w:insideH w:val="single" w:sz="0" w:color="FFF1C2"/>
              <w:insideV w:val="single" w:sz="0" w:color="FFF1C2"/>
            </w:tcBorders>
            <w:tcMar>
              <w:top w:w="120" w:type="dxa"/>
              <w:start w:w="160" w:type="dxa"/>
              <w:bottom w:w="120" w:type="dxa"/>
              <w:end w:w="160" w:type="dxa"/>
            </w:tcMar>
          </w:tcPr>
          <w:p>
            <w:pPr>
              <w:spacing w:after="0"/>
            </w:pPr>
            <w:r>
              <w:rPr>
                <w:rFonts w:ascii="Carlito" w:hAnsi="Carlito"/>
                <w:b/>
                <w:color w:val="102A43"/>
                <w:sz w:val="21"/>
              </w:rPr>
              <w:t>Praktische minimumregel</w:t>
              <w:br/>
            </w:r>
            <w:r>
              <w:rPr>
                <w:rFonts w:ascii="Carlito" w:hAnsi="Carlito"/>
                <w:color w:val="243B53"/>
                <w:sz w:val="18"/>
              </w:rPr>
              <w:t>Een R1-pilot mag klein beginnen, maar de uitkomst heet dan mogelijk MORE EVIDENCE. Dat is geen mislukking: het is een correcte grens aan wat de pilot al kan bewijzen.</w:t>
            </w:r>
          </w:p>
        </w:tc>
      </w:tr>
    </w:tbl>
    <w:p>
      <w:pPr>
        <w:widowControl/>
        <w:spacing w:after="0"/>
      </w:pPr>
    </w:p>
    <w:p>
      <w:pPr>
        <w:widowControl/>
      </w:pPr>
      <w:r>
        <w:br w:type="page"/>
      </w:r>
    </w:p>
    <w:p>
      <w:pPr>
        <w:widowControl/>
        <w:spacing w:after="60"/>
      </w:pPr>
      <w:r>
        <w:rPr>
          <w:rFonts w:ascii="Carlito" w:hAnsi="Carlito"/>
          <w:b/>
          <w:i w:val="0"/>
          <w:color w:val="4C78A8"/>
          <w:sz w:val="17"/>
        </w:rPr>
        <w:t>WERKBLAD 06</w:t>
      </w:r>
    </w:p>
    <w:p>
      <w:pPr>
        <w:pStyle w:val="Heading1"/>
        <w:keepNext/>
        <w:keepLines/>
        <w:widowControl/>
      </w:pPr>
      <w:r>
        <w:rPr>
          <w:rFonts w:ascii="Carlito" w:hAnsi="Carlito"/>
          <w:i w:val="0"/>
        </w:rPr>
        <w:t>Poort 2 — geschiktheid én onzekerheid</w:t>
      </w:r>
    </w:p>
    <w:p>
      <w:pPr>
        <w:widowControl/>
      </w:pPr>
      <w:r>
        <w:rPr>
          <w:rFonts w:ascii="Carlito" w:hAnsi="Carlito"/>
          <w:i w:val="0"/>
        </w:rPr>
        <w:t>PAM-AI gebruikt Wilson-betrouwbaarheidsgrenzen voor de succeskans en de critical-error-kans. De puntschatting laat zien wat in de test gebeurde; de grens laat zien hoeveel onzekerheid nog resteert.</w:t>
      </w:r>
    </w:p>
    <w:p>
      <w:pPr>
        <w:pStyle w:val="Heading2"/>
        <w:keepNext/>
        <w:keepLines/>
        <w:widowControl/>
      </w:pPr>
      <w:r>
        <w:rPr>
          <w:rFonts w:ascii="Carlito" w:hAnsi="Carlito"/>
          <w:i w:val="0"/>
        </w:rPr>
        <w:t>Beslislogica</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3118"/>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Situatie</w:t>
            </w:r>
          </w:p>
        </w:tc>
        <w:tc>
          <w:tcPr>
            <w:tcW w:type="dxa" w:w="187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Status</w:t>
            </w:r>
          </w:p>
        </w:tc>
        <w:tc>
          <w:tcPr>
            <w:tcW w:type="dxa" w:w="4649"/>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Betekenis</w:t>
            </w:r>
          </w:p>
        </w:tc>
      </w:tr>
      <w:tr>
        <w:tc>
          <w:tcPr>
            <w:tcW w:type="dxa" w:w="311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Waargenomen succes onder minimum óf critical-error-rate boven maximum</w:t>
            </w:r>
          </w:p>
        </w:tc>
        <w:tc>
          <w:tcPr>
            <w:tcW w:type="dxa" w:w="187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FAIL</w:t>
            </w:r>
          </w:p>
        </w:tc>
        <w:tc>
          <w:tcPr>
            <w:tcW w:type="dxa" w:w="4649"/>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De kandidaat haalt de taaknorm feitelijk niet.</w:t>
            </w:r>
          </w:p>
        </w:tc>
      </w:tr>
      <w:tr>
        <w:tc>
          <w:tcPr>
            <w:tcW w:type="dxa" w:w="311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Puntschatting voldoet, maar n of Wilson-grens nog niet</w:t>
            </w:r>
          </w:p>
        </w:tc>
        <w:tc>
          <w:tcPr>
            <w:tcW w:type="dxa" w:w="187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MORE EVIDENCE</w:t>
            </w:r>
          </w:p>
        </w:tc>
        <w:tc>
          <w:tcPr>
            <w:tcW w:type="dxa" w:w="4649"/>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Nog geen bewijs voor bredere claim; extra cases of beperktere scope nodig.</w:t>
            </w:r>
          </w:p>
        </w:tc>
      </w:tr>
      <w:tr>
        <w:tc>
          <w:tcPr>
            <w:tcW w:type="dxa" w:w="311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Drempels, bewijsbodem, dekking en rubric voldoen</w:t>
            </w:r>
          </w:p>
        </w:tc>
        <w:tc>
          <w:tcPr>
            <w:tcW w:type="dxa" w:w="187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PASS</w:t>
            </w:r>
          </w:p>
        </w:tc>
        <w:tc>
          <w:tcPr>
            <w:tcW w:type="dxa" w:w="4649"/>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Voldoende geschikt binnen de geteste taak/configuratie.</w:t>
            </w:r>
          </w:p>
        </w:tc>
      </w:tr>
      <w:tr>
        <w:tc>
          <w:tcPr>
            <w:tcW w:type="dxa" w:w="311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Uitkomstvelden ontbreken</w:t>
            </w:r>
          </w:p>
        </w:tc>
        <w:tc>
          <w:tcPr>
            <w:tcW w:type="dxa" w:w="187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INCOMPLETE DATA</w:t>
            </w:r>
          </w:p>
        </w:tc>
        <w:tc>
          <w:tcPr>
            <w:tcW w:type="dxa" w:w="4649"/>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Eerst het testregister herstellen.</w:t>
            </w:r>
          </w:p>
        </w:tc>
      </w:tr>
      <w:tr>
        <w:tc>
          <w:tcPr>
            <w:tcW w:type="dxa" w:w="311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Dekking of rubric niet bevestigd</w:t>
            </w:r>
          </w:p>
        </w:tc>
        <w:tc>
          <w:tcPr>
            <w:tcW w:type="dxa" w:w="187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COVERAGE/RUBRIC HOLD</w:t>
            </w:r>
          </w:p>
        </w:tc>
        <w:tc>
          <w:tcPr>
            <w:tcW w:type="dxa" w:w="4649"/>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Ontwerpcontrole ontbreekt.</w:t>
            </w:r>
          </w:p>
        </w:tc>
      </w:tr>
    </w:tbl>
    <w:p>
      <w:pPr>
        <w:widowControl/>
        <w:spacing w:after="0"/>
      </w:pPr>
    </w:p>
    <w:p>
      <w:pPr>
        <w:pStyle w:val="Heading2"/>
        <w:keepNext/>
        <w:keepLines/>
        <w:widowControl/>
      </w:pPr>
      <w:r>
        <w:rPr>
          <w:rFonts w:ascii="Carlito" w:hAnsi="Carlito"/>
          <w:i w:val="0"/>
        </w:rPr>
        <w:t>De standaardwaarden zijn startpunten</w:t>
      </w:r>
    </w:p>
    <w:p>
      <w:pPr>
        <w:widowControl/>
      </w:pPr>
      <w:r>
        <w:rPr>
          <w:rFonts w:ascii="Carlito" w:hAnsi="Carlito"/>
          <w:i w:val="0"/>
        </w:rPr>
        <w:t>Het werkboek start met minimaal 90% succes, maximaal 2% critical errors, z = 1,96 en basis-n = 30. De effectieve bewijsbodem wordt automatisch de strengste van drie minima.</w:t>
      </w: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4C78A8"/>
            <w:tcBorders>
              <w:top w:val="single" w:sz="0" w:color="4C78A8"/>
              <w:left w:val="single" w:sz="0" w:color="4C78A8"/>
              <w:bottom w:val="single" w:sz="0" w:color="4C78A8"/>
              <w:right w:val="single" w:sz="0" w:color="4C78A8"/>
              <w:insideH w:val="single" w:sz="0" w:color="4C78A8"/>
              <w:insideV w:val="single" w:sz="0" w:color="4C78A8"/>
            </w:tcBorders>
          </w:tcPr>
          <w:p/>
        </w:tc>
        <w:tc>
          <w:tcPr>
            <w:tcW w:type="dxa" w:w="9383"/>
            <w:shd w:fill="E8F1FA"/>
            <w:tcBorders>
              <w:top w:val="single" w:sz="0" w:color="E8F1FA"/>
              <w:left w:val="single" w:sz="0" w:color="E8F1FA"/>
              <w:bottom w:val="single" w:sz="0" w:color="E8F1FA"/>
              <w:right w:val="single" w:sz="0" w:color="E8F1FA"/>
              <w:insideH w:val="single" w:sz="0" w:color="E8F1FA"/>
              <w:insideV w:val="single" w:sz="0" w:color="E8F1FA"/>
            </w:tcBorders>
            <w:tcMar>
              <w:top w:w="120" w:type="dxa"/>
              <w:start w:w="160" w:type="dxa"/>
              <w:bottom w:w="120" w:type="dxa"/>
              <w:end w:w="160" w:type="dxa"/>
            </w:tcMar>
          </w:tcPr>
          <w:p>
            <w:pPr>
              <w:spacing w:after="0"/>
            </w:pPr>
            <w:r>
              <w:rPr>
                <w:rFonts w:ascii="Carlito" w:hAnsi="Carlito"/>
                <w:b/>
                <w:color w:val="102A43"/>
                <w:sz w:val="21"/>
              </w:rPr>
              <w:t>Belangrijk voorbeeld</w:t>
              <w:br/>
            </w:r>
            <w:r>
              <w:rPr>
                <w:rFonts w:ascii="Carlito" w:hAnsi="Carlito"/>
                <w:color w:val="243B53"/>
                <w:sz w:val="18"/>
              </w:rPr>
              <w:t>30/30 succesvol en 0 critical errors geeft ongeveer LCB(success) = 88,65% en UCB(critical error) = 11,35%. Dat is dus MORE EVIDENCE. Bij 189/189 en 0 critical errors zakt de UCB tot circa 1,99% en kan PASS volgen, mits dekking en rubric ook voldoen.</w:t>
            </w:r>
          </w:p>
        </w:tc>
      </w:tr>
    </w:tbl>
    <w:p>
      <w:pPr>
        <w:widowControl/>
        <w:spacing w:after="0"/>
      </w:pPr>
    </w:p>
    <w:p>
      <w:pPr>
        <w:pStyle w:val="Heading2"/>
        <w:keepNext/>
        <w:keepLines/>
        <w:widowControl/>
      </w:pPr>
      <w:r>
        <w:rPr>
          <w:rFonts w:ascii="Carlito" w:hAnsi="Carlito"/>
          <w:i w:val="0"/>
        </w:rPr>
        <w:t>Formules</w:t>
      </w:r>
    </w:p>
    <w:p>
      <w:pPr>
        <w:widowControl/>
      </w:pPr>
      <w:r>
        <w:rPr>
          <w:rFonts w:ascii="Carlito" w:hAnsi="Carlito"/>
          <w:i w:val="0"/>
          <w:sz w:val="17"/>
        </w:rPr>
        <w:t>Voor p̂ = x/n en z: center = (p̂ + z²/(2n)) / (1 + z²/n); margin = z × √[(p̂(1−p̂) + z²/(4n)) / n] / (1 + z²/n). Lower = center − margin; Upper = center + margin.</w:t>
      </w:r>
    </w:p>
    <w:p>
      <w:pPr>
        <w:widowControl/>
      </w:pPr>
      <w:r>
        <w:rPr>
          <w:rFonts w:ascii="Carlito" w:hAnsi="Carlito"/>
          <w:i w:val="0"/>
          <w:sz w:val="17"/>
        </w:rPr>
        <w:t>Bij perfecte successcore: n ≥ z² × target / (1−target). Bij nul critical errors: n ≥ z² × (1−max) / max. Rond altijd naar boven af.</w:t>
      </w:r>
    </w:p>
    <w:p>
      <w:pPr>
        <w:pStyle w:val="Heading2"/>
        <w:keepNext/>
        <w:keepLines/>
        <w:widowControl/>
      </w:pPr>
      <w:r>
        <w:rPr>
          <w:rFonts w:ascii="Carlito" w:hAnsi="Carlito"/>
          <w:i w:val="0"/>
        </w:rPr>
        <w:t>Pas drempels niet achteraf aan</w:t>
      </w:r>
    </w:p>
    <w:p>
      <w:pPr>
        <w:widowControl/>
      </w:pPr>
      <w:r>
        <w:rPr>
          <w:rFonts w:ascii="Carlito" w:hAnsi="Carlito"/>
          <w:i w:val="0"/>
        </w:rPr>
        <w:t>De taaknorm hoort bij gevolgen, gebruikers en foutkosten — niet bij wat een kandidaat toevallig haalt. Leg elke aanpassing vooraf vast en motiveer uitzonderingen in het besluitrecord.</w:t>
      </w:r>
    </w:p>
    <w:p>
      <w:pPr>
        <w:widowControl/>
      </w:pPr>
      <w:r>
        <w:br w:type="page"/>
      </w:r>
    </w:p>
    <w:p>
      <w:pPr>
        <w:widowControl/>
        <w:spacing w:after="60"/>
      </w:pPr>
      <w:r>
        <w:rPr>
          <w:rFonts w:ascii="Carlito" w:hAnsi="Carlito"/>
          <w:b/>
          <w:i w:val="0"/>
          <w:color w:val="4C78A8"/>
          <w:sz w:val="17"/>
        </w:rPr>
        <w:t>WERKBLADEN 06 EN 07</w:t>
      </w:r>
    </w:p>
    <w:p>
      <w:pPr>
        <w:pStyle w:val="Heading1"/>
        <w:keepNext/>
        <w:keepLines/>
        <w:widowControl/>
      </w:pPr>
      <w:r>
        <w:rPr>
          <w:rFonts w:ascii="Carlito" w:hAnsi="Carlito"/>
          <w:i w:val="0"/>
        </w:rPr>
        <w:t>Lasten, menswerk en bewijs: onbekend is niet nul</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1757"/>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Dimensie</w:t>
            </w:r>
          </w:p>
        </w:tc>
        <w:tc>
          <w:tcPr>
            <w:tcW w:type="dxa" w:w="402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Rekenregel per geaccepteerde taak</w:t>
            </w:r>
          </w:p>
        </w:tc>
        <w:tc>
          <w:tcPr>
            <w:tcW w:type="dxa" w:w="385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Compleet wanneer</w:t>
            </w:r>
          </w:p>
        </w:tc>
      </w:tr>
      <w:tr>
        <w:tc>
          <w:tcPr>
            <w:tcW w:type="dxa" w:w="175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Directe kosten</w:t>
            </w:r>
          </w:p>
        </w:tc>
        <w:tc>
          <w:tcPr>
            <w:tcW w:type="dxa" w:w="402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Totale directe kosten van alle pogingen / geaccepteerde taken</w:t>
            </w:r>
          </w:p>
        </w:tc>
        <w:tc>
          <w:tcPr>
            <w:tcW w:type="dxa" w:w="385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Elke testregel een waarde bevat wanneer kosten besliskritiek zijn</w:t>
            </w:r>
          </w:p>
        </w:tc>
      </w:tr>
      <w:tr>
        <w:tc>
          <w:tcPr>
            <w:tcW w:type="dxa" w:w="175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Menselijke inspanning</w:t>
            </w:r>
          </w:p>
        </w:tc>
        <w:tc>
          <w:tcPr>
            <w:tcW w:type="dxa" w:w="402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(Verificatie + correctie/herstel) / geaccepteerde taken</w:t>
            </w:r>
          </w:p>
        </w:tc>
        <w:tc>
          <w:tcPr>
            <w:tcW w:type="dxa" w:w="385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Beide velden per regel zijn ingevuld</w:t>
            </w:r>
          </w:p>
        </w:tc>
      </w:tr>
      <w:tr>
        <w:tc>
          <w:tcPr>
            <w:tcW w:type="dxa" w:w="175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Doorlooptijd</w:t>
            </w:r>
          </w:p>
        </w:tc>
        <w:tc>
          <w:tcPr>
            <w:tcW w:type="dxa" w:w="402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Totale latency / geaccepteerde taken</w:t>
            </w:r>
          </w:p>
        </w:tc>
        <w:tc>
          <w:tcPr>
            <w:tcW w:type="dxa" w:w="385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Elke regel een gemeten waarde bevat</w:t>
            </w:r>
          </w:p>
        </w:tc>
      </w:tr>
      <w:tr>
        <w:tc>
          <w:tcPr>
            <w:tcW w:type="dxa" w:w="175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Retries</w:t>
            </w:r>
          </w:p>
        </w:tc>
        <w:tc>
          <w:tcPr>
            <w:tcW w:type="dxa" w:w="402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Totaal retries / geaccepteerde taken</w:t>
            </w:r>
          </w:p>
        </w:tc>
        <w:tc>
          <w:tcPr>
            <w:tcW w:type="dxa" w:w="385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Alle pogingen zijn geconsolideerd</w:t>
            </w:r>
          </w:p>
        </w:tc>
      </w:tr>
      <w:tr>
        <w:tc>
          <w:tcPr>
            <w:tcW w:type="dxa" w:w="175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Milieu/resources</w:t>
            </w:r>
          </w:p>
        </w:tc>
        <w:tc>
          <w:tcPr>
            <w:tcW w:type="dxa" w:w="402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Energie, CO2e en water / geaccepteerde taken</w:t>
            </w:r>
          </w:p>
        </w:tc>
        <w:tc>
          <w:tcPr>
            <w:tcW w:type="dxa" w:w="385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Data én systeemgrens/methode vergelijkbaar zijn</w:t>
            </w:r>
          </w:p>
        </w:tc>
      </w:tr>
    </w:tbl>
    <w:p>
      <w:pPr>
        <w:widowControl/>
        <w:spacing w:after="0"/>
      </w:pPr>
    </w:p>
    <w:p>
      <w:pPr>
        <w:pStyle w:val="Heading2"/>
        <w:keepNext/>
        <w:keepLines/>
        <w:widowControl/>
      </w:pPr>
      <w:r>
        <w:rPr>
          <w:rFonts w:ascii="Carlito" w:hAnsi="Carlito"/>
          <w:i w:val="0"/>
        </w:rPr>
        <w:t>Bewijsgraden</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737"/>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Graad</w:t>
            </w:r>
          </w:p>
        </w:tc>
        <w:tc>
          <w:tcPr>
            <w:tcW w:type="dxa" w:w="4536"/>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Duiding</w:t>
            </w:r>
          </w:p>
        </w:tc>
        <w:tc>
          <w:tcPr>
            <w:tcW w:type="dxa" w:w="436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Gebruik</w:t>
            </w:r>
          </w:p>
        </w:tc>
      </w:tr>
      <w:tr>
        <w:tc>
          <w:tcPr>
            <w:tcW w:type="dxa" w:w="73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A</w:t>
            </w:r>
          </w:p>
        </w:tc>
        <w:tc>
          <w:tcPr>
            <w:tcW w:type="dxa" w:w="453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Primair gemeten, onafhankelijk of anderszins sterk reproduceerbaar</w:t>
            </w:r>
          </w:p>
        </w:tc>
        <w:tc>
          <w:tcPr>
            <w:tcW w:type="dxa" w:w="436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Geschikt voor besliskritieke claim binnen de vastgelegde grens</w:t>
            </w:r>
          </w:p>
        </w:tc>
      </w:tr>
      <w:tr>
        <w:tc>
          <w:tcPr>
            <w:tcW w:type="dxa" w:w="73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B</w:t>
            </w:r>
          </w:p>
        </w:tc>
        <w:tc>
          <w:tcPr>
            <w:tcW w:type="dxa" w:w="453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Gedocumenteerde leverancier of reproduceerbare secundaire bron</w:t>
            </w:r>
          </w:p>
        </w:tc>
        <w:tc>
          <w:tcPr>
            <w:tcW w:type="dxa" w:w="436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Bruikbaar met expliciete beperkingen</w:t>
            </w:r>
          </w:p>
        </w:tc>
      </w:tr>
      <w:tr>
        <w:tc>
          <w:tcPr>
            <w:tcW w:type="dxa" w:w="73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C</w:t>
            </w:r>
          </w:p>
        </w:tc>
        <w:tc>
          <w:tcPr>
            <w:tcW w:type="dxa" w:w="453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Redelijke proxy of schatting</w:t>
            </w:r>
          </w:p>
        </w:tc>
        <w:tc>
          <w:tcPr>
            <w:tcW w:type="dxa" w:w="436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Alleen met gevoeligheidsanalyse / beperkte claim</w:t>
            </w:r>
          </w:p>
        </w:tc>
      </w:tr>
      <w:tr>
        <w:tc>
          <w:tcPr>
            <w:tcW w:type="dxa" w:w="73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U</w:t>
            </w:r>
          </w:p>
        </w:tc>
        <w:tc>
          <w:tcPr>
            <w:tcW w:type="dxa" w:w="453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Onbekend</w:t>
            </w:r>
          </w:p>
        </w:tc>
        <w:tc>
          <w:tcPr>
            <w:tcW w:type="dxa" w:w="436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Geen numerieke vergelijking claimen</w:t>
            </w:r>
          </w:p>
        </w:tc>
      </w:tr>
    </w:tbl>
    <w:p>
      <w:pPr>
        <w:widowControl/>
        <w:spacing w:after="0"/>
      </w:pPr>
    </w:p>
    <w:p>
      <w:pPr>
        <w:pStyle w:val="Heading2"/>
        <w:keepNext/>
        <w:keepLines/>
        <w:widowControl/>
      </w:pPr>
      <w:r>
        <w:rPr>
          <w:rFonts w:ascii="Carlito" w:hAnsi="Carlito"/>
          <w:i w:val="0"/>
        </w:rPr>
        <w:t>Milieugrens</w:t>
      </w:r>
    </w:p>
    <w:p>
      <w:pPr>
        <w:widowControl/>
      </w:pPr>
      <w:r>
        <w:rPr>
          <w:rFonts w:ascii="Carlito" w:hAnsi="Carlito"/>
          <w:i w:val="0"/>
        </w:rPr>
        <w:t>Een energie- of CO2e-getal is pas vergelijkbaar wanneer taakdefinitie, configuratie, hardware-/cloudgrens, meetmethode, locatie/tijd, embodied componenten en allocatie voldoende gelijk of gecorrigeerd zijn. Water is vaak nog contextgevoeliger: rapporteer onzekerheid expliciet.</w:t>
      </w: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D99A00"/>
            <w:tcBorders>
              <w:top w:val="single" w:sz="0" w:color="D99A00"/>
              <w:left w:val="single" w:sz="0" w:color="D99A00"/>
              <w:bottom w:val="single" w:sz="0" w:color="D99A00"/>
              <w:right w:val="single" w:sz="0" w:color="D99A00"/>
              <w:insideH w:val="single" w:sz="0" w:color="D99A00"/>
              <w:insideV w:val="single" w:sz="0" w:color="D99A00"/>
            </w:tcBorders>
          </w:tcPr>
          <w:p/>
        </w:tc>
        <w:tc>
          <w:tcPr>
            <w:tcW w:type="dxa" w:w="9383"/>
            <w:shd w:fill="FFF1C2"/>
            <w:tcBorders>
              <w:top w:val="single" w:sz="0" w:color="FFF1C2"/>
              <w:left w:val="single" w:sz="0" w:color="FFF1C2"/>
              <w:bottom w:val="single" w:sz="0" w:color="FFF1C2"/>
              <w:right w:val="single" w:sz="0" w:color="FFF1C2"/>
              <w:insideH w:val="single" w:sz="0" w:color="FFF1C2"/>
              <w:insideV w:val="single" w:sz="0" w:color="FFF1C2"/>
            </w:tcBorders>
            <w:tcMar>
              <w:top w:w="120" w:type="dxa"/>
              <w:start w:w="160" w:type="dxa"/>
              <w:bottom w:w="120" w:type="dxa"/>
              <w:end w:w="160" w:type="dxa"/>
            </w:tcMar>
          </w:tcPr>
          <w:p>
            <w:pPr>
              <w:spacing w:after="0"/>
            </w:pPr>
            <w:r>
              <w:rPr>
                <w:rFonts w:ascii="Carlito" w:hAnsi="Carlito"/>
                <w:b/>
                <w:color w:val="102A43"/>
                <w:sz w:val="21"/>
              </w:rPr>
              <w:t>Partiële proportionaliteit is een geldige uitkomst</w:t>
              <w:br/>
            </w:r>
            <w:r>
              <w:rPr>
                <w:rFonts w:ascii="Carlito" w:hAnsi="Carlito"/>
                <w:color w:val="243B53"/>
                <w:sz w:val="18"/>
              </w:rPr>
              <w:t>Wanneer kwaliteit en kosten vergelijkbaar zijn maar milieudata niet, kan de organisatie alleen over die eerste dimensies besluiten. Noteer wat buiten de claim blijft; vul ontbrekende fysieke data niet met schijnprecisie.</w:t>
            </w:r>
          </w:p>
        </w:tc>
      </w:tr>
    </w:tbl>
    <w:p>
      <w:pPr>
        <w:widowControl/>
        <w:spacing w:after="0"/>
      </w:pPr>
    </w:p>
    <w:p>
      <w:pPr>
        <w:pStyle w:val="Heading2"/>
        <w:keepNext/>
        <w:keepLines/>
        <w:widowControl/>
      </w:pPr>
      <w:r>
        <w:rPr>
          <w:rFonts w:ascii="Carlito" w:hAnsi="Carlito"/>
          <w:i w:val="0"/>
        </w:rPr>
        <w:t>Tokeninformatie</w:t>
      </w:r>
    </w:p>
    <w:p>
      <w:pPr>
        <w:widowControl/>
      </w:pPr>
      <w:r>
        <w:rPr>
          <w:rFonts w:ascii="Carlito" w:hAnsi="Carlito"/>
          <w:i w:val="0"/>
        </w:rPr>
        <w:t>Tokens kunnen kosten en technische belasting helpen verklaren, maar zijn geen directe maat voor energie of duurzaamheid. Routing, hardware, batchgrootte, contextlengte, caching en retries kunnen de relatie sterk veranderen.</w:t>
      </w:r>
    </w:p>
    <w:p>
      <w:pPr>
        <w:widowControl/>
      </w:pPr>
      <w:r>
        <w:br w:type="page"/>
      </w:r>
    </w:p>
    <w:p>
      <w:pPr>
        <w:widowControl/>
        <w:spacing w:after="60"/>
      </w:pPr>
      <w:r>
        <w:rPr>
          <w:rFonts w:ascii="Carlito" w:hAnsi="Carlito"/>
          <w:b/>
          <w:i w:val="0"/>
          <w:color w:val="4C78A8"/>
          <w:sz w:val="17"/>
        </w:rPr>
        <w:t>WERKBLAD 08</w:t>
      </w:r>
    </w:p>
    <w:p>
      <w:pPr>
        <w:pStyle w:val="Heading1"/>
        <w:keepNext/>
        <w:keepLines/>
        <w:widowControl/>
      </w:pPr>
      <w:r>
        <w:rPr>
          <w:rFonts w:ascii="Carlito" w:hAnsi="Carlito"/>
          <w:i w:val="0"/>
        </w:rPr>
        <w:t>Poort 3 — proportionaliteit zonder magische score</w:t>
      </w:r>
    </w:p>
    <w:p>
      <w:pPr>
        <w:widowControl/>
      </w:pPr>
      <w:r>
        <w:rPr>
          <w:rFonts w:ascii="Carlito" w:hAnsi="Carlito"/>
          <w:i w:val="0"/>
        </w:rPr>
        <w:t>PAM-AI middelt juridische, menselijke, financiële en ecologische waarden niet weg in één getal. Het maakt eerst de dominante en niet-dominante opties zichtbaar en vraagt daarna om een expliciet oordeel.</w:t>
      </w:r>
    </w:p>
    <w:p>
      <w:pPr>
        <w:pStyle w:val="Heading2"/>
        <w:keepNext/>
        <w:keepLines/>
        <w:widowControl/>
      </w:pPr>
      <w:r>
        <w:rPr>
          <w:rFonts w:ascii="Carlito" w:hAnsi="Carlito"/>
          <w:i w:val="0"/>
        </w:rPr>
        <w:t>Pairwise marginale test</w:t>
      </w:r>
    </w:p>
    <w:p>
      <w:pPr>
        <w:pStyle w:val="ListNumber"/>
        <w:keepNext w:val="0"/>
        <w:keepLines/>
        <w:widowControl/>
      </w:pPr>
      <w:r>
        <w:rPr>
          <w:rFonts w:ascii="Carlito" w:hAnsi="Carlito"/>
          <w:i w:val="0"/>
        </w:rPr>
        <w:t>Kies kandidaat A en een relevante lichtere optie of de niet-AI-baseline als kandidaat B.</w:t>
      </w:r>
    </w:p>
    <w:p>
      <w:pPr>
        <w:pStyle w:val="ListNumber"/>
        <w:keepNext w:val="0"/>
        <w:keepLines/>
        <w:widowControl/>
      </w:pPr>
      <w:r>
        <w:rPr>
          <w:rFonts w:ascii="Carlito" w:hAnsi="Carlito"/>
          <w:i w:val="0"/>
        </w:rPr>
        <w:t>Vergelijk succes-LCB en critical-error-UCB, daarna kosten, mensminuten, latency, retries en waar geldig milieuwaarden.</w:t>
      </w:r>
    </w:p>
    <w:p>
      <w:pPr>
        <w:pStyle w:val="ListNumber"/>
        <w:keepNext w:val="0"/>
        <w:keepLines/>
        <w:widowControl/>
      </w:pPr>
      <w:r>
        <w:rPr>
          <w:rFonts w:ascii="Carlito" w:hAnsi="Carlito"/>
          <w:i w:val="0"/>
        </w:rPr>
        <w:t>Beoordeel context: autonomie/lock-in, exit, corrigeerbaarheid/rollback, inclusie/toegankelijkheid, implementatie- en onderhoudslast.</w:t>
      </w:r>
    </w:p>
    <w:p>
      <w:pPr>
        <w:pStyle w:val="ListNumber"/>
        <w:keepNext w:val="0"/>
        <w:keepLines/>
        <w:widowControl/>
      </w:pPr>
      <w:r>
        <w:rPr>
          <w:rFonts w:ascii="Carlito" w:hAnsi="Carlito"/>
          <w:i w:val="0"/>
        </w:rPr>
        <w:t>Vraag of de extra taakwaarde van A de extra lasten ten opzichte van B aantoonbaar rechtvaardigt.</w:t>
      </w:r>
    </w:p>
    <w:p>
      <w:pPr>
        <w:pStyle w:val="ListNumber"/>
        <w:keepNext w:val="0"/>
        <w:keepLines/>
        <w:widowControl/>
      </w:pPr>
      <w:r>
        <w:rPr>
          <w:rFonts w:ascii="Carlito" w:hAnsi="Carlito"/>
          <w:i w:val="0"/>
        </w:rPr>
        <w:t>Koppel de motivering aan bewijs-ID’s en leg onzekerheden of voorwaarden vast.</w:t>
      </w:r>
    </w:p>
    <w:p>
      <w:pPr>
        <w:pStyle w:val="Heading2"/>
        <w:keepNext/>
        <w:keepLines/>
        <w:widowControl/>
      </w:pPr>
      <w:r>
        <w:rPr>
          <w:rFonts w:ascii="Carlito" w:hAnsi="Carlito"/>
          <w:i w:val="0"/>
        </w:rPr>
        <w:t>Pareto-dominantie</w:t>
      </w:r>
    </w:p>
    <w:p>
      <w:pPr>
        <w:widowControl/>
      </w:pPr>
      <w:r>
        <w:rPr>
          <w:rFonts w:ascii="Carlito" w:hAnsi="Carlito"/>
          <w:i w:val="0"/>
        </w:rPr>
        <w:t>X domineert Y alleen wanneer X op alle relevante baten minstens zo goed is, op alle relevante lasten niet zwaarder is en op ten minste één dimensie strikt beter is — uitsluitend voor dimensies met voldoende vergelijkbaar bewijs.</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300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Uitkomst</w:t>
            </w:r>
          </w:p>
        </w:tc>
        <w:tc>
          <w:tcPr>
            <w:tcW w:type="dxa" w:w="6633"/>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Gebruik wanneer</w:t>
            </w:r>
          </w:p>
        </w:tc>
      </w:tr>
      <w:tr>
        <w:tc>
          <w:tcPr>
            <w:tcW w:type="dxa" w:w="300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PROPORTIONATE</w:t>
            </w:r>
          </w:p>
        </w:tc>
        <w:tc>
          <w:tcPr>
            <w:tcW w:type="dxa" w:w="663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De extra waarde de extra lasten en afhankelijkheden voldoende rechtvaardigt.</w:t>
            </w:r>
          </w:p>
        </w:tc>
      </w:tr>
      <w:tr>
        <w:tc>
          <w:tcPr>
            <w:tcW w:type="dxa" w:w="300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CONDITIONAL</w:t>
            </w:r>
          </w:p>
        </w:tc>
        <w:tc>
          <w:tcPr>
            <w:tcW w:type="dxa" w:w="6633"/>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De keuze alleen binnen expliciete technische, organisatorische of gebruiksvoorwaarden verdedigbaar is.</w:t>
            </w:r>
          </w:p>
        </w:tc>
      </w:tr>
      <w:tr>
        <w:tc>
          <w:tcPr>
            <w:tcW w:type="dxa" w:w="300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MULTIPLE PROPORTIONAL OPTIONS</w:t>
            </w:r>
          </w:p>
        </w:tc>
        <w:tc>
          <w:tcPr>
            <w:tcW w:type="dxa" w:w="663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Meer dan één kandidaat verdedigbaar blijft; lokale voorkeur of aanbesteding mag kiezen.</w:t>
            </w:r>
          </w:p>
        </w:tc>
      </w:tr>
      <w:tr>
        <w:tc>
          <w:tcPr>
            <w:tcW w:type="dxa" w:w="300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NOT PROPORTIONATE</w:t>
            </w:r>
          </w:p>
        </w:tc>
        <w:tc>
          <w:tcPr>
            <w:tcW w:type="dxa" w:w="6633"/>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Een lichtere optie het doel voldoende bereikt zonder de extra lasten.</w:t>
            </w:r>
          </w:p>
        </w:tc>
      </w:tr>
      <w:tr>
        <w:tc>
          <w:tcPr>
            <w:tcW w:type="dxa" w:w="300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UNDETERMINED</w:t>
            </w:r>
          </w:p>
        </w:tc>
        <w:tc>
          <w:tcPr>
            <w:tcW w:type="dxa" w:w="663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Besliskritiek vergelijkingsbewijs ontbreekt of waardenconflict is niet gelegitimeerd.</w:t>
            </w:r>
          </w:p>
        </w:tc>
      </w:tr>
    </w:tbl>
    <w:p>
      <w:pPr>
        <w:widowControl/>
        <w:spacing w:after="0"/>
      </w:pP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4C78A8"/>
            <w:tcBorders>
              <w:top w:val="single" w:sz="0" w:color="4C78A8"/>
              <w:left w:val="single" w:sz="0" w:color="4C78A8"/>
              <w:bottom w:val="single" w:sz="0" w:color="4C78A8"/>
              <w:right w:val="single" w:sz="0" w:color="4C78A8"/>
              <w:insideH w:val="single" w:sz="0" w:color="4C78A8"/>
              <w:insideV w:val="single" w:sz="0" w:color="4C78A8"/>
            </w:tcBorders>
          </w:tcPr>
          <w:p/>
        </w:tc>
        <w:tc>
          <w:tcPr>
            <w:tcW w:type="dxa" w:w="9383"/>
            <w:shd w:fill="E8F1FA"/>
            <w:tcBorders>
              <w:top w:val="single" w:sz="0" w:color="E8F1FA"/>
              <w:left w:val="single" w:sz="0" w:color="E8F1FA"/>
              <w:bottom w:val="single" w:sz="0" w:color="E8F1FA"/>
              <w:right w:val="single" w:sz="0" w:color="E8F1FA"/>
              <w:insideH w:val="single" w:sz="0" w:color="E8F1FA"/>
              <w:insideV w:val="single" w:sz="0" w:color="E8F1FA"/>
            </w:tcBorders>
            <w:tcMar>
              <w:top w:w="120" w:type="dxa"/>
              <w:start w:w="160" w:type="dxa"/>
              <w:bottom w:w="120" w:type="dxa"/>
              <w:end w:w="160" w:type="dxa"/>
            </w:tcMar>
          </w:tcPr>
          <w:p>
            <w:pPr>
              <w:spacing w:after="0"/>
            </w:pPr>
            <w:r>
              <w:rPr>
                <w:rFonts w:ascii="Carlito" w:hAnsi="Carlito"/>
                <w:b/>
                <w:color w:val="102A43"/>
                <w:sz w:val="21"/>
              </w:rPr>
              <w:t>Bestuurlijke vraag</w:t>
              <w:br/>
            </w:r>
            <w:r>
              <w:rPr>
                <w:rFonts w:ascii="Carlito" w:hAnsi="Carlito"/>
                <w:color w:val="243B53"/>
                <w:sz w:val="18"/>
              </w:rPr>
              <w:t>Niet: ‘welk model scoort het hoogst?’ Wel: ‘welke concrete configuratie is toelaatbaar, voldoende geschikt en niet zwaarder dan nodig voor deze taak — en wie mag dat oordeel herzien?’</w:t>
            </w:r>
          </w:p>
        </w:tc>
      </w:tr>
    </w:tbl>
    <w:p>
      <w:pPr>
        <w:widowControl/>
        <w:spacing w:after="0"/>
      </w:pPr>
    </w:p>
    <w:p>
      <w:pPr>
        <w:widowControl/>
      </w:pPr>
      <w:r>
        <w:br w:type="page"/>
      </w:r>
    </w:p>
    <w:p>
      <w:pPr>
        <w:widowControl/>
        <w:spacing w:after="60"/>
      </w:pPr>
      <w:r>
        <w:rPr>
          <w:rFonts w:ascii="Carlito" w:hAnsi="Carlito"/>
          <w:b/>
          <w:i w:val="0"/>
          <w:color w:val="4C78A8"/>
          <w:sz w:val="17"/>
        </w:rPr>
        <w:t>WERKBLAD 09</w:t>
      </w:r>
    </w:p>
    <w:p>
      <w:pPr>
        <w:pStyle w:val="Heading1"/>
        <w:keepNext/>
        <w:keepLines/>
        <w:widowControl/>
      </w:pPr>
      <w:r>
        <w:rPr>
          <w:rFonts w:ascii="Carlito" w:hAnsi="Carlito"/>
          <w:i w:val="0"/>
        </w:rPr>
        <w:t>Van analyse naar een bestuurbaar besluit</w:t>
      </w:r>
    </w:p>
    <w:p>
      <w:pPr>
        <w:widowControl/>
      </w:pPr>
      <w:r>
        <w:rPr>
          <w:rFonts w:ascii="Carlito" w:hAnsi="Carlito"/>
          <w:i w:val="0"/>
        </w:rPr>
        <w:t>Het Governance Decision Record maakt zichtbaar wat is besloten, met welke claim, onder welke voorwaarden en hoe de organisatie kan terugkomen op het besluit.</w:t>
      </w:r>
    </w:p>
    <w:p>
      <w:pPr>
        <w:pStyle w:val="Heading2"/>
        <w:keepNext/>
        <w:keepLines/>
        <w:widowControl/>
      </w:pPr>
      <w:r>
        <w:rPr>
          <w:rFonts w:ascii="Carlito" w:hAnsi="Carlito"/>
          <w:i w:val="0"/>
        </w:rPr>
        <w:t>Vier beslisscopes</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1927"/>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Scope</w:t>
            </w:r>
          </w:p>
        </w:tc>
        <w:tc>
          <w:tcPr>
            <w:tcW w:type="dxa" w:w="402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Wat je wél beslist</w:t>
            </w:r>
          </w:p>
        </w:tc>
        <w:tc>
          <w:tcPr>
            <w:tcW w:type="dxa" w:w="368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Wat je niet claimt</w:t>
            </w:r>
          </w:p>
        </w:tc>
      </w:tr>
      <w:tr>
        <w:tc>
          <w:tcPr>
            <w:tcW w:type="dxa" w:w="192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Verkenning</w:t>
            </w:r>
          </w:p>
        </w:tc>
        <w:tc>
          <w:tcPr>
            <w:tcW w:type="dxa" w:w="402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Gericht leren binnen een afgebakende test</w:t>
            </w:r>
          </w:p>
        </w:tc>
        <w:tc>
          <w:tcPr>
            <w:tcW w:type="dxa" w:w="368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Productiegeschiktheid of brede proportionaliteit</w:t>
            </w:r>
          </w:p>
        </w:tc>
      </w:tr>
      <w:tr>
        <w:tc>
          <w:tcPr>
            <w:tcW w:type="dxa" w:w="192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Gecontroleerde pilot</w:t>
            </w:r>
          </w:p>
        </w:tc>
        <w:tc>
          <w:tcPr>
            <w:tcW w:type="dxa" w:w="402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Begrensde inzet met voorwaarden en stopregels</w:t>
            </w:r>
          </w:p>
        </w:tc>
        <w:tc>
          <w:tcPr>
            <w:tcW w:type="dxa" w:w="368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Organisatiebrede invoering</w:t>
            </w:r>
          </w:p>
        </w:tc>
      </w:tr>
      <w:tr>
        <w:tc>
          <w:tcPr>
            <w:tcW w:type="dxa" w:w="192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Gedeeltelijke afweging</w:t>
            </w:r>
          </w:p>
        </w:tc>
        <w:tc>
          <w:tcPr>
            <w:tcW w:type="dxa" w:w="402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Besluit over dimensies met voldoende bewijs</w:t>
            </w:r>
          </w:p>
        </w:tc>
        <w:tc>
          <w:tcPr>
            <w:tcW w:type="dxa" w:w="368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Conclusie over ontbrekende dimensies</w:t>
            </w:r>
          </w:p>
        </w:tc>
      </w:tr>
      <w:tr>
        <w:tc>
          <w:tcPr>
            <w:tcW w:type="dxa" w:w="192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Volledige afweging</w:t>
            </w:r>
          </w:p>
        </w:tc>
        <w:tc>
          <w:tcPr>
            <w:tcW w:type="dxa" w:w="402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Toelaatbaarheid, geschiktheid en proportionaliteit binnen de omschreven context</w:t>
            </w:r>
          </w:p>
        </w:tc>
        <w:tc>
          <w:tcPr>
            <w:tcW w:type="dxa" w:w="368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Geldigheid buiten taak, configuratie of reviewperiode</w:t>
            </w:r>
          </w:p>
        </w:tc>
      </w:tr>
    </w:tbl>
    <w:p>
      <w:pPr>
        <w:widowControl/>
        <w:spacing w:after="0"/>
      </w:pPr>
    </w:p>
    <w:p>
      <w:pPr>
        <w:pStyle w:val="Heading2"/>
        <w:keepNext/>
        <w:keepLines/>
        <w:widowControl/>
      </w:pPr>
      <w:r>
        <w:rPr>
          <w:rFonts w:ascii="Carlito" w:hAnsi="Carlito"/>
          <w:i w:val="0"/>
        </w:rPr>
        <w:t>Verplichte inhoud</w:t>
      </w:r>
    </w:p>
    <w:p>
      <w:pPr>
        <w:pStyle w:val="ListBullet"/>
        <w:keepNext w:val="0"/>
        <w:keepLines/>
        <w:widowControl/>
      </w:pPr>
      <w:r>
        <w:rPr>
          <w:rFonts w:ascii="Carlito" w:hAnsi="Carlito"/>
          <w:i w:val="0"/>
        </w:rPr>
        <w:t>Beoogde waarde en aantoonbare voordelen.</w:t>
      </w:r>
    </w:p>
    <w:p>
      <w:pPr>
        <w:pStyle w:val="ListBullet"/>
        <w:keepNext w:val="0"/>
        <w:keepLines/>
        <w:widowControl/>
      </w:pPr>
      <w:r>
        <w:rPr>
          <w:rFonts w:ascii="Carlito" w:hAnsi="Carlito"/>
          <w:i w:val="0"/>
        </w:rPr>
        <w:t>Lasten, risico’s en verdeling van effecten.</w:t>
      </w:r>
    </w:p>
    <w:p>
      <w:pPr>
        <w:pStyle w:val="ListBullet"/>
        <w:keepNext w:val="0"/>
        <w:keepLines/>
        <w:widowControl/>
      </w:pPr>
      <w:r>
        <w:rPr>
          <w:rFonts w:ascii="Carlito" w:hAnsi="Carlito"/>
          <w:i w:val="0"/>
        </w:rPr>
        <w:t>Alternatieven, inclusief de niet-AI-baseline.</w:t>
      </w:r>
    </w:p>
    <w:p>
      <w:pPr>
        <w:pStyle w:val="ListBullet"/>
        <w:keepNext w:val="0"/>
        <w:keepLines/>
        <w:widowControl/>
      </w:pPr>
      <w:r>
        <w:rPr>
          <w:rFonts w:ascii="Carlito" w:hAnsi="Carlito"/>
          <w:i w:val="0"/>
        </w:rPr>
        <w:t>Bewijsbeperkingen en onzekerheden.</w:t>
      </w:r>
    </w:p>
    <w:p>
      <w:pPr>
        <w:pStyle w:val="ListBullet"/>
        <w:keepNext w:val="0"/>
        <w:keepLines/>
        <w:widowControl/>
      </w:pPr>
      <w:r>
        <w:rPr>
          <w:rFonts w:ascii="Carlito" w:hAnsi="Carlito"/>
          <w:i w:val="0"/>
        </w:rPr>
        <w:t>Voorwaarden, grenzen, stopcriteria en herstelmogelijkheid.</w:t>
      </w:r>
    </w:p>
    <w:p>
      <w:pPr>
        <w:pStyle w:val="ListBullet"/>
        <w:keepNext w:val="0"/>
        <w:keepLines/>
        <w:widowControl/>
      </w:pPr>
      <w:r>
        <w:rPr>
          <w:rFonts w:ascii="Carlito" w:hAnsi="Carlito"/>
          <w:i w:val="0"/>
        </w:rPr>
        <w:t>Eindmotivering: waarom deze optie en niet een lichtere of zwaardere?</w:t>
      </w:r>
    </w:p>
    <w:p>
      <w:pPr>
        <w:pStyle w:val="ListBullet"/>
        <w:keepNext w:val="0"/>
        <w:keepLines/>
        <w:widowControl/>
      </w:pPr>
      <w:r>
        <w:rPr>
          <w:rFonts w:ascii="Carlito" w:hAnsi="Carlito"/>
          <w:i w:val="0"/>
        </w:rPr>
        <w:t>Besluiteigenaar, reviewer waar vereist, datum, geldigheidsduur en triggers.</w:t>
      </w:r>
    </w:p>
    <w:p>
      <w:pPr>
        <w:pStyle w:val="Heading2"/>
        <w:keepNext/>
        <w:keepLines/>
        <w:widowControl/>
      </w:pPr>
      <w:r>
        <w:rPr>
          <w:rFonts w:ascii="Carlito" w:hAnsi="Carlito"/>
          <w:i w:val="0"/>
        </w:rPr>
        <w:t>Automatische statussen</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2948"/>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Status</w:t>
            </w:r>
          </w:p>
        </w:tc>
        <w:tc>
          <w:tcPr>
            <w:tcW w:type="dxa" w:w="6690"/>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7"/>
              </w:rPr>
              <w:t>Betekenis</w:t>
            </w:r>
          </w:p>
        </w:tc>
      </w:tr>
      <w:tr>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DRAFT</w:t>
            </w:r>
          </w:p>
        </w:tc>
        <w:tc>
          <w:tcPr>
            <w:tcW w:type="dxa" w:w="669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Het record of een noodzakelijke voorwaarde is nog niet compleet.</w:t>
            </w:r>
          </w:p>
        </w:tc>
      </w:tr>
      <w:tr>
        <w:tc>
          <w:tcPr>
            <w:tcW w:type="dxa" w:w="294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PILOT-READY</w:t>
            </w:r>
          </w:p>
        </w:tc>
        <w:tc>
          <w:tcPr>
            <w:tcW w:type="dxa" w:w="6690"/>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Gereed voor de begrensde pilot/verkenning, niet voor bredere invoering.</w:t>
            </w:r>
          </w:p>
        </w:tc>
      </w:tr>
      <w:tr>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PILOT WITH CONDITIONS</w:t>
            </w:r>
          </w:p>
        </w:tc>
        <w:tc>
          <w:tcPr>
            <w:tcW w:type="dxa" w:w="669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Pilot alleen binnen de beschreven voorwaarden en onzekerheden.</w:t>
            </w:r>
          </w:p>
        </w:tc>
      </w:tr>
      <w:tr>
        <w:tc>
          <w:tcPr>
            <w:tcW w:type="dxa" w:w="294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DECISION-READY</w:t>
            </w:r>
          </w:p>
        </w:tc>
        <w:tc>
          <w:tcPr>
            <w:tcW w:type="dxa" w:w="6690"/>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Alle toepasselijke gates, bewijs- en governancevelden zijn gereed.</w:t>
            </w:r>
          </w:p>
        </w:tc>
      </w:tr>
      <w:tr>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HOLD</w:t>
            </w:r>
          </w:p>
        </w:tc>
        <w:tc>
          <w:tcPr>
            <w:tcW w:type="dxa" w:w="6690"/>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7"/>
              </w:rPr>
              <w:t>Een gate, bewijsvereiste of besluitvoorwaarde blokkeert.</w:t>
            </w:r>
          </w:p>
        </w:tc>
      </w:tr>
    </w:tbl>
    <w:p>
      <w:pPr>
        <w:widowControl/>
        <w:spacing w:after="0"/>
      </w:pP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D99A00"/>
            <w:tcBorders>
              <w:top w:val="single" w:sz="0" w:color="D99A00"/>
              <w:left w:val="single" w:sz="0" w:color="D99A00"/>
              <w:bottom w:val="single" w:sz="0" w:color="D99A00"/>
              <w:right w:val="single" w:sz="0" w:color="D99A00"/>
              <w:insideH w:val="single" w:sz="0" w:color="D99A00"/>
              <w:insideV w:val="single" w:sz="0" w:color="D99A00"/>
            </w:tcBorders>
          </w:tcPr>
          <w:p/>
        </w:tc>
        <w:tc>
          <w:tcPr>
            <w:tcW w:type="dxa" w:w="9383"/>
            <w:shd w:fill="FFF1C2"/>
            <w:tcBorders>
              <w:top w:val="single" w:sz="0" w:color="FFF1C2"/>
              <w:left w:val="single" w:sz="0" w:color="FFF1C2"/>
              <w:bottom w:val="single" w:sz="0" w:color="FFF1C2"/>
              <w:right w:val="single" w:sz="0" w:color="FFF1C2"/>
              <w:insideH w:val="single" w:sz="0" w:color="FFF1C2"/>
              <w:insideV w:val="single" w:sz="0" w:color="FFF1C2"/>
            </w:tcBorders>
            <w:tcMar>
              <w:top w:w="120" w:type="dxa"/>
              <w:start w:w="160" w:type="dxa"/>
              <w:bottom w:w="120" w:type="dxa"/>
              <w:end w:w="160" w:type="dxa"/>
            </w:tcMar>
          </w:tcPr>
          <w:p>
            <w:pPr>
              <w:spacing w:after="0"/>
            </w:pPr>
            <w:r>
              <w:rPr>
                <w:rFonts w:ascii="Carlito" w:hAnsi="Carlito"/>
                <w:b/>
                <w:color w:val="102A43"/>
                <w:sz w:val="21"/>
              </w:rPr>
              <w:t>Herbeoordeling is onderdeel van het besluit</w:t>
              <w:br/>
            </w:r>
            <w:r>
              <w:rPr>
                <w:rFonts w:ascii="Carlito" w:hAnsi="Carlito"/>
                <w:color w:val="243B53"/>
                <w:sz w:val="18"/>
              </w:rPr>
              <w:t>Heropen PAM-AI bij wijziging van model/configuratie, taak, doelgroep, datastroom, wetgeving, incident, prestaties, kosten of relevante marktopties. De standaard geldigheidsduur in het werkboek is 180 dagen en moet taakgericht worden aangepast.</w:t>
            </w:r>
          </w:p>
        </w:tc>
      </w:tr>
    </w:tbl>
    <w:p>
      <w:pPr>
        <w:widowControl/>
        <w:spacing w:after="0"/>
      </w:pPr>
    </w:p>
    <w:p>
      <w:pPr>
        <w:widowControl/>
      </w:pPr>
      <w:r>
        <w:br w:type="page"/>
      </w:r>
    </w:p>
    <w:p>
      <w:pPr>
        <w:widowControl/>
        <w:spacing w:after="60"/>
      </w:pPr>
      <w:r>
        <w:rPr>
          <w:rFonts w:ascii="Carlito" w:hAnsi="Carlito"/>
          <w:b/>
          <w:i w:val="0"/>
          <w:color w:val="4C78A8"/>
          <w:sz w:val="17"/>
        </w:rPr>
        <w:t>PRAKTIJKHANDLEIDING</w:t>
      </w:r>
    </w:p>
    <w:p>
      <w:pPr>
        <w:pStyle w:val="Heading1"/>
        <w:keepNext/>
        <w:keepLines/>
        <w:widowControl/>
      </w:pPr>
      <w:r>
        <w:rPr>
          <w:rFonts w:ascii="Carlito" w:hAnsi="Carlito"/>
          <w:i w:val="0"/>
        </w:rPr>
        <w:t>Werkboekkaart: waar vul je wat in?</w:t>
      </w:r>
    </w:p>
    <w:tbl>
      <w:tblPr>
        <w:tblW w:type="auto" w:w="0"/>
        <w:jc w:val="center"/>
        <w:tblLayout w:type="fixed"/>
        <w:tblLook w:firstColumn="1" w:firstRow="1" w:lastColumn="0" w:lastRow="0" w:noHBand="0" w:noVBand="1" w:val="04A0"/>
      </w:tblPr>
      <w:tblGrid>
        <w:gridCol w:w="2523"/>
        <w:gridCol w:w="2523"/>
        <w:gridCol w:w="2523"/>
        <w:gridCol w:w="2523"/>
      </w:tblGrid>
      <w:tr>
        <w:trPr>
          <w:tblHeader w:val="true"/>
        </w:trPr>
        <w:tc>
          <w:tcPr>
            <w:tcW w:type="dxa" w:w="1474"/>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5"/>
              </w:rPr>
              <w:t>Werkblad</w:t>
            </w:r>
          </w:p>
        </w:tc>
        <w:tc>
          <w:tcPr>
            <w:tcW w:type="dxa" w:w="2891"/>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5"/>
              </w:rPr>
              <w:t>Doel</w:t>
            </w:r>
          </w:p>
        </w:tc>
        <w:tc>
          <w:tcPr>
            <w:tcW w:type="dxa" w:w="2324"/>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5"/>
              </w:rPr>
              <w:t>Wie leidt?</w:t>
            </w:r>
          </w:p>
        </w:tc>
        <w:tc>
          <w:tcPr>
            <w:tcW w:type="dxa" w:w="2948"/>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5"/>
              </w:rPr>
              <w:t>Praktische check</w:t>
            </w:r>
          </w:p>
        </w:tc>
      </w:tr>
      <w:tr>
        <w:tc>
          <w:tcPr>
            <w:tcW w:type="dxa" w:w="147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00_Start</w:t>
            </w:r>
          </w:p>
        </w:tc>
        <w:tc>
          <w:tcPr>
            <w:tcW w:type="dxa" w:w="289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Route en werkvolgorde begrijpen</w:t>
            </w:r>
          </w:p>
        </w:tc>
        <w:tc>
          <w:tcPr>
            <w:tcW w:type="dxa" w:w="232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Procesbegeleider</w:t>
            </w:r>
          </w:p>
        </w:tc>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Iedere deelnemer begrijpt pilot versus volledig besluit</w:t>
            </w:r>
          </w:p>
        </w:tc>
      </w:tr>
      <w:tr>
        <w:tc>
          <w:tcPr>
            <w:tcW w:type="dxa" w:w="147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01_Intake</w:t>
            </w:r>
          </w:p>
        </w:tc>
        <w:tc>
          <w:tcPr>
            <w:tcW w:type="dxa" w:w="289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Taak, baseline, scope, route en drempels</w:t>
            </w:r>
          </w:p>
        </w:tc>
        <w:tc>
          <w:tcPr>
            <w:tcW w:type="dxa" w:w="232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Besluit-/taakeigenaar</w:t>
            </w:r>
          </w:p>
        </w:tc>
        <w:tc>
          <w:tcPr>
            <w:tcW w:type="dxa" w:w="294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Geen abstracte ‘AI-use case’ zonder concreet besluit</w:t>
            </w:r>
          </w:p>
        </w:tc>
      </w:tr>
      <w:tr>
        <w:tc>
          <w:tcPr>
            <w:tcW w:type="dxa" w:w="147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02_Kandidaten</w:t>
            </w:r>
          </w:p>
        </w:tc>
        <w:tc>
          <w:tcPr>
            <w:tcW w:type="dxa" w:w="289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Reproduceerbare configuraties</w:t>
            </w:r>
          </w:p>
        </w:tc>
        <w:tc>
          <w:tcPr>
            <w:tcW w:type="dxa" w:w="232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Techniek / inkoop</w:t>
            </w:r>
          </w:p>
        </w:tc>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Baseline opgenomen; versies vastgelegd</w:t>
            </w:r>
          </w:p>
        </w:tc>
      </w:tr>
      <w:tr>
        <w:tc>
          <w:tcPr>
            <w:tcW w:type="dxa" w:w="147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03_Poort1</w:t>
            </w:r>
          </w:p>
        </w:tc>
        <w:tc>
          <w:tcPr>
            <w:tcW w:type="dxa" w:w="289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Toelaatbaarheid</w:t>
            </w:r>
          </w:p>
        </w:tc>
        <w:tc>
          <w:tcPr>
            <w:tcW w:type="dxa" w:w="232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Juridisch/privacy/security + eigenaar</w:t>
            </w:r>
          </w:p>
        </w:tc>
        <w:tc>
          <w:tcPr>
            <w:tcW w:type="dxa" w:w="294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Bewijs-ID’s en voorwaarden aanwezig</w:t>
            </w:r>
          </w:p>
        </w:tc>
      </w:tr>
      <w:tr>
        <w:tc>
          <w:tcPr>
            <w:tcW w:type="dxa" w:w="147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04_Testontwerp</w:t>
            </w:r>
          </w:p>
        </w:tc>
        <w:tc>
          <w:tcPr>
            <w:tcW w:type="dxa" w:w="289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Acceptatie, critical errors, rubric en dekking</w:t>
            </w:r>
          </w:p>
        </w:tc>
        <w:tc>
          <w:tcPr>
            <w:tcW w:type="dxa" w:w="232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Inhoudsdeskundige</w:t>
            </w:r>
          </w:p>
        </w:tc>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Criteria vóór resultaten vastgelegd</w:t>
            </w:r>
          </w:p>
        </w:tc>
      </w:tr>
      <w:tr>
        <w:tc>
          <w:tcPr>
            <w:tcW w:type="dxa" w:w="147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05_Testcases</w:t>
            </w:r>
          </w:p>
        </w:tc>
        <w:tc>
          <w:tcPr>
            <w:tcW w:type="dxa" w:w="289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Taakuitkomsten en totale lasten</w:t>
            </w:r>
          </w:p>
        </w:tc>
        <w:tc>
          <w:tcPr>
            <w:tcW w:type="dxa" w:w="232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Testteam</w:t>
            </w:r>
          </w:p>
        </w:tc>
        <w:tc>
          <w:tcPr>
            <w:tcW w:type="dxa" w:w="294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Eén rij per kandidaat × testcase</w:t>
            </w:r>
          </w:p>
        </w:tc>
      </w:tr>
      <w:tr>
        <w:tc>
          <w:tcPr>
            <w:tcW w:type="dxa" w:w="147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06_Analyse</w:t>
            </w:r>
          </w:p>
        </w:tc>
        <w:tc>
          <w:tcPr>
            <w:tcW w:type="dxa" w:w="289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Poort 2 en bewijskompleetheid</w:t>
            </w:r>
          </w:p>
        </w:tc>
        <w:tc>
          <w:tcPr>
            <w:tcW w:type="dxa" w:w="232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Analist + inhoud</w:t>
            </w:r>
          </w:p>
        </w:tc>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MORE EVIDENCE niet verwarren met FAIL</w:t>
            </w:r>
          </w:p>
        </w:tc>
      </w:tr>
      <w:tr>
        <w:tc>
          <w:tcPr>
            <w:tcW w:type="dxa" w:w="147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07_Bewijs</w:t>
            </w:r>
          </w:p>
        </w:tc>
        <w:tc>
          <w:tcPr>
            <w:tcW w:type="dxa" w:w="289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Bronnen, grades en milieugrens</w:t>
            </w:r>
          </w:p>
        </w:tc>
        <w:tc>
          <w:tcPr>
            <w:tcW w:type="dxa" w:w="232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Data/duurzaamheid</w:t>
            </w:r>
          </w:p>
        </w:tc>
        <w:tc>
          <w:tcPr>
            <w:tcW w:type="dxa" w:w="294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Onbekend niet als nul; grenzen vergelijkbaar</w:t>
            </w:r>
          </w:p>
        </w:tc>
      </w:tr>
      <w:tr>
        <w:tc>
          <w:tcPr>
            <w:tcW w:type="dxa" w:w="147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08_Vergelijking</w:t>
            </w:r>
          </w:p>
        </w:tc>
        <w:tc>
          <w:tcPr>
            <w:tcW w:type="dxa" w:w="289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Pairwise en contextuele proportionaliteit</w:t>
            </w:r>
          </w:p>
        </w:tc>
        <w:tc>
          <w:tcPr>
            <w:tcW w:type="dxa" w:w="232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Multidisciplinair</w:t>
            </w:r>
          </w:p>
        </w:tc>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Geen verborgen gewogen score</w:t>
            </w:r>
          </w:p>
        </w:tc>
      </w:tr>
      <w:tr>
        <w:tc>
          <w:tcPr>
            <w:tcW w:type="dxa" w:w="147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09_Besluit</w:t>
            </w:r>
          </w:p>
        </w:tc>
        <w:tc>
          <w:tcPr>
            <w:tcW w:type="dxa" w:w="2891"/>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Scope, motivering, eigenaar en review</w:t>
            </w:r>
          </w:p>
        </w:tc>
        <w:tc>
          <w:tcPr>
            <w:tcW w:type="dxa" w:w="2324"/>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Besluiteigenaar</w:t>
            </w:r>
          </w:p>
        </w:tc>
        <w:tc>
          <w:tcPr>
            <w:tcW w:type="dxa" w:w="2948"/>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Status past bij de feitelijke claim</w:t>
            </w:r>
          </w:p>
        </w:tc>
      </w:tr>
      <w:tr>
        <w:tc>
          <w:tcPr>
            <w:tcW w:type="dxa" w:w="147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10_Validatie</w:t>
            </w:r>
          </w:p>
        </w:tc>
        <w:tc>
          <w:tcPr>
            <w:tcW w:type="dxa" w:w="2891"/>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Casuscontrole en methodiekvalidatie</w:t>
            </w:r>
          </w:p>
        </w:tc>
        <w:tc>
          <w:tcPr>
            <w:tcW w:type="dxa" w:w="2324"/>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Reviewer / onderzoeker</w:t>
            </w:r>
          </w:p>
        </w:tc>
        <w:tc>
          <w:tcPr>
            <w:tcW w:type="dxa" w:w="2948"/>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5"/>
              </w:rPr>
              <w:t>Feedback en afwijkingen terugleggen in versiebeheer</w:t>
            </w:r>
          </w:p>
        </w:tc>
      </w:tr>
    </w:tbl>
    <w:p>
      <w:pPr>
        <w:widowControl/>
        <w:spacing w:after="0"/>
      </w:pPr>
    </w:p>
    <w:p>
      <w:pPr>
        <w:pStyle w:val="Heading2"/>
        <w:keepNext/>
        <w:keepLines/>
        <w:widowControl/>
      </w:pPr>
      <w:r>
        <w:rPr>
          <w:rFonts w:ascii="Carlito" w:hAnsi="Carlito"/>
          <w:i w:val="0"/>
        </w:rPr>
        <w:t>Werkafspraak voor een team</w:t>
      </w:r>
    </w:p>
    <w:p>
      <w:pPr>
        <w:widowControl/>
      </w:pPr>
      <w:r>
        <w:rPr>
          <w:rFonts w:ascii="Carlito" w:hAnsi="Carlito"/>
          <w:i w:val="0"/>
        </w:rPr>
        <w:t>Plan één korte startsessie voor 01–04, laat testen en bewijsverzameling daarna door de juiste rollen uitvoeren en sluit af met een expliciete challenge op 08–10. Zo wordt PAM-AI geen formulier dat één beleidsmedewerker in isolatie moet ‘afvinken’.</w:t>
      </w: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4C78A8"/>
            <w:tcBorders>
              <w:top w:val="single" w:sz="0" w:color="4C78A8"/>
              <w:left w:val="single" w:sz="0" w:color="4C78A8"/>
              <w:bottom w:val="single" w:sz="0" w:color="4C78A8"/>
              <w:right w:val="single" w:sz="0" w:color="4C78A8"/>
              <w:insideH w:val="single" w:sz="0" w:color="4C78A8"/>
              <w:insideV w:val="single" w:sz="0" w:color="4C78A8"/>
            </w:tcBorders>
          </w:tcPr>
          <w:p/>
        </w:tc>
        <w:tc>
          <w:tcPr>
            <w:tcW w:type="dxa" w:w="9383"/>
            <w:shd w:fill="E8F1FA"/>
            <w:tcBorders>
              <w:top w:val="single" w:sz="0" w:color="E8F1FA"/>
              <w:left w:val="single" w:sz="0" w:color="E8F1FA"/>
              <w:bottom w:val="single" w:sz="0" w:color="E8F1FA"/>
              <w:right w:val="single" w:sz="0" w:color="E8F1FA"/>
              <w:insideH w:val="single" w:sz="0" w:color="E8F1FA"/>
              <w:insideV w:val="single" w:sz="0" w:color="E8F1FA"/>
            </w:tcBorders>
            <w:tcMar>
              <w:top w:w="120" w:type="dxa"/>
              <w:start w:w="160" w:type="dxa"/>
              <w:bottom w:w="120" w:type="dxa"/>
              <w:end w:w="160" w:type="dxa"/>
            </w:tcMar>
          </w:tcPr>
          <w:p>
            <w:pPr>
              <w:spacing w:after="0"/>
            </w:pPr>
            <w:r>
              <w:rPr>
                <w:rFonts w:ascii="Carlito" w:hAnsi="Carlito"/>
                <w:b/>
                <w:color w:val="102A43"/>
                <w:sz w:val="21"/>
              </w:rPr>
              <w:t>De tool is het dossier, niet het gesprek</w:t>
              <w:br/>
            </w:r>
            <w:r>
              <w:rPr>
                <w:rFonts w:ascii="Carlito" w:hAnsi="Carlito"/>
                <w:color w:val="243B53"/>
                <w:sz w:val="18"/>
              </w:rPr>
              <w:t>Het Excelbestand bewaart de redeneerketen. De kwaliteit ontstaat door het gesprek tussen taakinhoud, techniek, governance en geraakten — met één zichtbare besluiteigenaar.</w:t>
            </w:r>
          </w:p>
        </w:tc>
      </w:tr>
    </w:tbl>
    <w:p>
      <w:pPr>
        <w:widowControl/>
        <w:spacing w:after="0"/>
      </w:pPr>
    </w:p>
    <w:p>
      <w:pPr>
        <w:widowControl/>
      </w:pPr>
      <w:r>
        <w:br w:type="page"/>
      </w:r>
    </w:p>
    <w:p>
      <w:pPr>
        <w:widowControl/>
        <w:spacing w:after="60"/>
      </w:pPr>
      <w:r>
        <w:rPr>
          <w:rFonts w:ascii="Carlito" w:hAnsi="Carlito"/>
          <w:b/>
          <w:i w:val="0"/>
          <w:color w:val="4C78A8"/>
          <w:sz w:val="17"/>
        </w:rPr>
        <w:t>VALIDATIEPROTOCOL</w:t>
      </w:r>
    </w:p>
    <w:p>
      <w:pPr>
        <w:pStyle w:val="Heading1"/>
        <w:keepNext/>
        <w:keepLines/>
        <w:widowControl/>
      </w:pPr>
      <w:r>
        <w:rPr>
          <w:rFonts w:ascii="Carlito" w:hAnsi="Carlito"/>
          <w:i w:val="0"/>
        </w:rPr>
        <w:t>Hoe PAM-AI zelf gevalideerd moet worden</w:t>
      </w:r>
    </w:p>
    <w:p>
      <w:pPr>
        <w:widowControl/>
      </w:pPr>
      <w:r>
        <w:rPr>
          <w:rFonts w:ascii="Carlito" w:hAnsi="Carlito"/>
          <w:i w:val="0"/>
        </w:rPr>
        <w:t>v1.1 is ontworpen als research-grade validatiekandidaat. De methodiek bevat sterke ontwerpprincipes en rekentests, maar claims over bruikbaarheid, betrouwbaarheid en uitkomstkwaliteit vragen empirische en onafhankelijke toetsing.</w:t>
      </w:r>
    </w:p>
    <w:tbl>
      <w:tblPr>
        <w:tblW w:type="auto" w:w="0"/>
        <w:jc w:val="center"/>
        <w:tblLayout w:type="fixed"/>
        <w:tblLook w:firstColumn="1" w:firstRow="1" w:lastColumn="0" w:lastRow="0" w:noHBand="0" w:noVBand="1" w:val="04A0"/>
      </w:tblPr>
      <w:tblGrid>
        <w:gridCol w:w="3364"/>
        <w:gridCol w:w="3364"/>
        <w:gridCol w:w="3364"/>
      </w:tblGrid>
      <w:tr>
        <w:trPr>
          <w:tblHeader w:val="true"/>
        </w:trPr>
        <w:tc>
          <w:tcPr>
            <w:tcW w:type="dxa" w:w="1757"/>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6"/>
              </w:rPr>
              <w:t>Laag</w:t>
            </w:r>
          </w:p>
        </w:tc>
        <w:tc>
          <w:tcPr>
            <w:tcW w:type="dxa" w:w="351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6"/>
              </w:rPr>
              <w:t>Vraag</w:t>
            </w:r>
          </w:p>
        </w:tc>
        <w:tc>
          <w:tcPr>
            <w:tcW w:type="dxa" w:w="436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6"/>
              </w:rPr>
              <w:t>Minimale aanpak</w:t>
            </w:r>
          </w:p>
        </w:tc>
      </w:tr>
      <w:tr>
        <w:tc>
          <w:tcPr>
            <w:tcW w:type="dxa" w:w="175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Begripsvaliditeit</w:t>
            </w:r>
          </w:p>
        </w:tc>
        <w:tc>
          <w:tcPr>
            <w:tcW w:type="dxa" w:w="351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Meten de domeinen wat besluitvormers nodig hebben?</w:t>
            </w:r>
          </w:p>
        </w:tc>
        <w:tc>
          <w:tcPr>
            <w:tcW w:type="dxa" w:w="436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Expertpanel met taak, juridisch, privacy/security, AI/data, inkoop, duurzaamheid en eindgebruikers</w:t>
            </w:r>
          </w:p>
        </w:tc>
      </w:tr>
      <w:tr>
        <w:tc>
          <w:tcPr>
            <w:tcW w:type="dxa" w:w="175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Betrouwbaarheid</w:t>
            </w:r>
          </w:p>
        </w:tc>
        <w:tc>
          <w:tcPr>
            <w:tcW w:type="dxa" w:w="351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Komen beoordelaars bij dezelfde casus tot vergelijkbare uitkomsten?</w:t>
            </w:r>
          </w:p>
        </w:tc>
        <w:tc>
          <w:tcPr>
            <w:tcW w:type="dxa" w:w="436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Minimaal twee beoordelaars; vergelijk gates, dekking, proportionaliteit en eindstatus</w:t>
            </w:r>
          </w:p>
        </w:tc>
      </w:tr>
      <w:tr>
        <w:tc>
          <w:tcPr>
            <w:tcW w:type="dxa" w:w="175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Criteriumvaliditeit</w:t>
            </w:r>
          </w:p>
        </w:tc>
        <w:tc>
          <w:tcPr>
            <w:tcW w:type="dxa" w:w="351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Hangen uitkomsten samen met prestaties, incidenten en expertjudgment?</w:t>
            </w:r>
          </w:p>
        </w:tc>
        <w:tc>
          <w:tcPr>
            <w:tcW w:type="dxa" w:w="436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Vergelijk met onafhankelijke metingen en bestaande besluiten zonder die als perfecte gouden standaard te behandelen</w:t>
            </w:r>
          </w:p>
        </w:tc>
      </w:tr>
      <w:tr>
        <w:tc>
          <w:tcPr>
            <w:tcW w:type="dxa" w:w="175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Bruikbaarheid</w:t>
            </w:r>
          </w:p>
        </w:tc>
        <w:tc>
          <w:tcPr>
            <w:tcW w:type="dxa" w:w="351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Kan elk routeniveau in echt werk worden toegepast?</w:t>
            </w:r>
          </w:p>
        </w:tc>
        <w:tc>
          <w:tcPr>
            <w:tcW w:type="dxa" w:w="436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Meet tijd, uitval, onbegrepen velden, herstelwerk en ervaren besliswaarde</w:t>
            </w:r>
          </w:p>
        </w:tc>
      </w:tr>
      <w:tr>
        <w:tc>
          <w:tcPr>
            <w:tcW w:type="dxa" w:w="1757"/>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Anti-gaming</w:t>
            </w:r>
          </w:p>
        </w:tc>
        <w:tc>
          <w:tcPr>
            <w:tcW w:type="dxa" w:w="351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Kan invoer de uitkomst kunstmatig mooier maken?</w:t>
            </w:r>
          </w:p>
        </w:tc>
        <w:tc>
          <w:tcPr>
            <w:tcW w:type="dxa" w:w="436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Challenge tests met weggelaten retries, lege lasten, configuratiewissels en optimistische grenzen</w:t>
            </w:r>
          </w:p>
        </w:tc>
      </w:tr>
      <w:tr>
        <w:tc>
          <w:tcPr>
            <w:tcW w:type="dxa" w:w="1757"/>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Externe validatie</w:t>
            </w:r>
          </w:p>
        </w:tc>
        <w:tc>
          <w:tcPr>
            <w:tcW w:type="dxa" w:w="351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Is herhaling buiten de ontwerper mogelijk?</w:t>
            </w:r>
          </w:p>
        </w:tc>
        <w:tc>
          <w:tcPr>
            <w:tcW w:type="dxa" w:w="436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Publiceer versie, casussen, wijzigingen, beperkingen en reproduceerbare rekenregels</w:t>
            </w:r>
          </w:p>
        </w:tc>
      </w:tr>
    </w:tbl>
    <w:p>
      <w:pPr>
        <w:widowControl/>
        <w:spacing w:after="0"/>
      </w:pPr>
    </w:p>
    <w:p>
      <w:pPr>
        <w:pStyle w:val="Heading2"/>
        <w:keepNext/>
        <w:keepLines/>
        <w:widowControl/>
      </w:pPr>
      <w:r>
        <w:rPr>
          <w:rFonts w:ascii="Carlito" w:hAnsi="Carlito"/>
          <w:i w:val="0"/>
        </w:rPr>
        <w:t>Minimaal pilotontwerp voor v1.2</w:t>
      </w:r>
    </w:p>
    <w:p>
      <w:pPr>
        <w:pStyle w:val="ListBullet"/>
        <w:keepNext w:val="0"/>
        <w:keepLines/>
        <w:widowControl/>
      </w:pPr>
      <w:r>
        <w:rPr>
          <w:rFonts w:ascii="Carlito" w:hAnsi="Carlito"/>
          <w:i w:val="0"/>
        </w:rPr>
        <w:t>Gebruik ten minste 6–10 realistische casussen verspreid over R1–R4.</w:t>
      </w:r>
    </w:p>
    <w:p>
      <w:pPr>
        <w:pStyle w:val="ListBullet"/>
        <w:keepNext w:val="0"/>
        <w:keepLines/>
        <w:widowControl/>
      </w:pPr>
      <w:r>
        <w:rPr>
          <w:rFonts w:ascii="Carlito" w:hAnsi="Carlito"/>
          <w:i w:val="0"/>
        </w:rPr>
        <w:t>Laat elke casus door twee onafhankelijke invullers beoordelen.</w:t>
      </w:r>
    </w:p>
    <w:p>
      <w:pPr>
        <w:pStyle w:val="ListBullet"/>
        <w:keepNext w:val="0"/>
        <w:keepLines/>
        <w:widowControl/>
      </w:pPr>
      <w:r>
        <w:rPr>
          <w:rFonts w:ascii="Carlito" w:hAnsi="Carlito"/>
          <w:i w:val="0"/>
        </w:rPr>
        <w:t>Registreer voorbereidingstijd afzonderlijk van testuitvoering en bewijsverzameling.</w:t>
      </w:r>
    </w:p>
    <w:p>
      <w:pPr>
        <w:pStyle w:val="ListBullet"/>
        <w:keepNext w:val="0"/>
        <w:keepLines/>
        <w:widowControl/>
      </w:pPr>
      <w:r>
        <w:rPr>
          <w:rFonts w:ascii="Carlito" w:hAnsi="Carlito"/>
          <w:i w:val="0"/>
        </w:rPr>
        <w:t>Noteer waar gebruikers stoppen, dubbel werk doen, definities verschillend uitleggen of schijnzekerheid ervaren.</w:t>
      </w:r>
    </w:p>
    <w:p>
      <w:pPr>
        <w:pStyle w:val="ListBullet"/>
        <w:keepNext w:val="0"/>
        <w:keepLines/>
        <w:widowControl/>
      </w:pPr>
      <w:r>
        <w:rPr>
          <w:rFonts w:ascii="Carlito" w:hAnsi="Carlito"/>
          <w:i w:val="0"/>
        </w:rPr>
        <w:t>Evalueer of routekeuze en eindstatus bestuurlijk bruikbaar én inhoudelijk verdedigbaar zijn.</w:t>
      </w:r>
    </w:p>
    <w:p>
      <w:pPr>
        <w:pStyle w:val="ListBullet"/>
        <w:keepNext w:val="0"/>
        <w:keepLines/>
        <w:widowControl/>
      </w:pPr>
      <w:r>
        <w:rPr>
          <w:rFonts w:ascii="Carlito" w:hAnsi="Carlito"/>
          <w:i w:val="0"/>
        </w:rPr>
        <w:t>Maak wijzigingen traceerbaar en laat een externe reviewer de rekentests herhalen.</w:t>
      </w: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2E8B57"/>
            <w:tcBorders>
              <w:top w:val="single" w:sz="0" w:color="2E8B57"/>
              <w:left w:val="single" w:sz="0" w:color="2E8B57"/>
              <w:bottom w:val="single" w:sz="0" w:color="2E8B57"/>
              <w:right w:val="single" w:sz="0" w:color="2E8B57"/>
              <w:insideH w:val="single" w:sz="0" w:color="2E8B57"/>
              <w:insideV w:val="single" w:sz="0" w:color="2E8B57"/>
            </w:tcBorders>
          </w:tcPr>
          <w:p/>
        </w:tc>
        <w:tc>
          <w:tcPr>
            <w:tcW w:type="dxa" w:w="9383"/>
            <w:shd w:fill="DDF4E7"/>
            <w:tcBorders>
              <w:top w:val="single" w:sz="0" w:color="DDF4E7"/>
              <w:left w:val="single" w:sz="0" w:color="DDF4E7"/>
              <w:bottom w:val="single" w:sz="0" w:color="DDF4E7"/>
              <w:right w:val="single" w:sz="0" w:color="DDF4E7"/>
              <w:insideH w:val="single" w:sz="0" w:color="DDF4E7"/>
              <w:insideV w:val="single" w:sz="0" w:color="DDF4E7"/>
            </w:tcBorders>
            <w:tcMar>
              <w:top w:w="120" w:type="dxa"/>
              <w:start w:w="160" w:type="dxa"/>
              <w:bottom w:w="120" w:type="dxa"/>
              <w:end w:w="160" w:type="dxa"/>
            </w:tcMar>
          </w:tcPr>
          <w:p>
            <w:pPr>
              <w:spacing w:after="0"/>
            </w:pPr>
            <w:r>
              <w:rPr>
                <w:rFonts w:ascii="Carlito" w:hAnsi="Carlito"/>
                <w:b/>
                <w:color w:val="102A43"/>
                <w:sz w:val="21"/>
              </w:rPr>
              <w:t>Succescriterium voor v1.1</w:t>
              <w:br/>
            </w:r>
            <w:r>
              <w:rPr>
                <w:rFonts w:ascii="Carlito" w:hAnsi="Carlito"/>
                <w:color w:val="243B53"/>
                <w:sz w:val="18"/>
              </w:rPr>
              <w:t>Sterk én bruikbaar betekent: niemand hoeft de volledige zwaarte te dragen voor een kleine verkenning, maar geen enkele route kan verboden inzet, feitelijk falen of ontbrekend besliskritiek bewijs wegpoetsen.</w:t>
            </w:r>
          </w:p>
        </w:tc>
      </w:tr>
    </w:tbl>
    <w:p>
      <w:pPr>
        <w:widowControl/>
        <w:spacing w:after="0"/>
      </w:pPr>
    </w:p>
    <w:p>
      <w:pPr>
        <w:widowControl/>
      </w:pPr>
      <w:r>
        <w:br w:type="page"/>
      </w:r>
    </w:p>
    <w:p>
      <w:pPr>
        <w:widowControl/>
        <w:spacing w:after="60"/>
      </w:pPr>
      <w:r>
        <w:rPr>
          <w:rFonts w:ascii="Carlito" w:hAnsi="Carlito"/>
          <w:b/>
          <w:i w:val="0"/>
          <w:color w:val="4C78A8"/>
          <w:sz w:val="17"/>
        </w:rPr>
        <w:t>KWALITEITSBORGING</w:t>
      </w:r>
    </w:p>
    <w:p>
      <w:pPr>
        <w:pStyle w:val="Heading1"/>
        <w:keepNext/>
        <w:keepLines/>
        <w:widowControl/>
      </w:pPr>
      <w:r>
        <w:rPr>
          <w:rFonts w:ascii="Carlito" w:hAnsi="Carlito"/>
          <w:i w:val="0"/>
        </w:rPr>
        <w:t>Anti-gaming, grenzen en onderzoeksagenda</w:t>
      </w:r>
    </w:p>
    <w:p>
      <w:pPr>
        <w:pStyle w:val="Heading2"/>
        <w:keepNext/>
        <w:keepLines/>
        <w:widowControl/>
      </w:pPr>
      <w:r>
        <w:rPr>
          <w:rFonts w:ascii="Carlito" w:hAnsi="Carlito"/>
          <w:i w:val="0"/>
        </w:rPr>
        <w:t>Challenge tests</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4195"/>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6"/>
              </w:rPr>
              <w:t>Poging tot vertekening</w:t>
            </w:r>
          </w:p>
        </w:tc>
        <w:tc>
          <w:tcPr>
            <w:tcW w:type="dxa" w:w="5443"/>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6"/>
              </w:rPr>
              <w:t>Wat PAM-AI moet doen</w:t>
            </w:r>
          </w:p>
        </w:tc>
      </w:tr>
      <w:tr>
        <w:tc>
          <w:tcPr>
            <w:tcW w:type="dxa" w:w="419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Retries als nieuwe onafhankelijke cases opvoeren</w:t>
            </w:r>
          </w:p>
        </w:tc>
        <w:tc>
          <w:tcPr>
            <w:tcW w:type="dxa" w:w="544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Rijcontrole/werkinstructie dwingt één rij per kandidaat × testcase; alle pogingen worden opgeteld.</w:t>
            </w:r>
          </w:p>
        </w:tc>
      </w:tr>
      <w:tr>
        <w:tc>
          <w:tcPr>
            <w:tcW w:type="dxa" w:w="419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Critical error alleen in finale poging beoordelen</w:t>
            </w:r>
          </w:p>
        </w:tc>
        <w:tc>
          <w:tcPr>
            <w:tcW w:type="dxa" w:w="5443"/>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Any_Critical_Error telt een critical error uit elke poging.</w:t>
            </w:r>
          </w:p>
        </w:tc>
      </w:tr>
      <w:tr>
        <w:tc>
          <w:tcPr>
            <w:tcW w:type="dxa" w:w="419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Lege kosten of mensminuten als nul behandelen</w:t>
            </w:r>
          </w:p>
        </w:tc>
        <w:tc>
          <w:tcPr>
            <w:tcW w:type="dxa" w:w="544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Compleetheidsstatus wordt INSUFFICIENT EVIDENCE wanneer de dimensie besliskritiek is.</w:t>
            </w:r>
          </w:p>
        </w:tc>
      </w:tr>
      <w:tr>
        <w:tc>
          <w:tcPr>
            <w:tcW w:type="dxa" w:w="419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Criteria na het zien van resultaten versoepelen</w:t>
            </w:r>
          </w:p>
        </w:tc>
        <w:tc>
          <w:tcPr>
            <w:tcW w:type="dxa" w:w="5443"/>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Testontwerp en drempels worden vooraf vastgelegd; afwijking hoort in het besluitrecord.</w:t>
            </w:r>
          </w:p>
        </w:tc>
      </w:tr>
      <w:tr>
        <w:tc>
          <w:tcPr>
            <w:tcW w:type="dxa" w:w="4195"/>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Een nieuwe modelversie onder oud bewijs laten vallen</w:t>
            </w:r>
          </w:p>
        </w:tc>
        <w:tc>
          <w:tcPr>
            <w:tcW w:type="dxa" w:w="5443"/>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Versie/fingerprint en herbeoordelingstriggers maken configuratiedrift zichtbaar.</w:t>
            </w:r>
          </w:p>
        </w:tc>
      </w:tr>
      <w:tr>
        <w:tc>
          <w:tcPr>
            <w:tcW w:type="dxa" w:w="4195"/>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Onvergelijkbare milieugetallen rangschikken</w:t>
            </w:r>
          </w:p>
        </w:tc>
        <w:tc>
          <w:tcPr>
            <w:tcW w:type="dxa" w:w="5443"/>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Boundary, methode en vergelijkbaarheid blokkeren een volledige milieuclaim.</w:t>
            </w:r>
          </w:p>
        </w:tc>
      </w:tr>
    </w:tbl>
    <w:p>
      <w:pPr>
        <w:widowControl/>
        <w:spacing w:after="0"/>
      </w:pPr>
    </w:p>
    <w:p>
      <w:pPr>
        <w:pStyle w:val="Heading2"/>
        <w:keepNext/>
        <w:keepLines/>
        <w:widowControl/>
      </w:pPr>
      <w:r>
        <w:rPr>
          <w:rFonts w:ascii="Carlito" w:hAnsi="Carlito"/>
          <w:i w:val="0"/>
        </w:rPr>
        <w:t>Wat PAM-AI niet vervangt</w:t>
      </w:r>
    </w:p>
    <w:p>
      <w:pPr>
        <w:pStyle w:val="ListBullet"/>
        <w:keepNext w:val="0"/>
        <w:keepLines/>
        <w:widowControl/>
      </w:pPr>
      <w:r>
        <w:rPr>
          <w:rFonts w:ascii="Carlito" w:hAnsi="Carlito"/>
          <w:i w:val="0"/>
        </w:rPr>
        <w:t>Juridische classificatie of nalevingsadvies onder de EU AI Act of andere regels.</w:t>
      </w:r>
    </w:p>
    <w:p>
      <w:pPr>
        <w:pStyle w:val="ListBullet"/>
        <w:keepNext w:val="0"/>
        <w:keepLines/>
        <w:widowControl/>
      </w:pPr>
      <w:r>
        <w:rPr>
          <w:rFonts w:ascii="Carlito" w:hAnsi="Carlito"/>
          <w:i w:val="0"/>
        </w:rPr>
        <w:t>DPIA, FRIA, informatiebeveiligings-, leveranciers- of aanbestedingsonderzoek.</w:t>
      </w:r>
    </w:p>
    <w:p>
      <w:pPr>
        <w:pStyle w:val="ListBullet"/>
        <w:keepNext w:val="0"/>
        <w:keepLines/>
        <w:widowControl/>
      </w:pPr>
      <w:r>
        <w:rPr>
          <w:rFonts w:ascii="Carlito" w:hAnsi="Carlito"/>
          <w:i w:val="0"/>
        </w:rPr>
        <w:t>Volledige governance van agentmandaten, toegangsrechten en operationele monitoring.</w:t>
      </w:r>
    </w:p>
    <w:p>
      <w:pPr>
        <w:pStyle w:val="ListBullet"/>
        <w:keepNext w:val="0"/>
        <w:keepLines/>
        <w:widowControl/>
      </w:pPr>
      <w:r>
        <w:rPr>
          <w:rFonts w:ascii="Carlito" w:hAnsi="Carlito"/>
          <w:i w:val="0"/>
        </w:rPr>
        <w:t>Professioneel inhoudelijk oordeel over onderwijs, zorg, HR, veiligheid of andere sectoren.</w:t>
      </w:r>
    </w:p>
    <w:p>
      <w:pPr>
        <w:pStyle w:val="ListBullet"/>
        <w:keepNext w:val="0"/>
        <w:keepLines/>
        <w:widowControl/>
      </w:pPr>
      <w:r>
        <w:rPr>
          <w:rFonts w:ascii="Carlito" w:hAnsi="Carlito"/>
          <w:i w:val="0"/>
        </w:rPr>
        <w:t>Ontbrekende fysieke of leveranciersdata; de tool kan onzekerheid tonen, niet wegmeten.</w:t>
      </w:r>
    </w:p>
    <w:p>
      <w:pPr>
        <w:pStyle w:val="Heading2"/>
        <w:keepNext/>
        <w:keepLines/>
        <w:widowControl/>
      </w:pPr>
      <w:r>
        <w:rPr>
          <w:rFonts w:ascii="Carlito" w:hAnsi="Carlito"/>
          <w:i w:val="0"/>
        </w:rPr>
        <w:t>Onderzoeksagenda</w:t>
      </w:r>
    </w:p>
    <w:p>
      <w:pPr>
        <w:widowControl/>
      </w:pPr>
      <w:r>
        <w:rPr>
          <w:rFonts w:ascii="Carlito" w:hAnsi="Carlito"/>
          <w:i w:val="0"/>
        </w:rPr>
        <w:t>Prioriteiten zijn: empirische routetijden; interbeoordelaarsbetrouwbaarheid; materialiteitsregels per taakklasse; gevalideerde task-capability mappings; inference-energy reporting voor gesloten modellen; water per functionele eenheid; en evaluatie van besluitkwaliteit na incidenten en drift.</w:t>
      </w:r>
    </w:p>
    <w:tbl>
      <w:tblPr>
        <w:tblW w:type="auto" w:w="0"/>
        <w:jc w:val="center"/>
        <w:tblLayout w:type="fixed"/>
        <w:tblLook w:firstColumn="1" w:firstRow="1" w:lastColumn="0" w:lastRow="0" w:noHBand="0" w:noVBand="1" w:val="04A0"/>
        <w:tblLayout w:type="fixed"/>
      </w:tblPr>
      <w:tblGrid>
        <w:gridCol w:w="255"/>
        <w:gridCol w:w="9383"/>
      </w:tblGrid>
      <w:tr>
        <w:tc>
          <w:tcPr>
            <w:tcW w:type="dxa" w:w="255"/>
            <w:shd w:fill="4C78A8"/>
            <w:tcBorders>
              <w:top w:val="single" w:sz="0" w:color="4C78A8"/>
              <w:left w:val="single" w:sz="0" w:color="4C78A8"/>
              <w:bottom w:val="single" w:sz="0" w:color="4C78A8"/>
              <w:right w:val="single" w:sz="0" w:color="4C78A8"/>
              <w:insideH w:val="single" w:sz="0" w:color="4C78A8"/>
              <w:insideV w:val="single" w:sz="0" w:color="4C78A8"/>
            </w:tcBorders>
          </w:tcPr>
          <w:p/>
        </w:tc>
        <w:tc>
          <w:tcPr>
            <w:tcW w:type="dxa" w:w="9383"/>
            <w:shd w:fill="E8F1FA"/>
            <w:tcBorders>
              <w:top w:val="single" w:sz="0" w:color="E8F1FA"/>
              <w:left w:val="single" w:sz="0" w:color="E8F1FA"/>
              <w:bottom w:val="single" w:sz="0" w:color="E8F1FA"/>
              <w:right w:val="single" w:sz="0" w:color="E8F1FA"/>
              <w:insideH w:val="single" w:sz="0" w:color="E8F1FA"/>
              <w:insideV w:val="single" w:sz="0" w:color="E8F1FA"/>
            </w:tcBorders>
            <w:tcMar>
              <w:top w:w="120" w:type="dxa"/>
              <w:start w:w="160" w:type="dxa"/>
              <w:bottom w:w="120" w:type="dxa"/>
              <w:end w:w="160" w:type="dxa"/>
            </w:tcMar>
          </w:tcPr>
          <w:p>
            <w:pPr>
              <w:spacing w:after="0"/>
            </w:pPr>
            <w:r>
              <w:rPr>
                <w:rFonts w:ascii="Carlito" w:hAnsi="Carlito"/>
                <w:b/>
                <w:color w:val="102A43"/>
                <w:sz w:val="21"/>
              </w:rPr>
              <w:t>Ambitie</w:t>
              <w:br/>
            </w:r>
            <w:r>
              <w:rPr>
                <w:rFonts w:ascii="Carlito" w:hAnsi="Carlito"/>
                <w:color w:val="243B53"/>
                <w:sz w:val="18"/>
              </w:rPr>
              <w:t>Geen perfecte universele formule, maar een beslisproces dat weigert méér zekerheid te claimen dan de evidence werkelijk draagt — zonder gewone teams te verdrinken in methodiek.</w:t>
            </w:r>
          </w:p>
        </w:tc>
      </w:tr>
    </w:tbl>
    <w:p>
      <w:pPr>
        <w:widowControl/>
        <w:spacing w:after="0"/>
      </w:pPr>
    </w:p>
    <w:p>
      <w:pPr>
        <w:widowControl/>
      </w:pPr>
      <w:r>
        <w:br w:type="page"/>
      </w:r>
    </w:p>
    <w:p>
      <w:pPr>
        <w:widowControl/>
        <w:spacing w:after="60"/>
      </w:pPr>
      <w:r>
        <w:rPr>
          <w:rFonts w:ascii="Carlito" w:hAnsi="Carlito"/>
          <w:b/>
          <w:i w:val="0"/>
          <w:color w:val="4C78A8"/>
          <w:sz w:val="17"/>
        </w:rPr>
        <w:t>VERSIE EN BRONNEN</w:t>
      </w:r>
    </w:p>
    <w:p>
      <w:pPr>
        <w:pStyle w:val="Heading1"/>
        <w:keepNext/>
        <w:keepLines/>
        <w:widowControl/>
      </w:pPr>
      <w:r>
        <w:rPr>
          <w:rFonts w:ascii="Carlito" w:hAnsi="Carlito"/>
          <w:i w:val="0"/>
        </w:rPr>
        <w:t>Wat veranderde in v1.1</w:t>
      </w:r>
    </w:p>
    <w:tbl>
      <w:tblPr>
        <w:tblW w:type="auto" w:w="0"/>
        <w:jc w:val="center"/>
        <w:tblLayout w:type="fixed"/>
        <w:tblLook w:firstColumn="1" w:firstRow="1" w:lastColumn="0" w:lastRow="0" w:noHBand="0" w:noVBand="1" w:val="04A0"/>
      </w:tblPr>
      <w:tblGrid>
        <w:gridCol w:w="5046"/>
        <w:gridCol w:w="5046"/>
      </w:tblGrid>
      <w:tr>
        <w:trPr>
          <w:tblHeader w:val="true"/>
        </w:trPr>
        <w:tc>
          <w:tcPr>
            <w:tcW w:type="dxa" w:w="4706"/>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6"/>
              </w:rPr>
              <w:t>v1.0</w:t>
            </w:r>
          </w:p>
        </w:tc>
        <w:tc>
          <w:tcPr>
            <w:tcW w:type="dxa" w:w="4932"/>
            <w:shd w:fill="102A43"/>
            <w:tcBorders>
              <w:top w:val="single" w:sz="4" w:color="FFFFFF"/>
              <w:left w:val="single" w:sz="4" w:color="FFFFFF"/>
              <w:bottom w:val="single" w:sz="4" w:color="FFFFFF"/>
              <w:right w:val="single" w:sz="4" w:color="FFFFFF"/>
              <w:insideH w:val="single" w:sz="4" w:color="FFFFFF"/>
              <w:insideV w:val="single" w:sz="4" w:color="FFFFFF"/>
            </w:tcBorders>
            <w:tcMar>
              <w:top w:w="80" w:type="dxa"/>
              <w:start w:w="90" w:type="dxa"/>
              <w:bottom w:w="80" w:type="dxa"/>
              <w:end w:w="90" w:type="dxa"/>
            </w:tcMar>
            <w:vAlign w:val="center"/>
          </w:tcPr>
          <w:p>
            <w:pPr>
              <w:spacing w:after="0"/>
            </w:pPr>
            <w:r>
              <w:rPr>
                <w:rFonts w:ascii="Carlito" w:hAnsi="Carlito"/>
                <w:b/>
                <w:color w:val="FFFFFF"/>
                <w:sz w:val="16"/>
              </w:rPr>
              <w:t>v1.1</w:t>
            </w:r>
          </w:p>
        </w:tc>
      </w:tr>
      <w:tr>
        <w:tc>
          <w:tcPr>
            <w:tcW w:type="dxa" w:w="470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17 werkbladen; volle methodiek voor elke casus</w:t>
            </w:r>
          </w:p>
        </w:tc>
        <w:tc>
          <w:tcPr>
            <w:tcW w:type="dxa" w:w="4932"/>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11 werkbladen; routegestuurde bewijslast met R1-pilotpad</w:t>
            </w:r>
          </w:p>
        </w:tc>
      </w:tr>
      <w:tr>
        <w:tc>
          <w:tcPr>
            <w:tcW w:type="dxa" w:w="470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Pogingen konden als testregels worden gelezen</w:t>
            </w:r>
          </w:p>
        </w:tc>
        <w:tc>
          <w:tcPr>
            <w:tcW w:type="dxa" w:w="4932"/>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Eén rij per kandidaat × testcase; retries en herstel geaggregeerd</w:t>
            </w:r>
          </w:p>
        </w:tc>
      </w:tr>
      <w:tr>
        <w:tc>
          <w:tcPr>
            <w:tcW w:type="dxa" w:w="470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Kleine perfecte test kon als FAIL eindigen</w:t>
            </w:r>
          </w:p>
        </w:tc>
        <w:tc>
          <w:tcPr>
            <w:tcW w:type="dxa" w:w="4932"/>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FAIL en MORE EVIDENCE zijn expliciet gescheiden</w:t>
            </w:r>
          </w:p>
        </w:tc>
      </w:tr>
      <w:tr>
        <w:tc>
          <w:tcPr>
            <w:tcW w:type="dxa" w:w="470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Minimum n als losse instelling</w:t>
            </w:r>
          </w:p>
        </w:tc>
        <w:tc>
          <w:tcPr>
            <w:tcW w:type="dxa" w:w="4932"/>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Dynamische bewijsbodem uit succes- en critical-error-drempels</w:t>
            </w:r>
          </w:p>
        </w:tc>
      </w:tr>
      <w:tr>
        <w:tc>
          <w:tcPr>
            <w:tcW w:type="dxa" w:w="470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Ontbrekende last kon in optelling op nul lijken</w:t>
            </w:r>
          </w:p>
        </w:tc>
        <w:tc>
          <w:tcPr>
            <w:tcW w:type="dxa" w:w="4932"/>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Compleetheidscontroles blokkeren besliskritiek ontbrekend bewijs</w:t>
            </w:r>
          </w:p>
        </w:tc>
      </w:tr>
      <w:tr>
        <w:tc>
          <w:tcPr>
            <w:tcW w:type="dxa" w:w="4706"/>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Context deels in toelichting</w:t>
            </w:r>
          </w:p>
        </w:tc>
        <w:tc>
          <w:tcPr>
            <w:tcW w:type="dxa" w:w="4932"/>
            <w:shd w:fill="F3F4F6"/>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Autonomie/exit, corrigeerbaarheid, inclusie en implementatielast expliciet</w:t>
            </w:r>
          </w:p>
        </w:tc>
      </w:tr>
      <w:tr>
        <w:tc>
          <w:tcPr>
            <w:tcW w:type="dxa" w:w="4706"/>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Besluitgereedheid controleerde beperkt</w:t>
            </w:r>
          </w:p>
        </w:tc>
        <w:tc>
          <w:tcPr>
            <w:tcW w:type="dxa" w:w="4932"/>
            <w:shd w:fill="FFFFFF"/>
            <w:tcBorders>
              <w:top w:val="single" w:sz="4" w:color="D9E2EC"/>
              <w:left w:val="single" w:sz="4" w:color="D9E2EC"/>
              <w:bottom w:val="single" w:sz="4" w:color="D9E2EC"/>
              <w:right w:val="single" w:sz="4" w:color="D9E2EC"/>
              <w:insideH w:val="single" w:sz="4" w:color="D9E2EC"/>
              <w:insideV w:val="single" w:sz="4" w:color="D9E2EC"/>
            </w:tcBorders>
            <w:tcMar>
              <w:top w:w="75" w:type="dxa"/>
              <w:start w:w="90" w:type="dxa"/>
              <w:bottom w:w="75" w:type="dxa"/>
              <w:end w:w="90" w:type="dxa"/>
            </w:tcMar>
            <w:vAlign w:val="top"/>
          </w:tcPr>
          <w:p>
            <w:pPr>
              <w:spacing w:after="0"/>
            </w:pPr>
            <w:r>
              <w:rPr>
                <w:rFonts w:ascii="Carlito" w:hAnsi="Carlito"/>
                <w:color w:val="243B53"/>
                <w:sz w:val="16"/>
              </w:rPr>
              <w:t>Scope, motivering, voorwaarden, eigenaar, reviewer en herbeoordeling geïntegreerd</w:t>
            </w:r>
          </w:p>
        </w:tc>
      </w:tr>
    </w:tbl>
    <w:p>
      <w:pPr>
        <w:widowControl/>
        <w:spacing w:after="0"/>
      </w:pPr>
    </w:p>
    <w:p>
      <w:pPr>
        <w:pStyle w:val="Heading2"/>
        <w:keepNext/>
        <w:keepLines/>
        <w:widowControl/>
      </w:pPr>
      <w:r>
        <w:rPr>
          <w:rFonts w:ascii="Carlito" w:hAnsi="Carlito"/>
          <w:i w:val="0"/>
        </w:rPr>
        <w:t>Methodische ankers</w:t>
      </w:r>
    </w:p>
    <w:p>
      <w:pPr>
        <w:pStyle w:val="ListBullet"/>
        <w:keepNext w:val="0"/>
        <w:keepLines/>
        <w:widowControl/>
      </w:pPr>
      <w:r>
        <w:rPr>
          <w:rFonts w:ascii="Carlito" w:hAnsi="Carlito"/>
          <w:i w:val="0"/>
          <w:sz w:val="16"/>
        </w:rPr>
        <w:t>Europese Unie (2024), Verordening (EU) 2024/1689 — Artificial Intelligence Act — eur-lex.europa.eu/eli/reg/2024/1689/oj/eng</w:t>
      </w:r>
    </w:p>
    <w:p>
      <w:pPr>
        <w:pStyle w:val="ListBullet"/>
        <w:keepNext w:val="0"/>
        <w:keepLines/>
        <w:widowControl/>
      </w:pPr>
      <w:r>
        <w:rPr>
          <w:rFonts w:ascii="Carlito" w:hAnsi="Carlito"/>
          <w:i w:val="0"/>
          <w:sz w:val="16"/>
        </w:rPr>
        <w:t>Europese Commissie, Navigating the AI Act — digital-strategy.ec.europa.eu/en/faqs/navigating-ai-act</w:t>
      </w:r>
    </w:p>
    <w:p>
      <w:pPr>
        <w:pStyle w:val="ListBullet"/>
        <w:keepNext w:val="0"/>
        <w:keepLines/>
        <w:widowControl/>
      </w:pPr>
      <w:r>
        <w:rPr>
          <w:rFonts w:ascii="Carlito" w:hAnsi="Carlito"/>
          <w:i w:val="0"/>
          <w:sz w:val="16"/>
        </w:rPr>
        <w:t>NIST (2023), Artificial Intelligence Risk Management Framework 1.0 — nist.gov/itl/ai-risk-management-framework</w:t>
      </w:r>
    </w:p>
    <w:p>
      <w:pPr>
        <w:pStyle w:val="ListBullet"/>
        <w:keepNext w:val="0"/>
        <w:keepLines/>
        <w:widowControl/>
      </w:pPr>
      <w:r>
        <w:rPr>
          <w:rFonts w:ascii="Carlito" w:hAnsi="Carlito"/>
          <w:i w:val="0"/>
          <w:sz w:val="16"/>
        </w:rPr>
        <w:t>NIST (2024; bijgewerkt 2026), Generative AI Profile, NIST AI 600-1 — doi.org/10.6028/NIST.AI.600-1</w:t>
      </w:r>
    </w:p>
    <w:p>
      <w:pPr>
        <w:pStyle w:val="ListBullet"/>
        <w:keepNext w:val="0"/>
        <w:keepLines/>
        <w:widowControl/>
      </w:pPr>
      <w:r>
        <w:rPr>
          <w:rFonts w:ascii="Carlito" w:hAnsi="Carlito"/>
          <w:i w:val="0"/>
          <w:sz w:val="16"/>
        </w:rPr>
        <w:t>ISO/IEC 25059:2023, SQuaRE — Quality model for AI systems — iso.org/standard/80655.html</w:t>
      </w:r>
    </w:p>
    <w:p>
      <w:pPr>
        <w:pStyle w:val="ListBullet"/>
        <w:keepNext w:val="0"/>
        <w:keepLines/>
        <w:widowControl/>
      </w:pPr>
      <w:r>
        <w:rPr>
          <w:rFonts w:ascii="Carlito" w:hAnsi="Carlito"/>
          <w:i w:val="0"/>
          <w:sz w:val="16"/>
        </w:rPr>
        <w:t>Green Software Foundation / ISO/IEC 21031:2024, Software Carbon Intensity — greensoftware.foundation/standards/sci/</w:t>
      </w:r>
    </w:p>
    <w:p>
      <w:pPr>
        <w:pStyle w:val="ListBullet"/>
        <w:keepNext w:val="0"/>
        <w:keepLines/>
        <w:widowControl/>
      </w:pPr>
      <w:r>
        <w:rPr>
          <w:rFonts w:ascii="Carlito" w:hAnsi="Carlito"/>
          <w:i w:val="0"/>
          <w:sz w:val="16"/>
        </w:rPr>
        <w:t>MLCommons, MLPerf Inference — Power Measurement — docs.mlcommons.org/inference/power/</w:t>
      </w:r>
    </w:p>
    <w:p>
      <w:pPr>
        <w:pStyle w:val="ListBullet"/>
        <w:keepNext w:val="0"/>
        <w:keepLines/>
        <w:widowControl/>
      </w:pPr>
      <w:r>
        <w:rPr>
          <w:rFonts w:ascii="Carlito" w:hAnsi="Carlito"/>
          <w:i w:val="0"/>
          <w:sz w:val="16"/>
        </w:rPr>
        <w:t>OECD, Measuring the environmental impacts of AI compute and applications: The AI footprint — oecd.org</w:t>
      </w:r>
    </w:p>
    <w:p>
      <w:pPr>
        <w:pStyle w:val="ListBullet"/>
        <w:keepNext w:val="0"/>
        <w:keepLines/>
        <w:widowControl/>
      </w:pPr>
      <w:r>
        <w:rPr>
          <w:rFonts w:ascii="Carlito" w:hAnsi="Carlito"/>
          <w:i w:val="0"/>
          <w:sz w:val="16"/>
        </w:rPr>
        <w:t>UNESCO (2021), Recommendation on the Ethics of Artificial Intelligence — unesco.org/en/legal-affairs/recommendation-ethics-artificial-intelligence</w:t>
      </w:r>
    </w:p>
    <w:p>
      <w:pPr>
        <w:pStyle w:val="ListBullet"/>
        <w:keepNext w:val="0"/>
        <w:keepLines/>
        <w:widowControl/>
      </w:pPr>
      <w:r>
        <w:rPr>
          <w:rFonts w:ascii="Carlito" w:hAnsi="Carlito"/>
          <w:i w:val="0"/>
          <w:sz w:val="16"/>
        </w:rPr>
        <w:t>Luccioni &amp; Gamazaychikov (2025), AI Energy Score v2 — huggingface.co/blog/sasha/ai-energy-score-v2</w:t>
      </w:r>
    </w:p>
    <w:p>
      <w:pPr>
        <w:pStyle w:val="Heading2"/>
        <w:keepNext/>
        <w:keepLines/>
        <w:widowControl/>
      </w:pPr>
      <w:r>
        <w:rPr>
          <w:rFonts w:ascii="Carlito" w:hAnsi="Carlito"/>
          <w:i w:val="0"/>
        </w:rPr>
        <w:t>Interne aansluiting en auteurschap</w:t>
      </w:r>
    </w:p>
    <w:p>
      <w:pPr>
        <w:widowControl/>
      </w:pPr>
      <w:r>
        <w:rPr>
          <w:rFonts w:ascii="Carlito" w:hAnsi="Carlito"/>
          <w:i w:val="0"/>
          <w:sz w:val="17"/>
        </w:rPr>
        <w:t>PAM-AI sluit inhoudelijk aan op de modelcatalogus- en modelkeuzelogica van het Intern Kwaliteitskader AI (IKAI) en op EVA’s bredere benadering van AI-regievermogen: doel, mandaat, toegang, menselijke toestemming, monitoring, stop- en herstelvermogen.</w:t>
      </w:r>
    </w:p>
    <w:p>
      <w:pPr>
        <w:widowControl/>
      </w:pPr>
      <w:r>
        <w:rPr>
          <w:rFonts w:ascii="Carlito" w:hAnsi="Carlito"/>
          <w:i w:val="0"/>
          <w:sz w:val="17"/>
        </w:rPr>
        <w:t>Concept en instrument: E.C.M. Willems. Citeer bij gebruik: Willems, E.C.M. (2026), PAM-AI v1.1 — Proportionele AI-modelkeuze.</w:t>
      </w:r>
    </w:p>
    <w:p>
      <w:pPr>
        <w:widowControl/>
      </w:pPr>
      <w:r>
        <w:rPr>
          <w:rFonts w:ascii="Carlito" w:hAnsi="Carlito"/>
          <w:i/>
          <w:color w:val="486581"/>
          <w:sz w:val="17"/>
        </w:rPr>
        <w:t>Versiebeheer: bewaar v1.0 en v1.1 naast elkaar; leg pilotfeedback en wijzigingen traceerbaar vast voor een volgende release.</w:t>
      </w:r>
    </w:p>
    <w:sectPr w:rsidR="00FC693F" w:rsidRPr="0006063C" w:rsidSect="00034616">
      <w:headerReference w:type="default" r:id="rId9"/>
      <w:footerReference w:type="default" r:id="rId10"/>
      <w:pgSz w:w="11906" w:h="16838"/>
      <w:pgMar w:top="822" w:right="907" w:bottom="765" w:left="907"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486581"/>
        <w:sz w:val="16"/>
      </w:rPr>
      <w:t xml:space="preserve">PAM-AI v1.1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rlito" w:hAnsi="Carlito"/>
        <w:b/>
        <w:color w:val="486581"/>
        <w:sz w:val="16"/>
      </w:rPr>
      <w:t>PAM-AI  ·  Proportionele AI-modelkeuze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Carlito" w:hAnsi="Carlito"/>
      <w:color w:val="243B5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rlito" w:hAnsi="Carlito"/>
      <w:b/>
      <w:bCs/>
      <w:color w:val="102A43"/>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b/>
      <w:bCs/>
      <w:color w:val="48658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rlito" w:hAnsi="Carlito"/>
      <w:b/>
      <w:bCs/>
      <w:color w:val="4C78A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rlito" w:hAnsi="Carlito"/>
      <w:b w:val="0"/>
      <w:i/>
      <w:iCs/>
      <w:color w:val="48658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12" w:hanging="170"/>
      <w:contextualSpacing/>
    </w:pPr>
    <w:rPr>
      <w:rFonts w:ascii="Carlito" w:hAnsi="Carlito"/>
      <w:color w:val="243B53"/>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12" w:hanging="170"/>
      <w:contextualSpacing/>
    </w:pPr>
    <w:rPr>
      <w:rFonts w:ascii="Carlito" w:hAnsi="Carlito"/>
      <w:color w:val="243B53"/>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PAM-AI v1.1 — Methodiek, praktijkhandleiding en validatieprotocol</dc:title>
  <dc:subject>Proportionele AI-modelkeuze</dc:subject>
  <dc:creator>E.C.M. Willems</dc:creator>
  <cp:keywords>AI governance, proportionaliteit, modelkeuze, evidence, validatie</cp:keywords>
  <dc:description>Research-grade validatiekandidaat</dc:description>
  <cp:lastModifiedBy/>
  <cp:revision>1</cp:revision>
  <dcterms:created xsi:type="dcterms:W3CDTF">2013-12-23T23:15:00Z</dcterms:created>
  <dcterms:modified xsi:type="dcterms:W3CDTF">2013-12-23T23:15:00Z</dcterms:modified>
  <cp:category/>
</cp:coreProperties>
</file>