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jc w:val="center"/>
        <w:rPr>
          <w:rFonts w:hint="default" w:eastAsia="黑体"/>
          <w:lang w:val="en-US" w:eastAsia="zh-CN"/>
        </w:rPr>
      </w:pPr>
      <w:r>
        <w:rPr>
          <w:rFonts w:hint="eastAsia"/>
          <w:lang w:val="en-US" w:eastAsia="zh-CN"/>
        </w:rPr>
        <w:t>基于知识蒸馏和决策树的黑盒模型解释方法</w:t>
      </w:r>
    </w:p>
    <w:p>
      <w:pPr>
        <w:numPr>
          <w:ilvl w:val="0"/>
          <w:numId w:val="2"/>
        </w:numPr>
        <w:rPr>
          <w:rFonts w:hint="default"/>
          <w:lang w:val="en-US" w:eastAsia="zh-CN"/>
        </w:rPr>
      </w:pPr>
      <w:r>
        <w:t>Wang,</w:t>
      </w:r>
      <w:r>
        <w:rPr>
          <w:rFonts w:hint="default"/>
        </w:rPr>
        <w:t xml:space="preserve"> J., Gou, L., Zhang, W., Yang, H., Shen, H.: Deep-vid: Deep visual interpretation and diagnosis for image classifiers via knowledge distillation. IEEE Trans. Vis. Comput. Graph.25(6), 2168–2180 (2019).</w:t>
      </w:r>
    </w:p>
    <w:p>
      <w:pPr>
        <w:numPr>
          <w:ilvl w:val="0"/>
          <w:numId w:val="2"/>
        </w:numPr>
        <w:rPr>
          <w:rFonts w:hint="default"/>
        </w:rPr>
      </w:pPr>
      <w:r>
        <w:rPr>
          <w:rFonts w:hint="default"/>
        </w:rPr>
        <w:t xml:space="preserve">Lakkaraju, H., Kamar, E., Caruana, R., Leskovec, J.: Faithful and customizable explanations of black box models. In: Conitzer, V., Hadfield,G.K., Vallor, S. (eds.) Proceedings </w:t>
      </w:r>
      <w:bookmarkStart w:id="0" w:name="_GoBack"/>
      <w:bookmarkEnd w:id="0"/>
      <w:r>
        <w:rPr>
          <w:rFonts w:hint="default"/>
        </w:rPr>
        <w:t>of the 2019 AAAI/ACM Conferenceon AI, Ethics, and Society, 131–138. ACM (2019).</w:t>
      </w:r>
    </w:p>
    <w:p>
      <w:pPr>
        <w:pStyle w:val="3"/>
        <w:jc w:val="center"/>
        <w:rPr>
          <w:rFonts w:hint="default"/>
        </w:rPr>
      </w:pPr>
      <w:r>
        <w:rPr>
          <w:rFonts w:hint="default"/>
        </w:rPr>
        <w:t>Deep-vid: Deep visual interpretation and diagnosis for image classifiers via knowledge distillation.</w:t>
      </w:r>
    </w:p>
    <w:p>
      <w:pPr>
        <w:pStyle w:val="3"/>
        <w:jc w:val="center"/>
      </w:pPr>
      <w:r>
        <w:rPr>
          <w:rFonts w:hint="eastAsia"/>
        </w:rPr>
        <w:t xml:space="preserve"> (</w:t>
      </w:r>
      <w:r>
        <w:rPr>
          <w:rFonts w:ascii="Arial" w:hAnsi="Arial"/>
        </w:rPr>
        <w:t>Ohio State University</w:t>
      </w:r>
      <w:r>
        <w:rPr>
          <w:rFonts w:hint="eastAsia"/>
        </w:rPr>
        <w:t>)</w:t>
      </w:r>
    </w:p>
    <w:p>
      <w:pPr>
        <w:pStyle w:val="2"/>
      </w:pPr>
      <w:r>
        <w:rPr>
          <w:rFonts w:hint="eastAsia"/>
        </w:rPr>
        <w:t>Importance of the application</w:t>
      </w:r>
    </w:p>
    <w:p>
      <w:pPr>
        <w:numPr>
          <w:ilvl w:val="0"/>
          <w:numId w:val="3"/>
        </w:numPr>
      </w:pPr>
      <w:r>
        <w:rPr>
          <w:rFonts w:hint="eastAsia"/>
        </w:rPr>
        <w:t>随着深度学习开始得到更广泛的应用，我们开始关注的不仅仅是模型预测的准确率和速度，更应该去理解为什么它会做出特定的预测。</w:t>
      </w:r>
      <w:r>
        <w:rPr>
          <w:rFonts w:hint="eastAsia"/>
          <w:lang w:val="en-US" w:eastAsia="zh-CN"/>
        </w:rPr>
        <w:t>现有的分类器大多是较复杂的深度学习模型，通常将其作为黑盒模型来看待。之前的方法，通常将黑盒模型打开，通过梯度，层相关性反向传播以及类激活图，这些技术仅限于网络结构已知的情况，而在现实世界的应用中经常不知道具体的网络结构。因此，针对黑盒模型的解释尤为重要，通过这些理解能更好的对模型的参数进行调优以达到优异的性能，也为模型的设计拓宽思路。</w:t>
      </w:r>
    </w:p>
    <w:p>
      <w:pPr>
        <w:ind w:left="420"/>
      </w:pPr>
    </w:p>
    <w:p>
      <w:pPr>
        <w:pStyle w:val="2"/>
      </w:pPr>
      <w:r>
        <w:rPr>
          <w:rFonts w:hint="eastAsia"/>
        </w:rPr>
        <w:t>Problems cannot be solved with existing methods</w:t>
      </w:r>
    </w:p>
    <w:p>
      <w:pPr>
        <w:numPr>
          <w:ilvl w:val="0"/>
          <w:numId w:val="4"/>
        </w:numPr>
      </w:pPr>
      <w:r>
        <w:rPr>
          <w:rFonts w:hint="eastAsia"/>
          <w:lang w:val="en-US" w:eastAsia="zh-CN"/>
        </w:rPr>
        <w:t>大部分解释模型不适用于黑盒模型。</w:t>
      </w:r>
    </w:p>
    <w:p>
      <w:pPr>
        <w:numPr>
          <w:ilvl w:val="0"/>
          <w:numId w:val="4"/>
        </w:numPr>
        <w:rPr>
          <w:rFonts w:hint="eastAsia"/>
          <w:lang w:val="en-US" w:eastAsia="zh-CN"/>
        </w:rPr>
      </w:pPr>
      <w:r>
        <w:rPr>
          <w:rFonts w:hint="eastAsia"/>
          <w:lang w:val="en-US" w:eastAsia="zh-CN"/>
        </w:rPr>
        <w:t xml:space="preserve">黑盒模型的解释方法，使用输入维扰动的方式为解释模型生成局部邻域数据。首先，在输入空间中对数据实例进行扰动是低效的，由于输入通常是高维的，并且扰动维的组合是巨大的。其次，通过直接扰动数据实例生成的邻居输入空间可能没有语义意义，导致在训练小模型时存在潜在的语义偏差。 </w:t>
      </w:r>
    </w:p>
    <w:p>
      <w:pPr>
        <w:numPr>
          <w:ilvl w:val="0"/>
          <w:numId w:val="4"/>
        </w:numPr>
      </w:pPr>
      <w:r>
        <w:rPr>
          <w:rFonts w:hint="eastAsia"/>
          <w:lang w:val="en-US" w:eastAsia="zh-CN"/>
        </w:rPr>
        <w:t>现有的解释方法没有配套的可视化系统，来让用户了解解释模型的训练过程。</w:t>
      </w:r>
    </w:p>
    <w:p>
      <w:pPr>
        <w:tabs>
          <w:tab w:val="left" w:pos="420"/>
        </w:tabs>
        <w:ind w:left="420"/>
      </w:pPr>
    </w:p>
    <w:p>
      <w:pPr>
        <w:pStyle w:val="2"/>
      </w:pPr>
      <w:r>
        <w:rPr>
          <w:rFonts w:hint="eastAsia"/>
        </w:rPr>
        <w:t>Formal definition of the problem</w:t>
      </w:r>
    </w:p>
    <w:p>
      <w:pPr>
        <w:ind w:firstLine="420"/>
        <w:rPr>
          <w:rFonts w:hint="eastAsia"/>
        </w:rPr>
      </w:pPr>
      <w:r>
        <w:rPr>
          <w:rFonts w:hint="eastAsia"/>
        </w:rPr>
        <w:t>一个分类问题，输入空间为</w:t>
      </w:r>
      <m:oMath>
        <m:r>
          <m:rPr>
            <m:sty m:val="p"/>
            <m:scr m:val="script"/>
          </m:rPr>
          <w:rPr>
            <w:rFonts w:ascii="Cambria Math" w:hAnsi="Cambria Math"/>
          </w:rPr>
          <m:t>X</m:t>
        </m:r>
      </m:oMath>
      <w:r>
        <w:rPr>
          <w:rFonts w:hint="eastAsia"/>
        </w:rPr>
        <w:t>（即图片），其对应的输出空间</w:t>
      </w:r>
      <m:oMath>
        <m:r>
          <m:rPr>
            <m:sty m:val="p"/>
            <m:scr m:val="script"/>
          </m:rPr>
          <w:rPr>
            <w:rFonts w:ascii="Cambria Math" w:hAnsi="Cambria Math"/>
          </w:rPr>
          <m:t xml:space="preserve"> Y</m:t>
        </m:r>
      </m:oMath>
      <w:r>
        <w:rPr>
          <w:rFonts w:hint="eastAsia"/>
        </w:rPr>
        <w:t>（即标签），给定训练集</w:t>
      </w:r>
      <m:oMath>
        <m:sSub>
          <m:sSubPr>
            <m:ctrlPr>
              <w:rPr>
                <w:rFonts w:ascii="Cambria Math" w:hAnsi="Cambria Math"/>
              </w:rPr>
            </m:ctrlPr>
          </m:sSubPr>
          <m:e>
            <m:r>
              <m:rPr/>
              <w:rPr>
                <w:rFonts w:hint="eastAsia" w:ascii="Cambria Math" w:hAnsi="Cambria Math"/>
              </w:rPr>
              <m:t>x</m:t>
            </m:r>
            <m:ctrlPr>
              <w:rPr>
                <w:rFonts w:ascii="Cambria Math" w:hAnsi="Cambria Math"/>
              </w:rPr>
            </m:ctrlPr>
          </m:e>
          <m:sub>
            <m:r>
              <m:rPr/>
              <w:rPr>
                <w:rFonts w:ascii="Cambria Math" w:hAnsi="Cambria Math"/>
              </w:rPr>
              <m:t>1</m:t>
            </m:r>
            <m:ctrlPr>
              <w:rPr>
                <w:rFonts w:ascii="Cambria Math" w:hAnsi="Cambria Math"/>
              </w:rPr>
            </m:ctrlPr>
          </m:sub>
        </m:sSub>
        <m:r>
          <m:rPr/>
          <w:rPr>
            <w:rFonts w:ascii="Cambria Math" w:hAnsi="Cambria Math"/>
          </w:rPr>
          <m:t xml:space="preserve">, </m:t>
        </m:r>
        <m:sSub>
          <m:sSubPr>
            <m:ctrlPr>
              <w:rPr>
                <w:rFonts w:ascii="Cambria Math" w:hAnsi="Cambria Math"/>
              </w:rPr>
            </m:ctrlPr>
          </m:sSubPr>
          <m:e>
            <m:r>
              <m:rPr/>
              <w:rPr>
                <w:rFonts w:hint="eastAsia" w:ascii="Cambria Math" w:hAnsi="Cambria Math"/>
              </w:rPr>
              <m:t>x</m:t>
            </m:r>
            <m:ctrlPr>
              <w:rPr>
                <w:rFonts w:ascii="Cambria Math" w:hAnsi="Cambria Math"/>
              </w:rPr>
            </m:ctrlPr>
          </m:e>
          <m:sub>
            <m:r>
              <m:rPr/>
              <w:rPr>
                <w:rFonts w:ascii="Cambria Math" w:hAnsi="Cambria Math"/>
              </w:rPr>
              <m:t>2</m:t>
            </m:r>
            <m:ctrlPr>
              <w:rPr>
                <w:rFonts w:ascii="Cambria Math" w:hAnsi="Cambria Math"/>
              </w:rPr>
            </m:ctrlPr>
          </m:sub>
        </m:sSub>
        <m:r>
          <m:rP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m:rPr/>
              <w:rPr>
                <w:rFonts w:hint="eastAsia" w:ascii="Cambria Math" w:hAnsi="Cambria Math"/>
              </w:rPr>
              <m:t>x</m:t>
            </m:r>
            <m:ctrlPr>
              <w:rPr>
                <w:rFonts w:ascii="Cambria Math" w:hAnsi="Cambria Math"/>
              </w:rPr>
            </m:ctrlPr>
          </m:e>
          <m:sub>
            <m:r>
              <m:rPr/>
              <w:rPr>
                <w:rFonts w:ascii="Cambria Math" w:hAnsi="Cambria Math"/>
              </w:rPr>
              <m:t>n</m:t>
            </m:r>
            <m:ctrlPr>
              <w:rPr>
                <w:rFonts w:ascii="Cambria Math" w:hAnsi="Cambria Math"/>
              </w:rPr>
            </m:ctrlPr>
          </m:sub>
        </m:sSub>
      </m:oMath>
      <w:r>
        <w:rPr>
          <w:rFonts w:hint="eastAsia"/>
        </w:rPr>
        <w:t>及相应的标签</w:t>
      </w:r>
      <m:oMath>
        <m:sSub>
          <m:sSubPr>
            <m:ctrlPr>
              <w:rPr>
                <w:rFonts w:ascii="Cambria Math" w:hAnsi="Cambria Math"/>
              </w:rPr>
            </m:ctrlPr>
          </m:sSubPr>
          <m:e>
            <m:r>
              <m:rPr/>
              <w:rPr>
                <w:rFonts w:hint="eastAsia" w:ascii="Cambria Math" w:hAnsi="Cambria Math"/>
              </w:rPr>
              <m:t>y</m:t>
            </m:r>
            <m:ctrlPr>
              <w:rPr>
                <w:rFonts w:ascii="Cambria Math" w:hAnsi="Cambria Math"/>
              </w:rPr>
            </m:ctrlPr>
          </m:e>
          <m:sub>
            <m:r>
              <m:rPr/>
              <w:rPr>
                <w:rFonts w:ascii="Cambria Math" w:hAnsi="Cambria Math"/>
              </w:rPr>
              <m:t>1</m:t>
            </m:r>
            <m:ctrlPr>
              <w:rPr>
                <w:rFonts w:ascii="Cambria Math" w:hAnsi="Cambria Math"/>
              </w:rPr>
            </m:ctrlPr>
          </m:sub>
        </m:sSub>
        <m:r>
          <m:rPr/>
          <w:rPr>
            <w:rFonts w:ascii="Cambria Math" w:hAnsi="Cambria Math"/>
          </w:rPr>
          <m:t xml:space="preserve">, </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2</m:t>
            </m:r>
            <m:ctrlPr>
              <w:rPr>
                <w:rFonts w:ascii="Cambria Math" w:hAnsi="Cambria Math"/>
              </w:rPr>
            </m:ctrlPr>
          </m:sub>
        </m:sSub>
        <m:r>
          <m:rP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n</m:t>
            </m:r>
            <m:ctrlPr>
              <w:rPr>
                <w:rFonts w:ascii="Cambria Math" w:hAnsi="Cambria Math"/>
              </w:rPr>
            </m:ctrlPr>
          </m:sub>
        </m:sSub>
      </m:oMath>
      <w:r>
        <w:rPr>
          <w:rFonts w:hint="eastAsia"/>
        </w:rPr>
        <w:t>。采用一个神经网络作为预测模型：</w:t>
      </w:r>
      <m:oMath>
        <m:r>
          <m:rPr>
            <m:sty m:val="p"/>
          </m:rPr>
          <w:rPr>
            <w:rFonts w:hint="default" w:ascii="Cambria Math" w:hAnsi="Cambria Math"/>
            <w:lang w:val="en-US" w:eastAsia="zh-CN"/>
          </w:rPr>
          <m:t>y=f(x)</m:t>
        </m:r>
      </m:oMath>
      <w:r>
        <m:rPr/>
        <w:rPr>
          <w:rFonts w:hint="eastAsia" w:hAnsi="Cambria Math"/>
          <w:i w:val="0"/>
          <w:lang w:val="en-US" w:eastAsia="zh-CN"/>
        </w:rPr>
        <w:t>。训练目标是训练</w:t>
      </w:r>
      <m:oMath>
        <m:r>
          <m:rPr>
            <m:sty m:val="p"/>
          </m:rPr>
          <w:rPr>
            <w:rFonts w:hint="default" w:ascii="Cambria Math" w:hAnsi="Cambria Math"/>
            <w:lang w:val="en-US" w:eastAsia="zh-CN"/>
          </w:rPr>
          <m:t>y=f</m:t>
        </m:r>
        <m:r>
          <m:rPr>
            <m:sty m:val="p"/>
          </m:rPr>
          <w:rPr>
            <w:rFonts w:hint="eastAsia" w:ascii="Cambria Math" w:hAnsi="Cambria Math"/>
            <w:lang w:val="en-US" w:eastAsia="zh-CN"/>
          </w:rPr>
          <m:t>’</m:t>
        </m:r>
        <m:r>
          <m:rPr>
            <m:sty m:val="p"/>
          </m:rPr>
          <w:rPr>
            <w:rFonts w:hint="default" w:ascii="Cambria Math" w:hAnsi="Cambria Math"/>
            <w:lang w:val="en-US" w:eastAsia="zh-CN"/>
          </w:rPr>
          <m:t>(x)</m:t>
        </m:r>
      </m:oMath>
      <w:r>
        <m:rPr/>
        <w:rPr>
          <w:rFonts w:hint="eastAsia" w:hAnsi="Cambria Math"/>
          <w:b w:val="0"/>
          <w:i w:val="0"/>
          <w:lang w:val="en-US" w:eastAsia="zh-CN"/>
        </w:rPr>
        <w:t>，利用知识蒸馏的方式，使得相同的输入情况下，f</w:t>
      </w:r>
      <w:r>
        <m:rPr/>
        <w:rPr>
          <w:rFonts w:hint="default" w:hAnsi="Cambria Math"/>
          <w:b w:val="0"/>
          <w:i w:val="0"/>
          <w:lang w:val="en-US" w:eastAsia="zh-CN"/>
        </w:rPr>
        <w:t>’</w:t>
      </w:r>
      <w:r>
        <m:rPr/>
        <w:rPr>
          <w:rFonts w:hint="eastAsia" w:hAnsi="Cambria Math"/>
          <w:b w:val="0"/>
          <w:i w:val="0"/>
          <w:lang w:val="en-US" w:eastAsia="zh-CN"/>
        </w:rPr>
        <w:t>(x)的预测和原始黑盒模型预测尽可能相似。而f</w:t>
      </w:r>
      <w:r>
        <m:rPr/>
        <w:rPr>
          <w:rFonts w:hint="default" w:hAnsi="Cambria Math"/>
          <w:b w:val="0"/>
          <w:i w:val="0"/>
          <w:lang w:val="en-US" w:eastAsia="zh-CN"/>
        </w:rPr>
        <w:t>’</w:t>
      </w:r>
      <w:r>
        <m:rPr/>
        <w:rPr>
          <w:rFonts w:hint="eastAsia" w:hAnsi="Cambria Math"/>
          <w:b w:val="0"/>
          <w:i w:val="0"/>
          <w:lang w:val="en-US" w:eastAsia="zh-CN"/>
        </w:rPr>
        <w:t>(x)是易于理解的简单线性模型。 训练高效的特征抽取器VAE，便于在高维空间对数据进行扰动，并能通过VAE中decoder给用户提供可视化的生成结果。</w:t>
      </w:r>
      <w:r>
        <m:rPr/>
        <w:rPr>
          <w:rFonts w:hint="eastAsia" w:hAnsi="Cambria Math"/>
          <w:b w:val="0"/>
          <w:i w:val="0"/>
          <w:lang w:val="en-US" w:eastAsia="zh-CN"/>
        </w:rPr>
        <w:br w:type="textWrapping"/>
      </w:r>
      <w:r>
        <m:rPr/>
        <w:rPr>
          <w:rFonts w:hint="eastAsia" w:hAnsi="Cambria Math"/>
          <w:b w:val="0"/>
          <w:i w:val="0"/>
          <w:lang w:val="en-US" w:eastAsia="zh-CN"/>
        </w:rPr>
        <w:tab/>
      </w:r>
    </w:p>
    <w:p>
      <w:pPr>
        <w:pStyle w:val="2"/>
        <w:rPr>
          <w:b w:val="0"/>
          <w:bCs w:val="0"/>
        </w:rPr>
      </w:pPr>
      <w:r>
        <w:rPr>
          <w:rFonts w:hint="eastAsia"/>
        </w:rPr>
        <w:t xml:space="preserve">What are the technical </w:t>
      </w:r>
      <w:r>
        <w:t>challenges</w:t>
      </w:r>
      <w:r>
        <w:rPr>
          <w:rFonts w:hint="eastAsia"/>
        </w:rPr>
        <w:t xml:space="preserve"> with this approach?</w:t>
      </w:r>
    </w:p>
    <w:p>
      <w:pPr>
        <w:numPr>
          <w:ilvl w:val="0"/>
          <w:numId w:val="5"/>
        </w:numPr>
      </w:pPr>
      <w:r>
        <w:rPr>
          <w:rFonts w:hint="eastAsia"/>
          <w:lang w:val="en-US" w:eastAsia="zh-CN"/>
        </w:rPr>
        <w:t>如何训练得到易解释的线性模型？</w:t>
      </w:r>
    </w:p>
    <w:p>
      <w:pPr>
        <w:numPr>
          <w:ilvl w:val="0"/>
          <w:numId w:val="5"/>
        </w:numPr>
      </w:pPr>
      <w:r>
        <w:rPr>
          <w:rFonts w:hint="eastAsia"/>
        </w:rPr>
        <w:t>如何</w:t>
      </w:r>
      <w:r>
        <w:rPr>
          <w:rFonts w:hint="eastAsia"/>
          <w:lang w:val="en-US" w:eastAsia="zh-CN"/>
        </w:rPr>
        <w:t>生成高维扰动的邻域数据</w:t>
      </w:r>
      <w:r>
        <w:rPr>
          <w:rFonts w:hint="eastAsia"/>
        </w:rPr>
        <w:t>？</w:t>
      </w:r>
    </w:p>
    <w:p>
      <w:pPr>
        <w:numPr>
          <w:ilvl w:val="0"/>
          <w:numId w:val="5"/>
        </w:numPr>
      </w:pPr>
      <w:r>
        <w:rPr>
          <w:rFonts w:hint="eastAsia"/>
          <w:lang w:val="en-US" w:eastAsia="zh-CN"/>
        </w:rPr>
        <w:t>如何让用户了解解释模型的训练过程？</w:t>
      </w:r>
    </w:p>
    <w:p/>
    <w:p>
      <w:pPr>
        <w:pStyle w:val="2"/>
      </w:pPr>
      <w:r>
        <w:rPr>
          <w:rFonts w:hint="eastAsia"/>
        </w:rPr>
        <w:t xml:space="preserve">Proposed </w:t>
      </w:r>
      <w:r>
        <w:t>M</w:t>
      </w:r>
      <w:r>
        <w:rPr>
          <w:rFonts w:hint="eastAsia"/>
        </w:rPr>
        <w:t>ethods for these challenges</w:t>
      </w:r>
    </w:p>
    <w:p>
      <w:pPr>
        <w:numPr>
          <w:ilvl w:val="0"/>
          <w:numId w:val="5"/>
        </w:numPr>
        <w:rPr>
          <w:rFonts w:hint="eastAsia"/>
        </w:rPr>
      </w:pPr>
      <w:r>
        <w:rPr>
          <w:rFonts w:hint="eastAsia"/>
          <w:lang w:val="en-US" w:eastAsia="zh-CN"/>
        </w:rPr>
        <w:t>使用知识蒸馏的方式，使得线性模型抽取到黑盒模型的知识</w:t>
      </w:r>
    </w:p>
    <w:p>
      <w:pPr>
        <w:numPr>
          <w:ilvl w:val="0"/>
          <w:numId w:val="5"/>
        </w:numPr>
        <w:rPr>
          <w:rFonts w:hint="eastAsia"/>
        </w:rPr>
      </w:pPr>
      <w:r>
        <w:rPr>
          <w:rFonts w:hint="eastAsia"/>
          <w:lang w:val="en-US" w:eastAsia="zh-CN"/>
        </w:rPr>
        <w:t>预训练抽取高维特征的VAE，得到感兴趣数据样本点的高维特征。并通过均匀采样的方式，计算得到领域的样本点，以用于训练线性模型。通过展示线性模型的权值，可以得到，黑盒模型关注图片的关注点。</w:t>
      </w:r>
    </w:p>
    <w:p>
      <w:pPr>
        <w:numPr>
          <w:ilvl w:val="0"/>
          <w:numId w:val="5"/>
        </w:numPr>
        <w:rPr>
          <w:rFonts w:hint="eastAsia"/>
        </w:rPr>
      </w:pPr>
      <w:r>
        <w:rPr>
          <w:rFonts w:hint="eastAsia"/>
          <w:lang w:val="en-US" w:eastAsia="zh-CN"/>
        </w:rPr>
        <w:t>设计可视化系统，分析需求，主要从三个方面：对待解释模型的行为的可视化的理解， 灵活挖掘生成的邻居，用户能够通过系统交互式地训练和解释学生模型。针对三个需求分别为系统设计了三个模块。</w:t>
      </w:r>
    </w:p>
    <w:p/>
    <w:p>
      <w:pPr>
        <w:jc w:val="center"/>
      </w:pPr>
      <w:r>
        <w:drawing>
          <wp:inline distT="0" distB="0" distL="114300" distR="114300">
            <wp:extent cx="3286125" cy="3674110"/>
            <wp:effectExtent l="0" t="0" r="9525" b="25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
                    <a:stretch>
                      <a:fillRect/>
                    </a:stretch>
                  </pic:blipFill>
                  <pic:spPr>
                    <a:xfrm>
                      <a:off x="0" y="0"/>
                      <a:ext cx="3286125" cy="3674110"/>
                    </a:xfrm>
                    <a:prstGeom prst="rect">
                      <a:avLst/>
                    </a:prstGeom>
                  </pic:spPr>
                </pic:pic>
              </a:graphicData>
            </a:graphic>
          </wp:inline>
        </w:drawing>
      </w:r>
    </w:p>
    <w:p>
      <w:pPr>
        <w:jc w:val="center"/>
        <w:rPr>
          <w:rFonts w:hint="default" w:eastAsia="宋体"/>
          <w:lang w:val="en-US" w:eastAsia="zh-CN"/>
        </w:rPr>
      </w:pPr>
      <w:r>
        <w:rPr>
          <w:rFonts w:hint="eastAsia"/>
          <w:lang w:val="en-US" w:eastAsia="zh-CN"/>
        </w:rPr>
        <w:t>图1 deepvid 算法流程图</w:t>
      </w:r>
    </w:p>
    <w:p>
      <w:pPr>
        <w:ind w:firstLine="420" w:firstLineChars="0"/>
        <w:jc w:val="left"/>
        <w:rPr>
          <w:rFonts w:hint="eastAsia"/>
          <w:lang w:val="en-US" w:eastAsia="zh-CN"/>
        </w:rPr>
      </w:pPr>
      <w:r>
        <w:rPr>
          <w:rFonts w:hint="eastAsia"/>
          <w:lang w:val="en-US" w:eastAsia="zh-CN"/>
        </w:rPr>
        <w:t>本文提出了新的模型解释框架，deepvid，并实现了系统，以帮助用户更好的理解解释模型的训练过程。首先利用数据集预训练VAE模型对应，上述算法图中第1步。根据感兴趣的样本点X，在2-12步中，通过扰动的方式，生成该样本点附近的邻域节点的数据。第13步，训练易理解的线性模型以得到黑盒模型的行为。第14步，以可视化系统的方式，展示权值，得到黑盒模型对于图像的关注点。</w:t>
      </w:r>
    </w:p>
    <w:p>
      <w:pPr>
        <w:ind w:firstLine="420" w:firstLineChars="0"/>
        <w:jc w:val="left"/>
        <w:rPr>
          <w:rFonts w:hint="eastAsia"/>
          <w:lang w:val="en-US" w:eastAsia="zh-CN"/>
        </w:rPr>
      </w:pPr>
      <w:r>
        <w:rPr>
          <w:rFonts w:hint="eastAsia"/>
          <w:lang w:val="en-US" w:eastAsia="zh-CN"/>
        </w:rPr>
        <w:t>本文花了大量笔墨在系统的设计与实现上，通过与专家的交流与分析，将系统主要设计为3个层面：</w:t>
      </w:r>
    </w:p>
    <w:p>
      <w:pPr>
        <w:ind w:firstLine="420" w:firstLineChars="0"/>
        <w:jc w:val="left"/>
        <w:rPr>
          <w:rFonts w:hint="eastAsia"/>
          <w:lang w:val="en-US" w:eastAsia="zh-CN"/>
        </w:rPr>
      </w:pPr>
      <w:r>
        <w:rPr>
          <w:rFonts w:hint="eastAsia"/>
          <w:lang w:val="en-US" w:eastAsia="zh-CN"/>
        </w:rPr>
        <w:t>（1）对待解释模型的行为的可视化的理解（TeacherView）如图2所示，具体来说，需要系统能够:可视化测试数据的特征空间进行展示，展示待解释模型对测试数据的整体表现，以及指定数据的概率。</w:t>
      </w:r>
    </w:p>
    <w:p>
      <w:pPr>
        <w:ind w:firstLine="420" w:firstLineChars="0"/>
        <w:jc w:val="center"/>
        <w:rPr>
          <w:rFonts w:hint="eastAsia"/>
          <w:lang w:val="en-US" w:eastAsia="zh-CN"/>
        </w:rPr>
      </w:pPr>
      <w:r>
        <w:drawing>
          <wp:inline distT="0" distB="0" distL="114300" distR="114300">
            <wp:extent cx="4307205" cy="1636395"/>
            <wp:effectExtent l="0" t="0" r="17145" b="19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
                    <a:stretch>
                      <a:fillRect/>
                    </a:stretch>
                  </pic:blipFill>
                  <pic:spPr>
                    <a:xfrm>
                      <a:off x="0" y="0"/>
                      <a:ext cx="4307205" cy="1636395"/>
                    </a:xfrm>
                    <a:prstGeom prst="rect">
                      <a:avLst/>
                    </a:prstGeom>
                  </pic:spPr>
                </pic:pic>
              </a:graphicData>
            </a:graphic>
          </wp:inline>
        </w:drawing>
      </w:r>
    </w:p>
    <w:p>
      <w:pPr>
        <w:ind w:firstLine="420" w:firstLineChars="0"/>
        <w:jc w:val="center"/>
        <w:rPr>
          <w:rFonts w:hint="default"/>
          <w:lang w:val="en-US" w:eastAsia="zh-CN"/>
        </w:rPr>
      </w:pPr>
      <w:r>
        <w:rPr>
          <w:rFonts w:hint="eastAsia"/>
          <w:lang w:val="en-US" w:eastAsia="zh-CN"/>
        </w:rPr>
        <w:t>图2 Teacher View</w:t>
      </w:r>
    </w:p>
    <w:p>
      <w:pPr>
        <w:numPr>
          <w:ilvl w:val="0"/>
          <w:numId w:val="6"/>
        </w:numPr>
        <w:ind w:firstLine="420" w:firstLineChars="0"/>
        <w:jc w:val="left"/>
        <w:rPr>
          <w:rFonts w:hint="eastAsia"/>
          <w:lang w:val="en-US" w:eastAsia="zh-CN"/>
        </w:rPr>
      </w:pPr>
      <w:r>
        <w:rPr>
          <w:rFonts w:hint="eastAsia"/>
          <w:lang w:val="en-US" w:eastAsia="zh-CN"/>
        </w:rPr>
        <w:t>灵活挖掘生成的邻居，用户能够通过系统交互式地训练和解释学生模型（VAE View）如图3所示。具体来说，理解VAE中编码的语义，例如，对于MNIST手写数字，一些编码粗体，另一些来编码数字的斜体。系统能够交互式调整生成的邻居，使生成的邻居足够接近感兴趣的实例。在两个跨类边界的感兴趣的实例之间生成训练样本，例如，生成从用户感兴趣的数字4平滑变形为数字9的样本。</w:t>
      </w:r>
    </w:p>
    <w:p>
      <w:pPr>
        <w:numPr>
          <w:numId w:val="0"/>
        </w:numPr>
        <w:jc w:val="center"/>
      </w:pPr>
      <w:r>
        <w:drawing>
          <wp:inline distT="0" distB="0" distL="114300" distR="114300">
            <wp:extent cx="3914140" cy="1532890"/>
            <wp:effectExtent l="0" t="0" r="10160" b="1016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6"/>
                    <a:stretch>
                      <a:fillRect/>
                    </a:stretch>
                  </pic:blipFill>
                  <pic:spPr>
                    <a:xfrm>
                      <a:off x="0" y="0"/>
                      <a:ext cx="3914140" cy="1532890"/>
                    </a:xfrm>
                    <a:prstGeom prst="rect">
                      <a:avLst/>
                    </a:prstGeom>
                  </pic:spPr>
                </pic:pic>
              </a:graphicData>
            </a:graphic>
          </wp:inline>
        </w:drawing>
      </w:r>
    </w:p>
    <w:p>
      <w:pPr>
        <w:numPr>
          <w:numId w:val="0"/>
        </w:numPr>
        <w:jc w:val="center"/>
        <w:rPr>
          <w:rFonts w:hint="default" w:eastAsia="宋体"/>
          <w:lang w:val="en-US" w:eastAsia="zh-CN"/>
        </w:rPr>
      </w:pPr>
      <w:r>
        <w:rPr>
          <w:rFonts w:hint="eastAsia"/>
          <w:lang w:val="en-US" w:eastAsia="zh-CN"/>
        </w:rPr>
        <w:t>图3 VAE View</w:t>
      </w:r>
    </w:p>
    <w:p>
      <w:pPr>
        <w:numPr>
          <w:ilvl w:val="0"/>
          <w:numId w:val="6"/>
        </w:numPr>
        <w:ind w:firstLine="420" w:firstLineChars="0"/>
        <w:jc w:val="left"/>
        <w:rPr>
          <w:rFonts w:hint="eastAsia"/>
          <w:lang w:val="en-US" w:eastAsia="zh-CN"/>
        </w:rPr>
      </w:pPr>
      <w:r>
        <w:rPr>
          <w:rFonts w:hint="eastAsia"/>
          <w:lang w:val="en-US" w:eastAsia="zh-CN"/>
        </w:rPr>
        <w:t>用户能够通过系统交互式地训练和解释学生模型（Student View）如图4所示。帮助用户使用定制的超参数训练解释模型。在最顶部是一些超参数，用于去训练学生模型，学生模型是线性模型，以mnist数据集为例，输入是784个像素点，输出是10分类，待解释的模型是Lenet。红色框的部分是将学生模型的权重和带权的像素点可视化的结果，来展示每个像素点对于某个分类的贡献，越白代表贡献越大。右侧的另外一个子模块也展示了student对于这个图像的预测概率分布，应该尽可能和的教师模型的预测概率分布相近，帮助用户来判断小模型是否很好的蒸馏到大模型的知识。</w:t>
      </w:r>
    </w:p>
    <w:p>
      <w:pPr>
        <w:numPr>
          <w:numId w:val="0"/>
        </w:numPr>
        <w:jc w:val="center"/>
      </w:pPr>
      <w:r>
        <w:drawing>
          <wp:inline distT="0" distB="0" distL="114300" distR="114300">
            <wp:extent cx="1559560" cy="1966595"/>
            <wp:effectExtent l="0" t="0" r="254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1559560" cy="1966595"/>
                    </a:xfrm>
                    <a:prstGeom prst="rect">
                      <a:avLst/>
                    </a:prstGeom>
                  </pic:spPr>
                </pic:pic>
              </a:graphicData>
            </a:graphic>
          </wp:inline>
        </w:drawing>
      </w:r>
    </w:p>
    <w:p>
      <w:pPr>
        <w:numPr>
          <w:numId w:val="0"/>
        </w:numPr>
        <w:jc w:val="center"/>
        <w:rPr>
          <w:rFonts w:hint="default" w:eastAsia="宋体"/>
          <w:lang w:val="en-US" w:eastAsia="zh-CN"/>
        </w:rPr>
      </w:pPr>
      <w:r>
        <w:rPr>
          <w:rFonts w:hint="eastAsia"/>
          <w:lang w:val="en-US" w:eastAsia="zh-CN"/>
        </w:rPr>
        <w:t>图4 Student View</w:t>
      </w:r>
    </w:p>
    <w:p>
      <w:pPr>
        <w:numPr>
          <w:numId w:val="0"/>
        </w:numPr>
        <w:jc w:val="left"/>
        <w:rPr>
          <w:rFonts w:hint="eastAsia"/>
          <w:lang w:val="en-US" w:eastAsia="zh-CN"/>
        </w:rPr>
      </w:pPr>
    </w:p>
    <w:p>
      <w:pPr>
        <w:jc w:val="both"/>
      </w:pPr>
    </w:p>
    <w:p>
      <w:r>
        <w:rPr>
          <w:rFonts w:hint="eastAsia"/>
          <w:b/>
          <w:bCs/>
        </w:rPr>
        <w:t>Experiments and Datasets</w:t>
      </w:r>
    </w:p>
    <w:p>
      <w:pPr>
        <w:numPr>
          <w:ilvl w:val="0"/>
          <w:numId w:val="7"/>
        </w:numPr>
      </w:pPr>
      <w:r>
        <w:rPr>
          <w:rFonts w:hint="eastAsia"/>
        </w:rPr>
        <w:t>数据集</w:t>
      </w:r>
    </w:p>
    <w:p>
      <w:pPr>
        <w:ind w:left="420" w:firstLine="420"/>
        <w:rPr>
          <w:rFonts w:hint="eastAsia"/>
        </w:rPr>
      </w:pPr>
      <w:r>
        <w:rPr>
          <w:rFonts w:hint="eastAsia"/>
        </w:rPr>
        <w:t>论文采用了</w:t>
      </w:r>
      <w:r>
        <w:rPr>
          <w:rFonts w:hint="eastAsia"/>
          <w:lang w:val="en-US" w:eastAsia="zh-CN"/>
        </w:rPr>
        <w:t>Mnist，CelebA</w:t>
      </w:r>
      <w:r>
        <w:rPr>
          <w:rFonts w:hint="eastAsia"/>
        </w:rPr>
        <w:t>两个数据集。 对于</w:t>
      </w:r>
      <w:r>
        <w:rPr>
          <w:rFonts w:hint="eastAsia"/>
          <w:lang w:val="en-US" w:eastAsia="zh-CN"/>
        </w:rPr>
        <w:t>C</w:t>
      </w:r>
      <w:r>
        <w:rPr>
          <w:rFonts w:hint="eastAsia"/>
        </w:rPr>
        <w:t>eleb</w:t>
      </w:r>
      <w:r>
        <w:rPr>
          <w:rFonts w:hint="eastAsia"/>
          <w:lang w:val="en-US" w:eastAsia="zh-CN"/>
        </w:rPr>
        <w:t>A</w:t>
      </w:r>
      <w:r>
        <w:rPr>
          <w:rFonts w:hint="eastAsia"/>
        </w:rPr>
        <w:t>，对数据</w:t>
      </w:r>
      <w:r>
        <w:rPr>
          <w:rFonts w:hint="eastAsia"/>
          <w:lang w:val="en-US" w:eastAsia="zh-CN"/>
        </w:rPr>
        <w:t>集进行</w:t>
      </w:r>
      <w:r>
        <w:rPr>
          <w:rFonts w:hint="eastAsia"/>
        </w:rPr>
        <w:t>预处理，resize成64大小的图片，选择三个二值的属性将类别分为8类，包括性别，是否是金发和是否戴眼镜。</w:t>
      </w:r>
      <w:r>
        <w:rPr>
          <w:rFonts w:hint="eastAsia"/>
          <w:lang w:val="en-US" w:eastAsia="zh-CN"/>
        </w:rPr>
        <w:t>并</w:t>
      </w:r>
      <w:r>
        <w:rPr>
          <w:rFonts w:hint="eastAsia"/>
        </w:rPr>
        <w:t>选择了一个</w:t>
      </w:r>
      <w:r>
        <w:rPr>
          <w:rFonts w:hint="eastAsia"/>
          <w:lang w:val="en-US" w:eastAsia="zh-CN"/>
        </w:rPr>
        <w:t>DFC-VAE</w:t>
      </w:r>
      <w:r>
        <w:rPr>
          <w:rFonts w:hint="eastAsia"/>
        </w:rPr>
        <w:t>来捕获语义信息。</w:t>
      </w:r>
    </w:p>
    <w:p>
      <w:pPr>
        <w:ind w:left="420" w:firstLine="420"/>
        <w:rPr>
          <w:rFonts w:hint="eastAsia"/>
        </w:rPr>
      </w:pPr>
    </w:p>
    <w:p>
      <w:pPr>
        <w:numPr>
          <w:ilvl w:val="0"/>
          <w:numId w:val="7"/>
        </w:numPr>
      </w:pPr>
      <w:r>
        <w:rPr>
          <w:rFonts w:hint="eastAsia"/>
        </w:rPr>
        <w:t>对比方法</w:t>
      </w:r>
    </w:p>
    <w:p>
      <w:pPr>
        <w:pStyle w:val="16"/>
        <w:ind w:left="420" w:firstLineChars="0"/>
      </w:pPr>
      <w:r>
        <w:rPr>
          <w:rFonts w:hint="eastAsia"/>
          <w:lang w:val="en-US" w:eastAsia="zh-CN"/>
        </w:rPr>
        <w:t>LIME，Sensitivity(基于梯度)，Gran-CAM（基于类激活图）</w:t>
      </w:r>
      <w:r>
        <w:rPr>
          <w:rFonts w:hint="eastAsia"/>
        </w:rPr>
        <w:t>。</w:t>
      </w:r>
    </w:p>
    <w:p>
      <w:pPr>
        <w:rPr>
          <w:rFonts w:hint="eastAsia"/>
        </w:rPr>
      </w:pPr>
    </w:p>
    <w:p>
      <w:pPr>
        <w:numPr>
          <w:ilvl w:val="0"/>
          <w:numId w:val="7"/>
        </w:numPr>
      </w:pPr>
      <w:r>
        <w:rPr>
          <w:rFonts w:hint="eastAsia"/>
        </w:rPr>
        <w:t>实验</w:t>
      </w:r>
    </w:p>
    <w:p>
      <w:pPr>
        <w:numPr>
          <w:ilvl w:val="1"/>
          <w:numId w:val="7"/>
        </w:numPr>
      </w:pPr>
      <w:r>
        <w:rPr>
          <w:rFonts w:hint="eastAsia"/>
          <w:lang w:val="en-US" w:eastAsia="zh-CN"/>
        </w:rPr>
        <w:t>Case study</w:t>
      </w:r>
    </w:p>
    <w:p>
      <w:pPr>
        <w:numPr>
          <w:numId w:val="0"/>
        </w:numPr>
        <w:ind w:left="420" w:leftChars="0"/>
        <w:jc w:val="center"/>
      </w:pPr>
      <w:r>
        <w:drawing>
          <wp:inline distT="0" distB="0" distL="114300" distR="114300">
            <wp:extent cx="1574165" cy="2620645"/>
            <wp:effectExtent l="0" t="0" r="6985" b="825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8"/>
                    <a:stretch>
                      <a:fillRect/>
                    </a:stretch>
                  </pic:blipFill>
                  <pic:spPr>
                    <a:xfrm>
                      <a:off x="0" y="0"/>
                      <a:ext cx="1574165" cy="2620645"/>
                    </a:xfrm>
                    <a:prstGeom prst="rect">
                      <a:avLst/>
                    </a:prstGeom>
                  </pic:spPr>
                </pic:pic>
              </a:graphicData>
            </a:graphic>
          </wp:inline>
        </w:drawing>
      </w:r>
    </w:p>
    <w:p>
      <w:pPr>
        <w:numPr>
          <w:numId w:val="0"/>
        </w:numPr>
        <w:ind w:left="420" w:leftChars="0"/>
        <w:jc w:val="center"/>
        <w:rPr>
          <w:rFonts w:hint="eastAsia"/>
          <w:lang w:val="en-US" w:eastAsia="zh-CN"/>
        </w:rPr>
      </w:pPr>
      <w:r>
        <w:rPr>
          <w:rFonts w:hint="eastAsia"/>
          <w:lang w:val="en-US" w:eastAsia="zh-CN"/>
        </w:rPr>
        <w:t>图5 Mnist case study</w:t>
      </w:r>
    </w:p>
    <w:p>
      <w:pPr>
        <w:numPr>
          <w:numId w:val="0"/>
        </w:numPr>
        <w:ind w:firstLine="420" w:firstLineChars="0"/>
        <w:jc w:val="left"/>
        <w:rPr>
          <w:rFonts w:hint="default"/>
          <w:lang w:val="en-US" w:eastAsia="zh-CN"/>
        </w:rPr>
      </w:pPr>
      <w:r>
        <w:rPr>
          <w:rFonts w:hint="default"/>
          <w:lang w:val="en-US" w:eastAsia="zh-CN"/>
        </w:rPr>
        <w:t>通过teacher view 发现这个4被误分类为9，因此就在</w:t>
      </w:r>
      <w:r>
        <w:rPr>
          <w:rFonts w:hint="eastAsia"/>
          <w:lang w:val="en-US" w:eastAsia="zh-CN"/>
        </w:rPr>
        <w:t>该</w:t>
      </w:r>
      <w:r>
        <w:rPr>
          <w:rFonts w:hint="default"/>
          <w:lang w:val="en-US" w:eastAsia="zh-CN"/>
        </w:rPr>
        <w:t>数据邻域，利用vae生成数据，来训练学生模型。训练得到的学生模型</w:t>
      </w:r>
      <w:r>
        <w:rPr>
          <w:rFonts w:hint="eastAsia"/>
          <w:lang w:val="en-US" w:eastAsia="zh-CN"/>
        </w:rPr>
        <w:t>，将</w:t>
      </w:r>
      <w:r>
        <w:rPr>
          <w:rFonts w:hint="default"/>
          <w:lang w:val="en-US" w:eastAsia="zh-CN"/>
        </w:rPr>
        <w:t>教师模型对这个数据分类到不同类中，分别进行解释，从上到下是0到9，可以看到误分类到9的主要原因是分类器高亮了这个数字的顶部以及</w:t>
      </w:r>
      <w:r>
        <w:rPr>
          <w:rFonts w:hint="eastAsia"/>
          <w:lang w:val="en-US" w:eastAsia="zh-CN"/>
        </w:rPr>
        <w:t>忽略</w:t>
      </w:r>
      <w:r>
        <w:rPr>
          <w:rFonts w:hint="default"/>
          <w:lang w:val="en-US" w:eastAsia="zh-CN"/>
        </w:rPr>
        <w:t>数字4的尾部。</w:t>
      </w:r>
    </w:p>
    <w:p>
      <w:pPr>
        <w:numPr>
          <w:numId w:val="0"/>
        </w:numPr>
        <w:ind w:firstLine="420" w:firstLineChars="0"/>
        <w:jc w:val="center"/>
      </w:pPr>
      <w:r>
        <w:drawing>
          <wp:inline distT="0" distB="0" distL="114300" distR="114300">
            <wp:extent cx="4300220" cy="2253615"/>
            <wp:effectExtent l="0" t="0" r="5080" b="1333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9"/>
                    <a:stretch>
                      <a:fillRect/>
                    </a:stretch>
                  </pic:blipFill>
                  <pic:spPr>
                    <a:xfrm>
                      <a:off x="0" y="0"/>
                      <a:ext cx="4300220" cy="2253615"/>
                    </a:xfrm>
                    <a:prstGeom prst="rect">
                      <a:avLst/>
                    </a:prstGeom>
                    <a:noFill/>
                    <a:ln>
                      <a:noFill/>
                    </a:ln>
                  </pic:spPr>
                </pic:pic>
              </a:graphicData>
            </a:graphic>
          </wp:inline>
        </w:drawing>
      </w:r>
    </w:p>
    <w:p>
      <w:pPr>
        <w:numPr>
          <w:numId w:val="0"/>
        </w:numPr>
        <w:ind w:firstLine="420" w:firstLineChars="0"/>
        <w:jc w:val="center"/>
        <w:rPr>
          <w:rFonts w:hint="default" w:eastAsia="宋体"/>
          <w:lang w:val="en-US" w:eastAsia="zh-CN"/>
        </w:rPr>
      </w:pPr>
      <w:r>
        <w:rPr>
          <w:rFonts w:hint="eastAsia"/>
          <w:lang w:val="en-US" w:eastAsia="zh-CN"/>
        </w:rPr>
        <w:t>图6 CelebA case study</w:t>
      </w:r>
    </w:p>
    <w:p>
      <w:pPr>
        <w:numPr>
          <w:numId w:val="0"/>
        </w:numPr>
        <w:ind w:firstLine="420" w:firstLineChars="0"/>
        <w:jc w:val="left"/>
        <w:rPr>
          <w:rFonts w:hint="default"/>
          <w:lang w:val="en-US" w:eastAsia="zh-CN"/>
        </w:rPr>
      </w:pPr>
      <w:r>
        <w:rPr>
          <w:rFonts w:hint="default"/>
          <w:lang w:val="en-US" w:eastAsia="zh-CN"/>
        </w:rPr>
        <w:t>在celeba数据集上</w:t>
      </w:r>
      <w:r>
        <w:rPr>
          <w:rFonts w:hint="eastAsia"/>
          <w:lang w:val="en-US" w:eastAsia="zh-CN"/>
        </w:rPr>
        <w:t>case study</w:t>
      </w:r>
      <w:r>
        <w:rPr>
          <w:rFonts w:hint="default"/>
          <w:lang w:val="en-US" w:eastAsia="zh-CN"/>
        </w:rPr>
        <w:t>。探索8170这张图片为什么被分类成class2</w:t>
      </w:r>
      <w:r>
        <w:rPr>
          <w:rFonts w:hint="eastAsia"/>
          <w:lang w:val="en-US" w:eastAsia="zh-CN"/>
        </w:rPr>
        <w:t>(</w:t>
      </w:r>
      <w:r>
        <w:rPr>
          <w:rFonts w:hint="default"/>
          <w:lang w:val="en-US" w:eastAsia="zh-CN"/>
        </w:rPr>
        <w:t>女生，金发和没有眼镜</w:t>
      </w:r>
      <w:r>
        <w:rPr>
          <w:rFonts w:hint="eastAsia"/>
          <w:lang w:val="en-US" w:eastAsia="zh-CN"/>
        </w:rPr>
        <w:t>)</w:t>
      </w:r>
      <w:r>
        <w:rPr>
          <w:rFonts w:hint="default"/>
          <w:lang w:val="en-US" w:eastAsia="zh-CN"/>
        </w:rPr>
        <w:t>。</w:t>
      </w:r>
      <w:r>
        <w:rPr>
          <w:rFonts w:hint="eastAsia"/>
          <w:lang w:val="en-US" w:eastAsia="zh-CN"/>
        </w:rPr>
        <w:t>通过均匀采样</w:t>
      </w:r>
      <w:r>
        <w:rPr>
          <w:rFonts w:hint="default"/>
          <w:lang w:val="en-US" w:eastAsia="zh-CN"/>
        </w:rPr>
        <w:t>从1682这张图片和它之间的</w:t>
      </w:r>
      <w:r>
        <w:rPr>
          <w:rFonts w:hint="eastAsia"/>
          <w:lang w:val="en-US" w:eastAsia="zh-CN"/>
        </w:rPr>
        <w:t>样本点，得到该点的邻域数据。图6中</w:t>
      </w:r>
      <w:r>
        <w:rPr>
          <w:rFonts w:hint="default"/>
          <w:lang w:val="en-US" w:eastAsia="zh-CN"/>
        </w:rPr>
        <w:t>左边的</w:t>
      </w:r>
      <w:r>
        <w:rPr>
          <w:rFonts w:hint="eastAsia"/>
          <w:lang w:val="en-US" w:eastAsia="zh-CN"/>
        </w:rPr>
        <w:t>部分，</w:t>
      </w:r>
      <w:r>
        <w:rPr>
          <w:rFonts w:hint="default"/>
          <w:lang w:val="en-US" w:eastAsia="zh-CN"/>
        </w:rPr>
        <w:t>展示了采样出重构的图片，</w:t>
      </w:r>
      <w:r>
        <w:rPr>
          <w:rFonts w:hint="eastAsia"/>
          <w:lang w:val="en-US" w:eastAsia="zh-CN"/>
        </w:rPr>
        <w:t>即</w:t>
      </w:r>
      <w:r>
        <w:rPr>
          <w:rFonts w:hint="default"/>
          <w:lang w:val="en-US" w:eastAsia="zh-CN"/>
        </w:rPr>
        <w:t>小模型的训练数据。从类别2中可以看到，分类器非常关注于头发部分的像素，说明分类器把头发特征作为分类的依据。</w:t>
      </w:r>
    </w:p>
    <w:p>
      <w:pPr>
        <w:numPr>
          <w:ilvl w:val="1"/>
          <w:numId w:val="7"/>
        </w:numPr>
      </w:pPr>
      <w:r>
        <w:rPr>
          <w:rFonts w:hint="eastAsia"/>
          <w:lang w:val="en-US" w:eastAsia="zh-CN"/>
        </w:rPr>
        <w:t>领域专家的反馈</w:t>
      </w:r>
    </w:p>
    <w:p>
      <w:pPr>
        <w:numPr>
          <w:numId w:val="0"/>
        </w:numPr>
      </w:pPr>
    </w:p>
    <w:p>
      <w:pPr>
        <w:numPr>
          <w:numId w:val="0"/>
        </w:numPr>
        <w:jc w:val="both"/>
      </w:pPr>
      <w:r>
        <w:drawing>
          <wp:inline distT="0" distB="0" distL="114300" distR="114300">
            <wp:extent cx="5268595" cy="3143885"/>
            <wp:effectExtent l="0" t="0" r="8255" b="1841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0"/>
                    <a:stretch>
                      <a:fillRect/>
                    </a:stretch>
                  </pic:blipFill>
                  <pic:spPr>
                    <a:xfrm>
                      <a:off x="0" y="0"/>
                      <a:ext cx="5268595" cy="3143885"/>
                    </a:xfrm>
                    <a:prstGeom prst="rect">
                      <a:avLst/>
                    </a:prstGeom>
                    <a:noFill/>
                    <a:ln>
                      <a:noFill/>
                    </a:ln>
                  </pic:spPr>
                </pic:pic>
              </a:graphicData>
            </a:graphic>
          </wp:inline>
        </w:drawing>
      </w:r>
    </w:p>
    <w:p>
      <w:pPr>
        <w:numPr>
          <w:numId w:val="0"/>
        </w:numPr>
        <w:jc w:val="center"/>
        <w:rPr>
          <w:rFonts w:hint="eastAsia"/>
          <w:lang w:val="en-US" w:eastAsia="zh-CN"/>
        </w:rPr>
      </w:pPr>
      <w:r>
        <w:rPr>
          <w:rFonts w:hint="eastAsia"/>
          <w:lang w:val="en-US" w:eastAsia="zh-CN"/>
        </w:rPr>
        <w:t>图7 领域专家的部分反馈</w:t>
      </w:r>
    </w:p>
    <w:p>
      <w:pPr>
        <w:numPr>
          <w:numId w:val="0"/>
        </w:numPr>
        <w:jc w:val="center"/>
        <w:rPr>
          <w:rFonts w:hint="eastAsia"/>
          <w:lang w:val="en-US" w:eastAsia="zh-CN"/>
        </w:rPr>
      </w:pPr>
    </w:p>
    <w:p>
      <w:pPr>
        <w:numPr>
          <w:numId w:val="0"/>
        </w:numPr>
        <w:ind w:firstLine="420" w:firstLineChars="0"/>
        <w:jc w:val="left"/>
        <w:rPr>
          <w:rFonts w:hint="default"/>
          <w:lang w:val="en-US" w:eastAsia="zh-CN"/>
        </w:rPr>
      </w:pPr>
      <w:r>
        <w:rPr>
          <w:rFonts w:hint="default"/>
          <w:lang w:val="en-US" w:eastAsia="zh-CN"/>
        </w:rPr>
        <w:t>领域专家也对DeepVID给出了许多反馈，首先所有的专家都给出了积极的反馈，因为deepvid帮助他们解释和诊断模型。专家一</w:t>
      </w:r>
      <w:r>
        <w:rPr>
          <w:rFonts w:hint="eastAsia"/>
          <w:lang w:val="en-US" w:eastAsia="zh-CN"/>
        </w:rPr>
        <w:t>认为，</w:t>
      </w:r>
      <w:r>
        <w:rPr>
          <w:rFonts w:hint="default"/>
          <w:lang w:val="en-US" w:eastAsia="zh-CN"/>
        </w:rPr>
        <w:t>通过可视化生成的局部邻居，帮助它理解为什么局部近似可以work。专家三</w:t>
      </w:r>
      <w:r>
        <w:rPr>
          <w:rFonts w:hint="eastAsia"/>
          <w:lang w:val="en-US" w:eastAsia="zh-CN"/>
        </w:rPr>
        <w:t>认为</w:t>
      </w:r>
      <w:r>
        <w:rPr>
          <w:rFonts w:hint="default"/>
          <w:lang w:val="en-US" w:eastAsia="zh-CN"/>
        </w:rPr>
        <w:t>deepvid体现出了线性解释模型可以去拟合局部的模式</w:t>
      </w:r>
      <w:r>
        <w:rPr>
          <w:rFonts w:hint="eastAsia"/>
          <w:lang w:val="en-US" w:eastAsia="zh-CN"/>
        </w:rPr>
        <w:t>。</w:t>
      </w:r>
      <w:r>
        <w:rPr>
          <w:rFonts w:hint="default"/>
          <w:lang w:val="en-US" w:eastAsia="zh-CN"/>
        </w:rPr>
        <w:t>并且所有的专家都认为学生的可视化解释是直观且可行的关于vae视图是最受专家关注的，专家们都认为邻域生成的过程非常关系于最终的解释模型，并且认为从隐空间采样比输入空间采样是一个很好地选择。专家一还建议，固定一些在前面探索中，对预测无用的特征，然后只变换其他特征来进行扰动</w:t>
      </w:r>
      <w:r>
        <w:rPr>
          <w:rFonts w:hint="eastAsia"/>
          <w:lang w:val="en-US" w:eastAsia="zh-CN"/>
        </w:rPr>
        <w:t>。</w:t>
      </w:r>
      <w:r>
        <w:rPr>
          <w:rFonts w:hint="default"/>
          <w:lang w:val="en-US" w:eastAsia="zh-CN"/>
        </w:rPr>
        <w:t>专家三还认为，现有的deepvid无法通过解释之后对网络结构本身有更多的提升，建议利用例如层与层之间的局部近似，帮助用户去改进模型结构。那么实际这个建议，就是希望deepvid，能够结合黑盒解释和白盒解释。</w:t>
      </w:r>
    </w:p>
    <w:p>
      <w:pPr>
        <w:numPr>
          <w:ilvl w:val="1"/>
          <w:numId w:val="7"/>
        </w:numPr>
      </w:pPr>
      <w:r>
        <w:rPr>
          <w:rFonts w:hint="eastAsia"/>
          <w:lang w:val="en-US" w:eastAsia="zh-CN"/>
        </w:rPr>
        <w:t>可视化与定量化评估</w:t>
      </w:r>
    </w:p>
    <w:p>
      <w:pPr>
        <w:numPr>
          <w:numId w:val="0"/>
        </w:numPr>
        <w:ind w:left="420" w:leftChars="0"/>
        <w:jc w:val="center"/>
      </w:pPr>
      <w:r>
        <w:drawing>
          <wp:inline distT="0" distB="0" distL="114300" distR="114300">
            <wp:extent cx="4004310" cy="1393825"/>
            <wp:effectExtent l="0" t="0" r="15240" b="1587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1"/>
                    <a:stretch>
                      <a:fillRect/>
                    </a:stretch>
                  </pic:blipFill>
                  <pic:spPr>
                    <a:xfrm>
                      <a:off x="0" y="0"/>
                      <a:ext cx="4004310" cy="1393825"/>
                    </a:xfrm>
                    <a:prstGeom prst="rect">
                      <a:avLst/>
                    </a:prstGeom>
                  </pic:spPr>
                </pic:pic>
              </a:graphicData>
            </a:graphic>
          </wp:inline>
        </w:drawing>
      </w:r>
    </w:p>
    <w:p>
      <w:pPr>
        <w:numPr>
          <w:numId w:val="0"/>
        </w:numPr>
        <w:ind w:left="420" w:leftChars="0"/>
        <w:jc w:val="center"/>
        <w:rPr>
          <w:rFonts w:hint="eastAsia"/>
          <w:lang w:val="en-US" w:eastAsia="zh-CN"/>
        </w:rPr>
      </w:pPr>
      <w:r>
        <w:rPr>
          <w:rFonts w:hint="eastAsia"/>
          <w:lang w:val="en-US" w:eastAsia="zh-CN"/>
        </w:rPr>
        <w:t>图8 可视化解释结果比较</w:t>
      </w:r>
    </w:p>
    <w:p>
      <w:pPr>
        <w:numPr>
          <w:numId w:val="0"/>
        </w:numPr>
        <w:ind w:left="420" w:leftChars="0"/>
        <w:jc w:val="center"/>
      </w:pPr>
      <w:r>
        <w:drawing>
          <wp:inline distT="0" distB="0" distL="114300" distR="114300">
            <wp:extent cx="4149725" cy="2632075"/>
            <wp:effectExtent l="0" t="0" r="3175" b="1587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2"/>
                    <a:stretch>
                      <a:fillRect/>
                    </a:stretch>
                  </pic:blipFill>
                  <pic:spPr>
                    <a:xfrm>
                      <a:off x="0" y="0"/>
                      <a:ext cx="4149725" cy="2632075"/>
                    </a:xfrm>
                    <a:prstGeom prst="rect">
                      <a:avLst/>
                    </a:prstGeom>
                  </pic:spPr>
                </pic:pic>
              </a:graphicData>
            </a:graphic>
          </wp:inline>
        </w:drawing>
      </w:r>
    </w:p>
    <w:p>
      <w:pPr>
        <w:numPr>
          <w:ilvl w:val="0"/>
          <w:numId w:val="0"/>
        </w:numPr>
        <w:ind w:left="420" w:leftChars="0"/>
        <w:jc w:val="center"/>
        <w:rPr>
          <w:rFonts w:hint="default" w:eastAsia="宋体"/>
          <w:lang w:val="en-US" w:eastAsia="zh-CN"/>
        </w:rPr>
      </w:pPr>
      <w:r>
        <w:rPr>
          <w:rFonts w:hint="eastAsia"/>
          <w:lang w:val="en-US" w:eastAsia="zh-CN"/>
        </w:rPr>
        <w:t>图9 插入删除曲线</w:t>
      </w:r>
    </w:p>
    <w:p>
      <w:pPr>
        <w:numPr>
          <w:numId w:val="0"/>
        </w:numPr>
        <w:ind w:left="420" w:leftChars="0"/>
        <w:jc w:val="center"/>
        <w:rPr>
          <w:rFonts w:hint="eastAsia"/>
          <w:lang w:val="en-US" w:eastAsia="zh-CN"/>
        </w:rPr>
      </w:pPr>
    </w:p>
    <w:p>
      <w:pPr>
        <w:numPr>
          <w:numId w:val="0"/>
        </w:numPr>
        <w:ind w:firstLine="420" w:firstLineChars="0"/>
        <w:jc w:val="both"/>
        <w:rPr>
          <w:rFonts w:hint="default"/>
          <w:lang w:val="en-US" w:eastAsia="zh-CN"/>
        </w:rPr>
      </w:pPr>
      <w:r>
        <w:rPr>
          <w:rFonts w:hint="eastAsia"/>
          <w:lang w:val="en-US" w:eastAsia="zh-CN"/>
        </w:rPr>
        <w:t>通过和baseline的比较。图是将可视化的解释图和原本的图重叠起来所展示的，原始图片的颜色变成黑底灰字。 colormap 从黑到红到白，代表着像素点的重要性越来越高。从图中可以看到deepvid 更可以抓住灰色的像素点，证明了本文方法的优越性。 从插入删除曲线来看，也能显示本文方法的优越性。</w:t>
      </w:r>
    </w:p>
    <w:p>
      <w:pPr>
        <w:jc w:val="both"/>
      </w:pPr>
    </w:p>
    <w:p>
      <w:pPr>
        <w:pStyle w:val="2"/>
      </w:pPr>
      <w:r>
        <w:rPr>
          <w:rFonts w:hint="eastAsia"/>
        </w:rPr>
        <w:t>Differences of this Method compared to others</w:t>
      </w:r>
    </w:p>
    <w:p>
      <w:pPr>
        <w:rPr>
          <w:rFonts w:hint="eastAsia"/>
        </w:rPr>
      </w:pPr>
      <w:r>
        <w:rPr>
          <w:rFonts w:hint="eastAsia"/>
          <w:lang w:val="en-US" w:eastAsia="zh-CN"/>
        </w:rPr>
        <w:t>使用</w:t>
      </w:r>
      <w:r>
        <w:rPr>
          <w:rFonts w:hint="eastAsia"/>
        </w:rPr>
        <w:t>VAE</w:t>
      </w:r>
      <w:r>
        <w:rPr>
          <w:rFonts w:hint="eastAsia"/>
          <w:lang w:val="en-US" w:eastAsia="zh-CN"/>
        </w:rPr>
        <w:t>模型来</w:t>
      </w:r>
      <w:r>
        <w:rPr>
          <w:rFonts w:hint="eastAsia"/>
        </w:rPr>
        <w:t>扰动感兴趣数据的隐向量，</w:t>
      </w:r>
      <w:r>
        <w:rPr>
          <w:rFonts w:hint="eastAsia"/>
          <w:lang w:val="en-US" w:eastAsia="zh-CN"/>
        </w:rPr>
        <w:t>高效的得到</w:t>
      </w:r>
      <w:r>
        <w:rPr>
          <w:rFonts w:hint="eastAsia"/>
        </w:rPr>
        <w:t>重构的易解释的线性模型的训练数据</w:t>
      </w:r>
      <w:r>
        <w:rPr>
          <w:rFonts w:hint="eastAsia"/>
          <w:lang w:eastAsia="zh-CN"/>
        </w:rPr>
        <w:t>。</w:t>
      </w:r>
      <w:r>
        <w:rPr>
          <w:rFonts w:hint="eastAsia"/>
        </w:rPr>
        <w:t>通过知识蒸馏将待解释的模型的知识传递给易解释的线性模型</w:t>
      </w:r>
      <w:r>
        <w:rPr>
          <w:rFonts w:hint="eastAsia"/>
          <w:lang w:eastAsia="zh-CN"/>
        </w:rPr>
        <w:t>。</w:t>
      </w:r>
      <w:r>
        <w:rPr>
          <w:rFonts w:hint="eastAsia"/>
        </w:rPr>
        <w:t>通过可视化系统的方式，帮助用户理解待解释模型的行为，以及如何得到解释模型。</w:t>
      </w:r>
    </w:p>
    <w:p>
      <w:pPr>
        <w:rPr>
          <w:rFonts w:hint="eastAsia"/>
        </w:rPr>
      </w:pPr>
    </w:p>
    <w:p/>
    <w:p>
      <w:pPr>
        <w:rPr>
          <w:b/>
          <w:bCs/>
        </w:rPr>
      </w:pPr>
      <w:r>
        <w:rPr>
          <w:rFonts w:hint="eastAsia"/>
          <w:b/>
          <w:bCs/>
        </w:rPr>
        <w:t>Limitation of this work or your discovery</w:t>
      </w:r>
    </w:p>
    <w:p>
      <w:pPr>
        <w:numPr>
          <w:ilvl w:val="0"/>
          <w:numId w:val="8"/>
        </w:numPr>
        <w:rPr>
          <w:rFonts w:hint="eastAsia"/>
        </w:rPr>
      </w:pPr>
      <w:r>
        <w:rPr>
          <w:rFonts w:hint="eastAsia"/>
        </w:rPr>
        <w:t>deepvid是非常依赖于预训练的VAE去提取语义的和进行重构的，而例如在cifar10这种数据集上，每个类别的数据比较少，vae效果会比较差，导致最终的解释也会很差。</w:t>
      </w:r>
    </w:p>
    <w:p>
      <w:pPr>
        <w:numPr>
          <w:ilvl w:val="0"/>
          <w:numId w:val="8"/>
        </w:numPr>
        <w:rPr>
          <w:rFonts w:hint="eastAsia"/>
        </w:rPr>
      </w:pPr>
      <w:r>
        <w:rPr>
          <w:rFonts w:hint="eastAsia"/>
          <w:lang w:val="en-US" w:eastAsia="zh-CN"/>
        </w:rPr>
        <w:t>方法创新性不是很强，将现有的方法进行组合，并设计了系统。</w:t>
      </w:r>
    </w:p>
    <w:p>
      <w:pPr>
        <w:ind w:firstLine="420"/>
      </w:pPr>
    </w:p>
    <w:p>
      <w:pPr>
        <w:ind w:firstLine="420"/>
      </w:pPr>
    </w:p>
    <w:p>
      <w:pPr>
        <w:widowControl/>
        <w:jc w:val="left"/>
      </w:pPr>
      <w:r>
        <w:br w:type="page"/>
      </w:r>
    </w:p>
    <w:p>
      <w:pPr>
        <w:pStyle w:val="2"/>
        <w:keepNext w:val="0"/>
        <w:keepLines w:val="0"/>
        <w:widowControl/>
        <w:suppressLineNumbers w:val="0"/>
        <w:shd w:val="clear" w:fill="FFFFFF"/>
        <w:spacing w:before="0" w:beforeAutospacing="0" w:after="0" w:afterAutospacing="0" w:line="525" w:lineRule="atLeast"/>
        <w:ind w:left="0" w:right="0" w:firstLine="0"/>
        <w:jc w:val="center"/>
        <w:rPr>
          <w:rFonts w:hint="default" w:ascii="Arial" w:hAnsi="Arial" w:eastAsia="黑体" w:cs="Times New Roman"/>
          <w:b/>
          <w:bCs/>
          <w:kern w:val="2"/>
          <w:sz w:val="32"/>
          <w:szCs w:val="32"/>
          <w:lang w:val="en-US" w:eastAsia="zh-CN" w:bidi="ar-SA"/>
        </w:rPr>
      </w:pPr>
      <w:r>
        <w:rPr>
          <w:rFonts w:hint="default" w:ascii="Arial" w:hAnsi="Arial" w:eastAsia="黑体" w:cs="Times New Roman"/>
          <w:b/>
          <w:bCs/>
          <w:kern w:val="2"/>
          <w:sz w:val="32"/>
          <w:szCs w:val="32"/>
          <w:lang w:val="en-US" w:eastAsia="zh-CN" w:bidi="ar-SA"/>
        </w:rPr>
        <w:t>Faithful and Customizable Explanations of Black Box Models</w:t>
      </w:r>
    </w:p>
    <w:p>
      <w:pPr>
        <w:pStyle w:val="3"/>
        <w:jc w:val="center"/>
        <w:rPr>
          <w:rFonts w:hint="eastAsia"/>
        </w:rPr>
      </w:pPr>
      <w:r>
        <w:rPr>
          <w:rFonts w:hint="eastAsia"/>
        </w:rPr>
        <w:t>(</w:t>
      </w:r>
      <w:r>
        <w:rPr>
          <w:rFonts w:ascii="Arial" w:hAnsi="Arial"/>
        </w:rPr>
        <w:t>Harvard University</w:t>
      </w:r>
      <w:r>
        <w:rPr>
          <w:rFonts w:hint="eastAsia"/>
        </w:rPr>
        <w:t xml:space="preserve">) </w:t>
      </w:r>
    </w:p>
    <w:p>
      <w:pPr>
        <w:pStyle w:val="2"/>
      </w:pPr>
      <w:r>
        <w:rPr>
          <w:rFonts w:hint="eastAsia"/>
        </w:rPr>
        <w:t>Importance of the application</w:t>
      </w:r>
    </w:p>
    <w:p>
      <w:pPr>
        <w:numPr>
          <w:ilvl w:val="0"/>
          <w:numId w:val="3"/>
        </w:numPr>
      </w:pPr>
      <w:r>
        <w:rPr>
          <w:rFonts w:hint="eastAsia"/>
          <w:lang w:val="en-US" w:eastAsia="zh-CN"/>
        </w:rPr>
        <w:t>在现实世界的决策中成功采用预测模型取决于决策者（如医生、法官）能够理解和信任他们的功能。只有决策者对预测模型的行为有一个清晰的理解，他们才能评估何时以及在多大程度上依赖于这些模型，检测其中的潜在偏差，并开发进一步细化模型的策略</w:t>
      </w:r>
      <w:r>
        <w:rPr>
          <w:rFonts w:hint="eastAsia"/>
        </w:rPr>
        <w:t>。</w:t>
      </w:r>
    </w:p>
    <w:p>
      <w:pPr>
        <w:numPr>
          <w:ilvl w:val="0"/>
          <w:numId w:val="3"/>
        </w:numPr>
      </w:pPr>
      <w:r>
        <w:rPr>
          <w:rFonts w:hint="eastAsia"/>
        </w:rPr>
        <w:t>在本文中，关注一种新形式的解释，旨在帮助最终用户（例如，决策者如法官、医生）获得更深入的理解模型行为：不同的解释，描述了模型逻辑在不同的子空间感兴趣的忠实的和可解释的方式。医生可能热衷于了解模型是如何对不同的患者亚组进行预测的（见图1）。此外，她可能会对问一些问题感兴趣，比如“该模型如何预测与运动和吸烟的不同价值观相关的患者亚组？”</w:t>
      </w:r>
      <w:r>
        <w:rPr>
          <w:rFonts w:hint="eastAsia"/>
          <w:lang w:eastAsia="zh-CN"/>
        </w:rPr>
        <w:t>。</w:t>
      </w:r>
      <w:r>
        <w:rPr>
          <w:rFonts w:hint="eastAsia"/>
          <w:lang w:val="en-US" w:eastAsia="zh-CN"/>
        </w:rPr>
        <w:t>本文旨在可定制化的根据用户需求来生成解释。</w:t>
      </w:r>
    </w:p>
    <w:p/>
    <w:p>
      <w:pPr>
        <w:pStyle w:val="2"/>
      </w:pPr>
      <w:r>
        <w:rPr>
          <w:rFonts w:hint="eastAsia"/>
        </w:rPr>
        <w:t>Problems cannot be solved with existing methods</w:t>
      </w:r>
    </w:p>
    <w:p>
      <w:pPr>
        <w:numPr>
          <w:ilvl w:val="0"/>
          <w:numId w:val="4"/>
        </w:numPr>
      </w:pPr>
      <w:r>
        <w:rPr>
          <w:rFonts w:hint="eastAsia"/>
          <w:lang w:val="en-US" w:eastAsia="zh-CN"/>
        </w:rPr>
        <w:t>无法</w:t>
      </w:r>
      <w:r>
        <w:rPr>
          <w:rFonts w:hint="eastAsia"/>
        </w:rPr>
        <w:t>在用户提出一些感兴趣的特征之后，定制化的生成解释模型。</w:t>
      </w:r>
    </w:p>
    <w:p>
      <w:pPr>
        <w:numPr>
          <w:ilvl w:val="0"/>
          <w:numId w:val="4"/>
        </w:numPr>
      </w:pPr>
      <w:r>
        <w:rPr>
          <w:rFonts w:hint="eastAsia"/>
          <w:lang w:val="en-US" w:eastAsia="zh-CN"/>
        </w:rPr>
        <w:t>无法定量的量化保真度、不模糊性和可解释性的概念</w:t>
      </w:r>
    </w:p>
    <w:p>
      <w:pPr>
        <w:numPr>
          <w:numId w:val="0"/>
        </w:numPr>
        <w:ind w:leftChars="0"/>
      </w:pPr>
    </w:p>
    <w:p>
      <w:pPr>
        <w:pStyle w:val="2"/>
        <w:rPr>
          <w:rFonts w:hint="eastAsia"/>
        </w:rPr>
      </w:pPr>
      <w:r>
        <w:rPr>
          <w:rFonts w:hint="eastAsia"/>
        </w:rPr>
        <w:t>Formal definition of the problem</w:t>
      </w:r>
    </w:p>
    <w:p>
      <w:pPr>
        <w:numPr>
          <w:ilvl w:val="0"/>
          <w:numId w:val="4"/>
        </w:numPr>
      </w:pPr>
      <w:r>
        <w:rPr>
          <w:rFonts w:hint="eastAsia"/>
          <w:lang w:val="en-US" w:eastAsia="zh-CN"/>
        </w:rPr>
        <w:t>设计一种两层决策集表示法，</w:t>
      </w:r>
      <w:r>
        <w:rPr>
          <w:rFonts w:ascii="txsys" w:hAnsi="txsys" w:eastAsia="txsys" w:cs="txsys"/>
          <w:color w:val="000000"/>
          <w:kern w:val="0"/>
          <w:sz w:val="17"/>
          <w:szCs w:val="17"/>
          <w:lang w:val="en-US" w:eastAsia="zh-CN" w:bidi="ar"/>
        </w:rPr>
        <w:t>{(</w:t>
      </w:r>
      <w:r>
        <w:rPr>
          <w:rFonts w:ascii="LinLibertineI" w:hAnsi="LinLibertineI" w:eastAsia="LinLibertineI" w:cs="LinLibertineI"/>
          <w:i/>
          <w:iCs/>
          <w:color w:val="000000"/>
          <w:kern w:val="0"/>
          <w:sz w:val="17"/>
          <w:szCs w:val="17"/>
          <w:lang w:val="en-US" w:eastAsia="zh-CN" w:bidi="ar"/>
        </w:rPr>
        <w:t>q</w:t>
      </w:r>
      <w:r>
        <w:rPr>
          <w:rFonts w:ascii="LinLibertineT" w:hAnsi="LinLibertineT" w:eastAsia="LinLibertineT" w:cs="LinLibertineT"/>
          <w:color w:val="000000"/>
          <w:kern w:val="0"/>
          <w:sz w:val="14"/>
          <w:szCs w:val="14"/>
          <w:lang w:val="en-US" w:eastAsia="zh-CN" w:bidi="ar"/>
        </w:rPr>
        <w:t>1</w:t>
      </w:r>
      <w:r>
        <w:rPr>
          <w:rFonts w:ascii="rtxmi" w:hAnsi="rtxmi" w:eastAsia="rtxmi" w:cs="rtxmi"/>
          <w:color w:val="000000"/>
          <w:kern w:val="0"/>
          <w:sz w:val="17"/>
          <w:szCs w:val="17"/>
          <w:lang w:val="en-US" w:eastAsia="zh-CN" w:bidi="ar"/>
        </w:rPr>
        <w:t>,</w:t>
      </w:r>
      <w:r>
        <w:rPr>
          <w:rFonts w:hint="default" w:ascii="LinLibertineI" w:hAnsi="LinLibertineI" w:eastAsia="LinLibertineI" w:cs="LinLibertineI"/>
          <w:i/>
          <w:iCs/>
          <w:color w:val="000000"/>
          <w:kern w:val="0"/>
          <w:sz w:val="17"/>
          <w:szCs w:val="17"/>
          <w:lang w:val="en-US" w:eastAsia="zh-CN" w:bidi="ar"/>
        </w:rPr>
        <w:t>s</w:t>
      </w:r>
      <w:r>
        <w:rPr>
          <w:rFonts w:hint="default" w:ascii="LinLibertineT" w:hAnsi="LinLibertineT" w:eastAsia="LinLibertineT" w:cs="LinLibertineT"/>
          <w:color w:val="000000"/>
          <w:kern w:val="0"/>
          <w:sz w:val="14"/>
          <w:szCs w:val="14"/>
          <w:lang w:val="en-US" w:eastAsia="zh-CN" w:bidi="ar"/>
        </w:rPr>
        <w:t>1</w:t>
      </w:r>
      <w:r>
        <w:rPr>
          <w:rFonts w:hint="default" w:ascii="rtxmi" w:hAnsi="rtxmi" w:eastAsia="rtxmi" w:cs="rtxmi"/>
          <w:color w:val="000000"/>
          <w:kern w:val="0"/>
          <w:sz w:val="17"/>
          <w:szCs w:val="17"/>
          <w:lang w:val="en-US" w:eastAsia="zh-CN" w:bidi="ar"/>
        </w:rPr>
        <w:t>,</w:t>
      </w:r>
      <w:r>
        <w:rPr>
          <w:rFonts w:hint="default" w:ascii="LinLibertineI" w:hAnsi="LinLibertineI" w:eastAsia="LinLibertineI" w:cs="LinLibertineI"/>
          <w:i/>
          <w:iCs/>
          <w:color w:val="000000"/>
          <w:kern w:val="0"/>
          <w:sz w:val="17"/>
          <w:szCs w:val="17"/>
          <w:lang w:val="en-US" w:eastAsia="zh-CN" w:bidi="ar"/>
        </w:rPr>
        <w:t>c</w:t>
      </w:r>
      <w:r>
        <w:rPr>
          <w:rFonts w:hint="default" w:ascii="LinLibertineT" w:hAnsi="LinLibertineT" w:eastAsia="LinLibertineT" w:cs="LinLibertineT"/>
          <w:color w:val="000000"/>
          <w:kern w:val="0"/>
          <w:sz w:val="14"/>
          <w:szCs w:val="14"/>
          <w:lang w:val="en-US" w:eastAsia="zh-CN" w:bidi="ar"/>
        </w:rPr>
        <w:t>1</w:t>
      </w:r>
      <w:r>
        <w:rPr>
          <w:rFonts w:hint="default" w:ascii="txsys" w:hAnsi="txsys" w:eastAsia="txsys" w:cs="txsys"/>
          <w:color w:val="000000"/>
          <w:kern w:val="0"/>
          <w:sz w:val="17"/>
          <w:szCs w:val="17"/>
          <w:lang w:val="en-US" w:eastAsia="zh-CN" w:bidi="ar"/>
        </w:rPr>
        <w:t>)</w:t>
      </w:r>
      <w:r>
        <w:rPr>
          <w:rFonts w:hint="default" w:ascii="rtxmi" w:hAnsi="rtxmi" w:eastAsia="rtxmi" w:cs="rtxmi"/>
          <w:color w:val="000000"/>
          <w:kern w:val="0"/>
          <w:sz w:val="17"/>
          <w:szCs w:val="17"/>
          <w:lang w:val="en-US" w:eastAsia="zh-CN" w:bidi="ar"/>
        </w:rPr>
        <w:t xml:space="preserve">, </w:t>
      </w:r>
      <w:r>
        <w:rPr>
          <w:rFonts w:hint="default" w:ascii="txsys" w:hAnsi="txsys" w:eastAsia="txsys" w:cs="txsys"/>
          <w:color w:val="000000"/>
          <w:kern w:val="0"/>
          <w:sz w:val="17"/>
          <w:szCs w:val="17"/>
          <w:lang w:val="en-US" w:eastAsia="zh-CN" w:bidi="ar"/>
        </w:rPr>
        <w:t>(</w:t>
      </w:r>
      <w:r>
        <w:rPr>
          <w:rFonts w:hint="default" w:ascii="LinLibertineI" w:hAnsi="LinLibertineI" w:eastAsia="LinLibertineI" w:cs="LinLibertineI"/>
          <w:i/>
          <w:iCs/>
          <w:color w:val="000000"/>
          <w:kern w:val="0"/>
          <w:sz w:val="17"/>
          <w:szCs w:val="17"/>
          <w:lang w:val="en-US" w:eastAsia="zh-CN" w:bidi="ar"/>
        </w:rPr>
        <w:t>q</w:t>
      </w:r>
      <w:r>
        <w:rPr>
          <w:rFonts w:hint="default" w:ascii="LinLibertineT" w:hAnsi="LinLibertineT" w:eastAsia="LinLibertineT" w:cs="LinLibertineT"/>
          <w:color w:val="000000"/>
          <w:kern w:val="0"/>
          <w:sz w:val="14"/>
          <w:szCs w:val="14"/>
          <w:lang w:val="en-US" w:eastAsia="zh-CN" w:bidi="ar"/>
        </w:rPr>
        <w:t>2</w:t>
      </w:r>
      <w:r>
        <w:rPr>
          <w:rFonts w:hint="default" w:ascii="rtxmi" w:hAnsi="rtxmi" w:eastAsia="rtxmi" w:cs="rtxmi"/>
          <w:color w:val="000000"/>
          <w:kern w:val="0"/>
          <w:sz w:val="17"/>
          <w:szCs w:val="17"/>
          <w:lang w:val="en-US" w:eastAsia="zh-CN" w:bidi="ar"/>
        </w:rPr>
        <w:t>,</w:t>
      </w:r>
      <w:r>
        <w:rPr>
          <w:rFonts w:hint="default" w:ascii="LinLibertineI" w:hAnsi="LinLibertineI" w:eastAsia="LinLibertineI" w:cs="LinLibertineI"/>
          <w:i/>
          <w:iCs/>
          <w:color w:val="000000"/>
          <w:kern w:val="0"/>
          <w:sz w:val="17"/>
          <w:szCs w:val="17"/>
          <w:lang w:val="en-US" w:eastAsia="zh-CN" w:bidi="ar"/>
        </w:rPr>
        <w:t>s</w:t>
      </w:r>
      <w:r>
        <w:rPr>
          <w:rFonts w:hint="default" w:ascii="LinLibertineT" w:hAnsi="LinLibertineT" w:eastAsia="LinLibertineT" w:cs="LinLibertineT"/>
          <w:color w:val="000000"/>
          <w:kern w:val="0"/>
          <w:sz w:val="14"/>
          <w:szCs w:val="14"/>
          <w:lang w:val="en-US" w:eastAsia="zh-CN" w:bidi="ar"/>
        </w:rPr>
        <w:t>2</w:t>
      </w:r>
      <w:r>
        <w:rPr>
          <w:rFonts w:hint="default" w:ascii="rtxmi" w:hAnsi="rtxmi" w:eastAsia="rtxmi" w:cs="rtxmi"/>
          <w:color w:val="000000"/>
          <w:kern w:val="0"/>
          <w:sz w:val="17"/>
          <w:szCs w:val="17"/>
          <w:lang w:val="en-US" w:eastAsia="zh-CN" w:bidi="ar"/>
        </w:rPr>
        <w:t>,</w:t>
      </w:r>
      <w:r>
        <w:rPr>
          <w:rFonts w:hint="default" w:ascii="LinLibertineI" w:hAnsi="LinLibertineI" w:eastAsia="LinLibertineI" w:cs="LinLibertineI"/>
          <w:i/>
          <w:iCs/>
          <w:color w:val="000000"/>
          <w:kern w:val="0"/>
          <w:sz w:val="17"/>
          <w:szCs w:val="17"/>
          <w:lang w:val="en-US" w:eastAsia="zh-CN" w:bidi="ar"/>
        </w:rPr>
        <w:t>c</w:t>
      </w:r>
      <w:r>
        <w:rPr>
          <w:rFonts w:hint="default" w:ascii="LinLibertineT" w:hAnsi="LinLibertineT" w:eastAsia="LinLibertineT" w:cs="LinLibertineT"/>
          <w:color w:val="000000"/>
          <w:kern w:val="0"/>
          <w:sz w:val="14"/>
          <w:szCs w:val="14"/>
          <w:lang w:val="en-US" w:eastAsia="zh-CN" w:bidi="ar"/>
        </w:rPr>
        <w:t>2</w:t>
      </w:r>
      <w:r>
        <w:rPr>
          <w:rFonts w:hint="default" w:ascii="txsys" w:hAnsi="txsys" w:eastAsia="txsys" w:cs="txsys"/>
          <w:color w:val="000000"/>
          <w:kern w:val="0"/>
          <w:sz w:val="17"/>
          <w:szCs w:val="17"/>
          <w:lang w:val="en-US" w:eastAsia="zh-CN" w:bidi="ar"/>
        </w:rPr>
        <w:t>) · · · (</w:t>
      </w:r>
      <w:r>
        <w:rPr>
          <w:rFonts w:hint="default" w:ascii="LinLibertineI" w:hAnsi="LinLibertineI" w:eastAsia="LinLibertineI" w:cs="LinLibertineI"/>
          <w:i/>
          <w:iCs/>
          <w:color w:val="000000"/>
          <w:kern w:val="0"/>
          <w:sz w:val="17"/>
          <w:szCs w:val="17"/>
          <w:lang w:val="en-US" w:eastAsia="zh-CN" w:bidi="ar"/>
        </w:rPr>
        <w:t>q</w:t>
      </w:r>
      <w:r>
        <w:rPr>
          <w:rFonts w:ascii="LinLibertineI7" w:hAnsi="LinLibertineI7" w:eastAsia="LinLibertineI7" w:cs="LinLibertineI7"/>
          <w:i/>
          <w:iCs/>
          <w:color w:val="000000"/>
          <w:kern w:val="0"/>
          <w:sz w:val="14"/>
          <w:szCs w:val="14"/>
          <w:lang w:val="en-US" w:eastAsia="zh-CN" w:bidi="ar"/>
        </w:rPr>
        <w:t xml:space="preserve">M </w:t>
      </w:r>
      <w:r>
        <w:rPr>
          <w:rFonts w:hint="default" w:ascii="rtxmi" w:hAnsi="rtxmi" w:eastAsia="rtxmi" w:cs="rtxmi"/>
          <w:color w:val="000000"/>
          <w:kern w:val="0"/>
          <w:sz w:val="17"/>
          <w:szCs w:val="17"/>
          <w:lang w:val="en-US" w:eastAsia="zh-CN" w:bidi="ar"/>
        </w:rPr>
        <w:t>,</w:t>
      </w:r>
      <w:r>
        <w:rPr>
          <w:rFonts w:hint="default" w:ascii="LinLibertineI" w:hAnsi="LinLibertineI" w:eastAsia="LinLibertineI" w:cs="LinLibertineI"/>
          <w:i/>
          <w:iCs/>
          <w:color w:val="000000"/>
          <w:kern w:val="0"/>
          <w:sz w:val="17"/>
          <w:szCs w:val="17"/>
          <w:lang w:val="en-US" w:eastAsia="zh-CN" w:bidi="ar"/>
        </w:rPr>
        <w:t>s</w:t>
      </w:r>
      <w:r>
        <w:rPr>
          <w:rFonts w:hint="default" w:ascii="LinLibertineI7" w:hAnsi="LinLibertineI7" w:eastAsia="LinLibertineI7" w:cs="LinLibertineI7"/>
          <w:i/>
          <w:iCs/>
          <w:color w:val="000000"/>
          <w:kern w:val="0"/>
          <w:sz w:val="14"/>
          <w:szCs w:val="14"/>
          <w:lang w:val="en-US" w:eastAsia="zh-CN" w:bidi="ar"/>
        </w:rPr>
        <w:t xml:space="preserve">M </w:t>
      </w:r>
      <w:r>
        <w:rPr>
          <w:rFonts w:hint="default" w:ascii="rtxmi" w:hAnsi="rtxmi" w:eastAsia="rtxmi" w:cs="rtxmi"/>
          <w:color w:val="000000"/>
          <w:kern w:val="0"/>
          <w:sz w:val="17"/>
          <w:szCs w:val="17"/>
          <w:lang w:val="en-US" w:eastAsia="zh-CN" w:bidi="ar"/>
        </w:rPr>
        <w:t>,</w:t>
      </w:r>
      <w:r>
        <w:rPr>
          <w:rFonts w:hint="default" w:ascii="LinLibertineI" w:hAnsi="LinLibertineI" w:eastAsia="LinLibertineI" w:cs="LinLibertineI"/>
          <w:i/>
          <w:iCs/>
          <w:color w:val="000000"/>
          <w:kern w:val="0"/>
          <w:sz w:val="17"/>
          <w:szCs w:val="17"/>
          <w:lang w:val="en-US" w:eastAsia="zh-CN" w:bidi="ar"/>
        </w:rPr>
        <w:t>c</w:t>
      </w:r>
      <w:r>
        <w:rPr>
          <w:rFonts w:hint="default" w:ascii="LinLibertineI7" w:hAnsi="LinLibertineI7" w:eastAsia="LinLibertineI7" w:cs="LinLibertineI7"/>
          <w:i/>
          <w:iCs/>
          <w:color w:val="000000"/>
          <w:kern w:val="0"/>
          <w:sz w:val="14"/>
          <w:szCs w:val="14"/>
          <w:lang w:val="en-US" w:eastAsia="zh-CN" w:bidi="ar"/>
        </w:rPr>
        <w:t xml:space="preserve">M </w:t>
      </w:r>
      <w:r>
        <w:rPr>
          <w:rFonts w:hint="default" w:ascii="txsys" w:hAnsi="txsys" w:eastAsia="txsys" w:cs="txsys"/>
          <w:color w:val="000000"/>
          <w:kern w:val="0"/>
          <w:sz w:val="17"/>
          <w:szCs w:val="17"/>
          <w:lang w:val="en-US" w:eastAsia="zh-CN" w:bidi="ar"/>
        </w:rPr>
        <w:t>)}</w:t>
      </w:r>
      <w:r>
        <w:rPr>
          <w:rFonts w:hint="eastAsia" w:ascii="txsys" w:hAnsi="txsys" w:eastAsia="txsys" w:cs="txsys"/>
          <w:color w:val="000000"/>
          <w:kern w:val="0"/>
          <w:sz w:val="17"/>
          <w:szCs w:val="17"/>
          <w:lang w:val="en-US" w:eastAsia="zh-CN" w:bidi="ar"/>
        </w:rPr>
        <w:t xml:space="preserve">， </w:t>
      </w:r>
      <w:r>
        <w:rPr>
          <w:rFonts w:ascii="LinLibertineI" w:hAnsi="LinLibertineI" w:eastAsia="LinLibertineI" w:cs="LinLibertineI"/>
          <w:i/>
          <w:iCs/>
          <w:color w:val="000000"/>
          <w:kern w:val="0"/>
          <w:sz w:val="17"/>
          <w:szCs w:val="17"/>
          <w:lang w:val="en-US" w:eastAsia="zh-CN" w:bidi="ar"/>
        </w:rPr>
        <w:t>q</w:t>
      </w:r>
      <w:r>
        <w:rPr>
          <w:rFonts w:ascii="LinLibertineI7" w:hAnsi="LinLibertineI7" w:eastAsia="LinLibertineI7" w:cs="LinLibertineI7"/>
          <w:i/>
          <w:iCs/>
          <w:color w:val="000000"/>
          <w:kern w:val="0"/>
          <w:sz w:val="14"/>
          <w:szCs w:val="14"/>
          <w:lang w:val="en-US" w:eastAsia="zh-CN" w:bidi="ar"/>
        </w:rPr>
        <w:t xml:space="preserve">i </w:t>
      </w:r>
      <w:r>
        <w:rPr>
          <w:rFonts w:hint="eastAsia"/>
          <w:lang w:val="en-US" w:eastAsia="zh-CN"/>
        </w:rPr>
        <w:t>和</w:t>
      </w:r>
      <w:r>
        <w:rPr>
          <w:rFonts w:hint="default" w:ascii="LinLibertineI" w:hAnsi="LinLibertineI" w:eastAsia="LinLibertineI" w:cs="LinLibertineI"/>
          <w:i/>
          <w:iCs/>
          <w:color w:val="000000"/>
          <w:kern w:val="0"/>
          <w:sz w:val="17"/>
          <w:szCs w:val="17"/>
          <w:lang w:val="en-US" w:eastAsia="zh-CN" w:bidi="ar"/>
        </w:rPr>
        <w:t>s</w:t>
      </w:r>
      <w:r>
        <w:rPr>
          <w:rFonts w:hint="default" w:ascii="LinLibertineI7" w:hAnsi="LinLibertineI7" w:eastAsia="LinLibertineI7" w:cs="LinLibertineI7"/>
          <w:i/>
          <w:iCs/>
          <w:color w:val="000000"/>
          <w:kern w:val="0"/>
          <w:sz w:val="14"/>
          <w:szCs w:val="14"/>
          <w:lang w:val="en-US" w:eastAsia="zh-CN" w:bidi="ar"/>
        </w:rPr>
        <w:t>i</w:t>
      </w:r>
      <w:r>
        <w:rPr>
          <w:rFonts w:hint="eastAsia"/>
          <w:lang w:val="en-US" w:eastAsia="zh-CN"/>
        </w:rPr>
        <w:t>是谓词的连词，</w:t>
      </w:r>
      <w:r>
        <w:rPr>
          <w:rFonts w:ascii="LinLibertineI" w:hAnsi="LinLibertineI" w:eastAsia="LinLibertineI" w:cs="LinLibertineI"/>
          <w:i/>
          <w:iCs/>
          <w:color w:val="000000"/>
          <w:kern w:val="0"/>
          <w:sz w:val="17"/>
          <w:szCs w:val="17"/>
          <w:lang w:val="en-US" w:eastAsia="zh-CN" w:bidi="ar"/>
        </w:rPr>
        <w:t>q</w:t>
      </w:r>
      <w:r>
        <w:rPr>
          <w:rFonts w:ascii="LinLibertineI7" w:hAnsi="LinLibertineI7" w:eastAsia="LinLibertineI7" w:cs="LinLibertineI7"/>
          <w:i/>
          <w:iCs/>
          <w:color w:val="000000"/>
          <w:kern w:val="0"/>
          <w:sz w:val="14"/>
          <w:szCs w:val="14"/>
          <w:lang w:val="en-US" w:eastAsia="zh-CN" w:bidi="ar"/>
        </w:rPr>
        <w:t xml:space="preserve">i </w:t>
      </w:r>
      <w:r>
        <w:rPr>
          <w:rFonts w:hint="eastAsia"/>
          <w:lang w:val="en-US" w:eastAsia="zh-CN"/>
        </w:rPr>
        <w:t>是用户感兴趣的子空间</w:t>
      </w:r>
      <w:r>
        <w:rPr>
          <w:rFonts w:hint="eastAsia" w:ascii="LinLibertineI7" w:hAnsi="LinLibertineI7" w:eastAsia="LinLibertineI7" w:cs="LinLibertineI7"/>
          <w:i/>
          <w:iCs/>
          <w:color w:val="000000"/>
          <w:kern w:val="0"/>
          <w:sz w:val="14"/>
          <w:szCs w:val="14"/>
          <w:lang w:val="en-US" w:eastAsia="zh-CN" w:bidi="ar"/>
        </w:rPr>
        <w:t>，</w:t>
      </w:r>
      <w:r>
        <w:rPr>
          <w:rFonts w:hint="default" w:ascii="LinLibertineI" w:hAnsi="LinLibertineI" w:eastAsia="LinLibertineI" w:cs="LinLibertineI"/>
          <w:i/>
          <w:iCs/>
          <w:color w:val="000000"/>
          <w:kern w:val="0"/>
          <w:sz w:val="17"/>
          <w:szCs w:val="17"/>
          <w:lang w:val="en-US" w:eastAsia="zh-CN" w:bidi="ar"/>
        </w:rPr>
        <w:t>s</w:t>
      </w:r>
      <w:r>
        <w:rPr>
          <w:rFonts w:hint="default" w:ascii="LinLibertineI7" w:hAnsi="LinLibertineI7" w:eastAsia="LinLibertineI7" w:cs="LinLibertineI7"/>
          <w:i/>
          <w:iCs/>
          <w:color w:val="000000"/>
          <w:kern w:val="0"/>
          <w:sz w:val="14"/>
          <w:szCs w:val="14"/>
          <w:lang w:val="en-US" w:eastAsia="zh-CN" w:bidi="ar"/>
        </w:rPr>
        <w:t>i</w:t>
      </w:r>
      <w:r>
        <w:rPr>
          <w:rFonts w:hint="eastAsia"/>
          <w:lang w:val="en-US" w:eastAsia="zh-CN"/>
        </w:rPr>
        <w:t>是内部决策的规则，</w:t>
      </w:r>
      <w:r>
        <w:rPr>
          <w:rFonts w:hint="default" w:ascii="LinLibertineI" w:hAnsi="LinLibertineI" w:eastAsia="LinLibertineI" w:cs="LinLibertineI"/>
          <w:i/>
          <w:iCs/>
          <w:color w:val="000000"/>
          <w:kern w:val="0"/>
          <w:sz w:val="17"/>
          <w:szCs w:val="17"/>
          <w:lang w:val="en-US" w:eastAsia="zh-CN" w:bidi="ar"/>
        </w:rPr>
        <w:t>c</w:t>
      </w:r>
      <w:r>
        <w:rPr>
          <w:rFonts w:hint="eastAsia" w:ascii="LinLibertineI" w:hAnsi="LinLibertineI" w:eastAsia="LinLibertineI" w:cs="LinLibertineI"/>
          <w:i/>
          <w:iCs/>
          <w:color w:val="000000"/>
          <w:kern w:val="0"/>
          <w:sz w:val="17"/>
          <w:szCs w:val="17"/>
          <w:lang w:val="en-US" w:eastAsia="zh-CN" w:bidi="ar"/>
        </w:rPr>
        <w:t>i</w:t>
      </w:r>
      <w:r>
        <w:rPr>
          <w:rFonts w:hint="eastAsia"/>
          <w:lang w:val="en-US" w:eastAsia="zh-CN"/>
        </w:rPr>
        <w:t>是对应的分类</w:t>
      </w:r>
      <w:r>
        <w:rPr>
          <w:rFonts w:hint="eastAsia"/>
          <w:lang w:val="en-US" w:eastAsia="zh-CN"/>
        </w:rPr>
        <w:t>。根据定义的保真度，不模糊性和可解释性的指标，转换为优化问题，求解最优的</w:t>
      </w:r>
      <w:r>
        <w:rPr>
          <w:rFonts w:ascii="LinLibertineI" w:hAnsi="LinLibertineI" w:eastAsia="LinLibertineI" w:cs="LinLibertineI"/>
          <w:i/>
          <w:iCs/>
          <w:color w:val="000000"/>
          <w:kern w:val="0"/>
          <w:sz w:val="17"/>
          <w:szCs w:val="17"/>
          <w:lang w:val="en-US" w:eastAsia="zh-CN" w:bidi="ar"/>
        </w:rPr>
        <w:t>q</w:t>
      </w:r>
      <w:r>
        <w:rPr>
          <w:rFonts w:ascii="LinLibertineI7" w:hAnsi="LinLibertineI7" w:eastAsia="LinLibertineI7" w:cs="LinLibertineI7"/>
          <w:i/>
          <w:iCs/>
          <w:color w:val="000000"/>
          <w:kern w:val="0"/>
          <w:sz w:val="14"/>
          <w:szCs w:val="14"/>
          <w:lang w:val="en-US" w:eastAsia="zh-CN" w:bidi="ar"/>
        </w:rPr>
        <w:t xml:space="preserve">i </w:t>
      </w:r>
      <w:r>
        <w:rPr>
          <w:rFonts w:hint="eastAsia"/>
          <w:lang w:val="en-US" w:eastAsia="zh-CN"/>
        </w:rPr>
        <w:t>和</w:t>
      </w:r>
      <w:r>
        <w:rPr>
          <w:rFonts w:hint="default" w:ascii="LinLibertineI" w:hAnsi="LinLibertineI" w:eastAsia="LinLibertineI" w:cs="LinLibertineI"/>
          <w:i/>
          <w:iCs/>
          <w:color w:val="000000"/>
          <w:kern w:val="0"/>
          <w:sz w:val="17"/>
          <w:szCs w:val="17"/>
          <w:lang w:val="en-US" w:eastAsia="zh-CN" w:bidi="ar"/>
        </w:rPr>
        <w:t>s</w:t>
      </w:r>
      <w:r>
        <w:rPr>
          <w:rFonts w:hint="default" w:ascii="LinLibertineI7" w:hAnsi="LinLibertineI7" w:eastAsia="LinLibertineI7" w:cs="LinLibertineI7"/>
          <w:i/>
          <w:iCs/>
          <w:color w:val="000000"/>
          <w:kern w:val="0"/>
          <w:sz w:val="14"/>
          <w:szCs w:val="14"/>
          <w:lang w:val="en-US" w:eastAsia="zh-CN" w:bidi="ar"/>
        </w:rPr>
        <w:t>i</w:t>
      </w:r>
      <w:r>
        <w:rPr>
          <w:rFonts w:hint="eastAsia"/>
          <w:lang w:val="en-US" w:eastAsia="zh-CN"/>
        </w:rPr>
        <w:t>。</w:t>
      </w:r>
    </w:p>
    <w:p>
      <w:pPr>
        <w:widowControl w:val="0"/>
        <w:numPr>
          <w:numId w:val="0"/>
        </w:numPr>
        <w:tabs>
          <w:tab w:val="left" w:pos="420"/>
        </w:tabs>
        <w:jc w:val="both"/>
      </w:pPr>
    </w:p>
    <w:p>
      <w:pPr>
        <w:rPr>
          <w:rFonts w:hint="eastAsia"/>
          <w:lang w:val="en-US" w:eastAsia="zh-CN"/>
        </w:rPr>
      </w:pPr>
    </w:p>
    <w:p>
      <w:pPr>
        <w:pStyle w:val="2"/>
        <w:rPr>
          <w:b w:val="0"/>
          <w:bCs w:val="0"/>
        </w:rPr>
      </w:pPr>
      <w:r>
        <w:rPr>
          <w:rFonts w:hint="eastAsia"/>
        </w:rPr>
        <w:t xml:space="preserve">What are the technical </w:t>
      </w:r>
      <w:r>
        <w:t>challenges</w:t>
      </w:r>
      <w:r>
        <w:rPr>
          <w:rFonts w:hint="eastAsia"/>
        </w:rPr>
        <w:t xml:space="preserve"> with this approach?</w:t>
      </w:r>
    </w:p>
    <w:p>
      <w:pPr>
        <w:numPr>
          <w:ilvl w:val="0"/>
          <w:numId w:val="5"/>
        </w:numPr>
      </w:pPr>
      <w:r>
        <w:rPr>
          <w:rFonts w:hint="eastAsia"/>
        </w:rPr>
        <w:t>如何</w:t>
      </w:r>
      <w:r>
        <w:rPr>
          <w:rFonts w:hint="eastAsia"/>
          <w:lang w:val="en-US" w:eastAsia="zh-CN"/>
        </w:rPr>
        <w:t>定义保真度，不模糊性和可解释性的指标</w:t>
      </w:r>
      <w:r>
        <w:rPr>
          <w:rFonts w:hint="eastAsia"/>
        </w:rPr>
        <w:t>？</w:t>
      </w:r>
    </w:p>
    <w:p>
      <w:pPr>
        <w:numPr>
          <w:ilvl w:val="0"/>
          <w:numId w:val="5"/>
        </w:numPr>
      </w:pPr>
      <w:r>
        <w:rPr>
          <w:rFonts w:hint="eastAsia"/>
        </w:rPr>
        <w:t>如何</w:t>
      </w:r>
      <w:r>
        <w:rPr>
          <w:rFonts w:hint="eastAsia"/>
          <w:lang w:val="en-US" w:eastAsia="zh-CN"/>
        </w:rPr>
        <w:t>求解该优化问题？</w:t>
      </w:r>
    </w:p>
    <w:p/>
    <w:p>
      <w:pPr>
        <w:pStyle w:val="2"/>
      </w:pPr>
      <w:r>
        <w:rPr>
          <w:rFonts w:hint="eastAsia"/>
        </w:rPr>
        <w:t>Possible methods</w:t>
      </w:r>
      <w:r>
        <w:t xml:space="preserve"> </w:t>
      </w:r>
      <w:r>
        <w:rPr>
          <w:rFonts w:hint="eastAsia"/>
        </w:rPr>
        <w:t>for this challenges</w:t>
      </w:r>
    </w:p>
    <w:p>
      <w:pPr>
        <w:numPr>
          <w:ilvl w:val="0"/>
          <w:numId w:val="5"/>
        </w:numPr>
      </w:pPr>
      <w:r>
        <w:rPr>
          <w:rFonts w:hint="eastAsia"/>
          <w:lang w:val="en-US" w:eastAsia="zh-CN"/>
        </w:rPr>
        <w:t>使用两层决策集的方式，来解释黑盒模型。外层决策集可用于自定义用户感兴趣的空间，内层决策集表示内部决策的规则。如下图10所示。定义具体保真度，不模糊性和可解释性的指标。</w:t>
      </w:r>
    </w:p>
    <w:p>
      <w:pPr>
        <w:widowControl w:val="0"/>
        <w:numPr>
          <w:numId w:val="0"/>
        </w:numPr>
        <w:tabs>
          <w:tab w:val="left" w:pos="420"/>
        </w:tabs>
        <w:jc w:val="center"/>
      </w:pPr>
      <w:r>
        <w:drawing>
          <wp:inline distT="0" distB="0" distL="114300" distR="114300">
            <wp:extent cx="3788410" cy="1511935"/>
            <wp:effectExtent l="0" t="0" r="2540" b="1206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3"/>
                    <a:stretch>
                      <a:fillRect/>
                    </a:stretch>
                  </pic:blipFill>
                  <pic:spPr>
                    <a:xfrm>
                      <a:off x="0" y="0"/>
                      <a:ext cx="3788410" cy="1511935"/>
                    </a:xfrm>
                    <a:prstGeom prst="rect">
                      <a:avLst/>
                    </a:prstGeom>
                    <a:noFill/>
                    <a:ln>
                      <a:noFill/>
                    </a:ln>
                  </pic:spPr>
                </pic:pic>
              </a:graphicData>
            </a:graphic>
          </wp:inline>
        </w:drawing>
      </w:r>
    </w:p>
    <w:p>
      <w:pPr>
        <w:widowControl w:val="0"/>
        <w:numPr>
          <w:numId w:val="0"/>
        </w:numPr>
        <w:tabs>
          <w:tab w:val="left" w:pos="420"/>
        </w:tabs>
        <w:jc w:val="center"/>
        <w:rPr>
          <w:rFonts w:hint="eastAsia"/>
          <w:lang w:val="en-US" w:eastAsia="zh-CN"/>
        </w:rPr>
      </w:pPr>
      <w:r>
        <w:rPr>
          <w:rFonts w:hint="eastAsia"/>
          <w:lang w:val="en-US" w:eastAsia="zh-CN"/>
        </w:rPr>
        <w:t>图10 两层决策集表示法</w:t>
      </w:r>
    </w:p>
    <w:p>
      <w:pPr>
        <w:ind w:firstLine="420"/>
        <w:rPr>
          <w:rFonts w:hint="eastAsia"/>
          <w:lang w:val="en-US" w:eastAsia="zh-CN"/>
        </w:rPr>
      </w:pPr>
      <w:r>
        <w:rPr>
          <w:rFonts w:hint="eastAsia"/>
        </w:rPr>
        <w:t>本文</w:t>
      </w:r>
      <w:r>
        <w:t>提出了一个</w:t>
      </w:r>
      <w:r>
        <w:rPr>
          <w:rFonts w:hint="eastAsia"/>
          <w:lang w:val="en-US" w:eastAsia="zh-CN"/>
        </w:rPr>
        <w:t xml:space="preserve">能够根据用户感兴趣的子空间来给出相应解释的决策集解释模型。文中主要的创新点在于，使用两层决策集来解释原始模型的行为，定义了保真度，不模糊性和可解释性的指标，将其合并转换成一个优化问题，并进行总的优化，得到忠实且可定制化的解释模型。 </w:t>
      </w:r>
    </w:p>
    <w:p>
      <w:pPr>
        <w:ind w:firstLine="420"/>
        <w:rPr>
          <w:rFonts w:hint="eastAsia"/>
          <w:lang w:val="en-US" w:eastAsia="zh-CN"/>
        </w:rPr>
      </w:pPr>
      <w:r>
        <w:rPr>
          <w:rFonts w:hint="eastAsia"/>
          <w:lang w:val="en-US" w:eastAsia="zh-CN"/>
        </w:rPr>
        <w:t>本文对忠诚度（Fidelity）、不模糊性（Unambiguity）和可解释性（Interpretability）进行定量化的建模，如图11、12所示。第一个部分，忠诚度。它意味着得到的决策集应该和黑盒模型的预测尽可能相似。本文所采用的标准是决策集和黑盒模型之间预测的差值，希望这个值越小越好。那么第二个标准就是不模糊，无歧义性，其中就包含两个指标，第一个指标是 ruleoverlap，它的含义就是，规则重叠的部分，希望规则的重叠越少越好，代表着规则越清晰。第二个指标是cover，即每个规则下包含的数据，希望满足各个规则的数据越多越好。越多就代表着规则更具有概括性。最后一个标准就是可解释性size是决策集中三元组的数量，也就是有几条规则。可以把它理解为决策树的叶子节点的数量，maxwidth代表着q和s中最长的一条规则中有几个条件，此规则既包括用户感兴趣的子空间，也包括内部的决策规则。如果把内外ifthen理解成两颗决策树可以理解为两颗决策树的最大高度。numspreds指标代表着用户感兴趣的子空间，也包括内部的决策规则里面一共出现几种条件。numdsets 指标的含义是多个用户子空间中独特的条件的数量。此指标衡量的就是外部的子空间和内部的逻辑决策规则的条件的重叠数量，这个值应该重叠越小越好。</w:t>
      </w:r>
    </w:p>
    <w:p>
      <w:pPr>
        <w:jc w:val="center"/>
      </w:pPr>
      <w:r>
        <w:drawing>
          <wp:inline distT="0" distB="0" distL="114300" distR="114300">
            <wp:extent cx="1294130" cy="849630"/>
            <wp:effectExtent l="0" t="0" r="1270" b="762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4"/>
                    <a:stretch>
                      <a:fillRect/>
                    </a:stretch>
                  </pic:blipFill>
                  <pic:spPr>
                    <a:xfrm>
                      <a:off x="0" y="0"/>
                      <a:ext cx="1294130" cy="84963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图11 符号定义</w:t>
      </w:r>
    </w:p>
    <w:p>
      <w:pPr>
        <w:ind w:firstLine="420"/>
        <w:jc w:val="center"/>
      </w:pPr>
      <w:r>
        <w:drawing>
          <wp:inline distT="0" distB="0" distL="114300" distR="114300">
            <wp:extent cx="3666490" cy="2189480"/>
            <wp:effectExtent l="0" t="0" r="10160" b="127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5"/>
                    <a:stretch>
                      <a:fillRect/>
                    </a:stretch>
                  </pic:blipFill>
                  <pic:spPr>
                    <a:xfrm>
                      <a:off x="0" y="0"/>
                      <a:ext cx="3666490" cy="2189480"/>
                    </a:xfrm>
                    <a:prstGeom prst="rect">
                      <a:avLst/>
                    </a:prstGeom>
                  </pic:spPr>
                </pic:pic>
              </a:graphicData>
            </a:graphic>
          </wp:inline>
        </w:drawing>
      </w:r>
    </w:p>
    <w:p>
      <w:pPr>
        <w:ind w:firstLine="420"/>
        <w:jc w:val="center"/>
        <w:rPr>
          <w:rFonts w:hint="default" w:eastAsia="宋体"/>
          <w:lang w:val="en-US" w:eastAsia="zh-CN"/>
        </w:rPr>
      </w:pPr>
      <w:r>
        <w:rPr>
          <w:rFonts w:hint="eastAsia"/>
          <w:lang w:val="en-US" w:eastAsia="zh-CN"/>
        </w:rPr>
        <w:t>图12 忠诚度、不模糊性和可解释性的形式化定义</w:t>
      </w:r>
    </w:p>
    <w:p>
      <w:pPr>
        <w:ind w:firstLine="420" w:firstLineChars="0"/>
        <w:jc w:val="both"/>
        <w:rPr>
          <w:rFonts w:hint="eastAsia"/>
          <w:lang w:val="en-US" w:eastAsia="zh-CN"/>
        </w:rPr>
      </w:pPr>
      <w:r>
        <w:rPr>
          <w:rFonts w:hint="eastAsia"/>
          <w:lang w:val="en-US" w:eastAsia="zh-CN"/>
        </w:rPr>
        <w:t>根据上述形式化的定义后，整合所有的目标后，形成以下的优化目标：</w:t>
      </w:r>
    </w:p>
    <w:p>
      <w:pPr>
        <w:ind w:firstLine="420" w:firstLineChars="0"/>
        <w:jc w:val="center"/>
      </w:pPr>
      <w:r>
        <w:drawing>
          <wp:inline distT="0" distB="0" distL="114300" distR="114300">
            <wp:extent cx="3306445" cy="1712595"/>
            <wp:effectExtent l="0" t="0" r="8255" b="190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6"/>
                    <a:stretch>
                      <a:fillRect/>
                    </a:stretch>
                  </pic:blipFill>
                  <pic:spPr>
                    <a:xfrm>
                      <a:off x="0" y="0"/>
                      <a:ext cx="3306445" cy="1712595"/>
                    </a:xfrm>
                    <a:prstGeom prst="rect">
                      <a:avLst/>
                    </a:prstGeom>
                    <a:noFill/>
                    <a:ln>
                      <a:noFill/>
                    </a:ln>
                  </pic:spPr>
                </pic:pic>
              </a:graphicData>
            </a:graphic>
          </wp:inline>
        </w:drawing>
      </w:r>
    </w:p>
    <w:p>
      <w:pPr>
        <w:ind w:firstLine="420" w:firstLineChars="0"/>
        <w:jc w:val="center"/>
        <w:rPr>
          <w:rFonts w:hint="default" w:eastAsia="宋体"/>
          <w:lang w:val="en-US" w:eastAsia="zh-CN"/>
        </w:rPr>
      </w:pPr>
      <w:r>
        <w:rPr>
          <w:rFonts w:hint="eastAsia"/>
          <w:lang w:val="en-US" w:eastAsia="zh-CN"/>
        </w:rPr>
        <w:t>图13 优化函数</w:t>
      </w:r>
    </w:p>
    <w:p>
      <w:pPr>
        <w:ind w:firstLine="420" w:firstLineChars="0"/>
        <w:jc w:val="left"/>
        <w:rPr>
          <w:rFonts w:hint="default"/>
          <w:lang w:val="en-US" w:eastAsia="zh-CN"/>
        </w:rPr>
      </w:pPr>
      <w:r>
        <w:rPr>
          <w:rFonts w:hint="eastAsia"/>
          <w:lang w:val="en-US" w:eastAsia="zh-CN"/>
        </w:rPr>
        <w:t>式中的ND、DL分别代表用户子空间和内部决策规则的条件的候选集合。在实践过程中，DL默认是由apriori算法挖掘得到的，而ND是通过用户的输入得到的，比如age&gt;50和性别为女，因此完成了用户定制的需求。最终的优化函数选用了上述介绍的目标的加权和，权值是超参数需要自己来定，一部分指标作为人工设定的超参，使得解释模型忠实，不模糊和可解释。为了便于优化，对于所有越小越好的指标，都采用负数加最大值的方式，使得最终的目标函数是非负的，并且越大越好。该问题的优化算法直接采用近似局部搜索的优化方式求解最终的结果。</w:t>
      </w:r>
    </w:p>
    <w:p>
      <w:pPr>
        <w:ind w:firstLine="420" w:firstLineChars="0"/>
        <w:jc w:val="left"/>
        <w:rPr>
          <w:rFonts w:hint="default" w:eastAsia="宋体"/>
          <w:lang w:val="en-US" w:eastAsia="zh-CN"/>
        </w:rPr>
      </w:pPr>
    </w:p>
    <w:p>
      <w:pPr>
        <w:rPr>
          <w:b/>
          <w:bCs/>
        </w:rPr>
      </w:pPr>
      <w:r>
        <w:rPr>
          <w:rFonts w:hint="eastAsia"/>
          <w:b/>
          <w:bCs/>
        </w:rPr>
        <w:t>Experiments and Datasets</w:t>
      </w:r>
    </w:p>
    <w:p>
      <w:pPr>
        <w:numPr>
          <w:ilvl w:val="0"/>
          <w:numId w:val="9"/>
        </w:numPr>
        <w:rPr>
          <w:b/>
          <w:bCs/>
        </w:rPr>
      </w:pPr>
      <w:r>
        <w:rPr>
          <w:rFonts w:hint="eastAsia"/>
        </w:rPr>
        <w:t>数据集</w:t>
      </w:r>
    </w:p>
    <w:p>
      <w:pPr>
        <w:ind w:left="420" w:firstLine="420"/>
        <w:rPr>
          <w:rFonts w:hint="default" w:eastAsia="宋体"/>
          <w:lang w:val="en-US" w:eastAsia="zh-CN"/>
        </w:rPr>
      </w:pPr>
      <w:r>
        <w:rPr>
          <w:rFonts w:hint="eastAsia"/>
        </w:rPr>
        <w:t xml:space="preserve">论文采用depression diagnosis 抑郁症数据集， </w:t>
      </w:r>
      <w:r>
        <w:rPr>
          <w:rFonts w:hint="eastAsia"/>
          <w:lang w:val="en-US" w:eastAsia="zh-CN"/>
        </w:rPr>
        <w:t>包括</w:t>
      </w:r>
      <w:r>
        <w:rPr>
          <w:rFonts w:hint="eastAsia"/>
        </w:rPr>
        <w:t>病史、症状、人口信息/ 是否健康</w:t>
      </w:r>
      <w:r>
        <w:rPr>
          <w:rFonts w:hint="eastAsia"/>
          <w:lang w:val="en-US" w:eastAsia="zh-CN"/>
        </w:rPr>
        <w:t>的数据</w:t>
      </w:r>
    </w:p>
    <w:p>
      <w:pPr>
        <w:rPr>
          <w:rFonts w:hint="eastAsia"/>
        </w:rPr>
      </w:pPr>
    </w:p>
    <w:p>
      <w:pPr>
        <w:numPr>
          <w:ilvl w:val="0"/>
          <w:numId w:val="9"/>
        </w:numPr>
        <w:rPr>
          <w:b/>
          <w:bCs/>
        </w:rPr>
      </w:pPr>
      <w:r>
        <w:rPr>
          <w:rFonts w:hint="eastAsia"/>
        </w:rPr>
        <w:t>对比方法</w:t>
      </w:r>
    </w:p>
    <w:p>
      <w:pPr>
        <w:ind w:left="840"/>
        <w:rPr>
          <w:rFonts w:hint="eastAsia"/>
        </w:rPr>
      </w:pPr>
      <w:r>
        <w:rPr>
          <w:rFonts w:hint="eastAsia"/>
        </w:rPr>
        <w:t>LIME-DS（变种：每一个局部模型都是一个决策集）</w:t>
      </w:r>
    </w:p>
    <w:p>
      <w:pPr>
        <w:ind w:left="840"/>
        <w:rPr>
          <w:rFonts w:hint="eastAsia"/>
        </w:rPr>
      </w:pPr>
      <w:r>
        <w:rPr>
          <w:rFonts w:hint="eastAsia"/>
        </w:rPr>
        <w:t>IDS（Interpretable Decision Sets）、BDL （Bayesian Decision Lists</w:t>
      </w:r>
      <w:r>
        <w:rPr>
          <w:rFonts w:hint="eastAsia"/>
          <w:lang w:val="en-US" w:eastAsia="zh-CN"/>
        </w:rPr>
        <w:t>)</w:t>
      </w:r>
      <w:r>
        <w:rPr>
          <w:rFonts w:hint="eastAsia"/>
        </w:rPr>
        <w:t>。</w:t>
      </w:r>
    </w:p>
    <w:p>
      <w:pPr>
        <w:rPr>
          <w:rFonts w:hint="eastAsia"/>
        </w:rPr>
      </w:pPr>
    </w:p>
    <w:p>
      <w:pPr>
        <w:numPr>
          <w:ilvl w:val="1"/>
          <w:numId w:val="7"/>
        </w:numPr>
      </w:pPr>
      <w:r>
        <w:rPr>
          <w:rFonts w:hint="eastAsia"/>
          <w:lang w:val="en-US" w:eastAsia="zh-CN"/>
        </w:rPr>
        <w:t>比较忠诚度和可解释性</w:t>
      </w:r>
    </w:p>
    <w:p>
      <w:pPr>
        <w:jc w:val="center"/>
      </w:pPr>
      <w:r>
        <w:drawing>
          <wp:inline distT="0" distB="0" distL="114300" distR="114300">
            <wp:extent cx="3933825" cy="1431290"/>
            <wp:effectExtent l="0" t="0" r="9525" b="1651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7"/>
                    <a:stretch>
                      <a:fillRect/>
                    </a:stretch>
                  </pic:blipFill>
                  <pic:spPr>
                    <a:xfrm>
                      <a:off x="0" y="0"/>
                      <a:ext cx="3933825" cy="143129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图14 不同方法忠诚度和可解释性的关系</w:t>
      </w:r>
    </w:p>
    <w:p>
      <w:pPr>
        <w:jc w:val="center"/>
        <w:rPr>
          <w:rFonts w:hint="eastAsia"/>
          <w:lang w:val="en-US" w:eastAsia="zh-CN"/>
        </w:rPr>
      </w:pPr>
    </w:p>
    <w:p>
      <w:pPr>
        <w:ind w:firstLine="420" w:firstLineChars="0"/>
        <w:jc w:val="left"/>
        <w:rPr>
          <w:rFonts w:hint="eastAsia"/>
          <w:lang w:val="en-US" w:eastAsia="zh-CN"/>
        </w:rPr>
      </w:pPr>
      <w:r>
        <w:rPr>
          <w:rFonts w:hint="eastAsia"/>
          <w:lang w:val="en-US" w:eastAsia="zh-CN"/>
        </w:rPr>
        <w:t>为了了解不同的方法如何有效地在忠诚度和可解释性之间进行权衡，对于由本文的框架 在不需要用户输入感兴趣的特性和其他基线生成的解释，将忠诚度与各种可解释性指标进行对比。忠诚度的定义就是数据中由解释模型预测的标签与黑匣子模型预测的标签相同的数据的比例。图a和图b分别显示了使用本文方法与baseline对比的在抑郁症数据集和5层神经网络模型上的结果。a图的可解释性，用规则数量来表示，另一个用条件的平均数量来表示。从结果中可以看到，与其他最先进的基线相比，本文的方法产生的解释在忠实度与复杂性也就是可解释性之间提供了更好的权衡。</w:t>
      </w:r>
    </w:p>
    <w:p>
      <w:pPr>
        <w:ind w:firstLine="420" w:firstLineChars="0"/>
        <w:jc w:val="left"/>
        <w:rPr>
          <w:rFonts w:hint="eastAsia"/>
          <w:lang w:val="en-US" w:eastAsia="zh-CN"/>
        </w:rPr>
      </w:pPr>
    </w:p>
    <w:p>
      <w:pPr>
        <w:numPr>
          <w:ilvl w:val="1"/>
          <w:numId w:val="7"/>
        </w:numPr>
      </w:pPr>
      <w:r>
        <w:rPr>
          <w:rFonts w:hint="eastAsia"/>
          <w:lang w:val="en-US" w:eastAsia="zh-CN"/>
        </w:rPr>
        <w:t>用户实验</w:t>
      </w:r>
    </w:p>
    <w:p>
      <w:pPr>
        <w:ind w:firstLine="420" w:firstLineChars="0"/>
        <w:jc w:val="center"/>
      </w:pPr>
      <w:r>
        <w:drawing>
          <wp:inline distT="0" distB="0" distL="114300" distR="114300">
            <wp:extent cx="2327275" cy="1093470"/>
            <wp:effectExtent l="0" t="0" r="15875" b="11430"/>
            <wp:docPr id="19" name="内容占位符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内容占位符 5"/>
                    <pic:cNvPicPr>
                      <a:picLocks noChangeAspect="1"/>
                    </pic:cNvPicPr>
                  </pic:nvPicPr>
                  <pic:blipFill>
                    <a:blip r:embed="rId18"/>
                    <a:stretch>
                      <a:fillRect/>
                    </a:stretch>
                  </pic:blipFill>
                  <pic:spPr>
                    <a:xfrm>
                      <a:off x="0" y="0"/>
                      <a:ext cx="2327275" cy="1093470"/>
                    </a:xfrm>
                    <a:prstGeom prst="rect">
                      <a:avLst/>
                    </a:prstGeom>
                  </pic:spPr>
                </pic:pic>
              </a:graphicData>
            </a:graphic>
          </wp:inline>
        </w:drawing>
      </w:r>
    </w:p>
    <w:p>
      <w:pPr>
        <w:ind w:firstLine="420" w:firstLineChars="0"/>
        <w:jc w:val="center"/>
        <w:rPr>
          <w:rFonts w:hint="eastAsia"/>
          <w:lang w:val="en-US" w:eastAsia="zh-CN"/>
        </w:rPr>
      </w:pPr>
      <w:r>
        <w:rPr>
          <w:rFonts w:hint="eastAsia"/>
          <w:lang w:val="en-US" w:eastAsia="zh-CN"/>
        </w:rPr>
        <w:t>图15 用户实验结果</w:t>
      </w:r>
    </w:p>
    <w:p>
      <w:pPr>
        <w:ind w:firstLine="420" w:firstLineChars="0"/>
        <w:jc w:val="left"/>
        <w:rPr>
          <w:rFonts w:hint="eastAsia"/>
          <w:lang w:val="en-US" w:eastAsia="zh-CN"/>
        </w:rPr>
      </w:pPr>
      <w:r>
        <w:rPr>
          <w:rFonts w:hint="eastAsia"/>
          <w:lang w:val="en-US" w:eastAsia="zh-CN"/>
        </w:rPr>
        <w:t>最后本文做了一个casestudy，希望评估用户使用本文的解释模型来理解和推理黑盒模型行为的便利性，实验结果如图15所示。作者设计了一个有33名参与者的在线用户研究，在这个研究中，每个参与者被随机呈现由本文方法和baseline方法产生的解释。参与者被问了5个问题，每一个问题都被设计用来测试他们对特征空间不同部分的模型行为(如解释所描述的)的理解。举一个例子来说，考虑一个65岁的女性患者。根据所提供的解释模型，你能绝对确定这个病人是健康的吗?如果不是，这个病人还需要具备哪些条件才能被标记为健康?这些问题与现实世界中的决策过程非常相似，在现实世界中，像医生、法官这样的决策者想要在特征空间的某些部分对模型行为进行推理。这些问题的答案可以根据黑盒模型来得到。在此基础上，计算了用户提供的答案的准确性，和回答每个问题所花费的时间，并以此来计算每个问题所花费的平均时间(以秒为单位)。右边的图显示了没有定制化情况下本文的方法和baseline的解释所获得的结果。可以看出，本文的解释模型，能够更好的帮助用户得到答案，准确度高于其他。并且，使用本文的解释模型用户的反应更快。</w:t>
      </w:r>
    </w:p>
    <w:p>
      <w:pPr>
        <w:ind w:firstLine="420" w:firstLineChars="0"/>
        <w:jc w:val="left"/>
        <w:rPr>
          <w:rFonts w:hint="eastAsia"/>
          <w:lang w:val="en-US" w:eastAsia="zh-CN"/>
        </w:rPr>
      </w:pPr>
      <w:r>
        <w:rPr>
          <w:rFonts w:hint="eastAsia"/>
          <w:lang w:val="en-US" w:eastAsia="zh-CN"/>
        </w:rPr>
        <w:t>这些问题中有的问题还包括，问的是一个吸烟又不锻炼的病人的抑郁情况。作者对这些问题会向他们展示运动和吸烟在外层if-then的结果，模拟用户试图探索模型这些特征的效果。与不使用定制化的方法相比，准确度有了明显的提升，这说明允许用户从不同的角度去探索模型的行为，对于推理它在特征空间的不同部分的行为是非常有帮助的。</w:t>
      </w:r>
    </w:p>
    <w:p>
      <w:pPr>
        <w:ind w:firstLine="420" w:firstLineChars="0"/>
        <w:jc w:val="center"/>
        <w:rPr>
          <w:rFonts w:hint="eastAsia"/>
          <w:lang w:val="en-US" w:eastAsia="zh-CN"/>
        </w:rPr>
      </w:pPr>
    </w:p>
    <w:p>
      <w:pPr>
        <w:pStyle w:val="2"/>
      </w:pPr>
      <w:r>
        <w:rPr>
          <w:rFonts w:hint="eastAsia"/>
        </w:rPr>
        <w:t>Differences of this Method compared to others</w:t>
      </w:r>
    </w:p>
    <w:p>
      <w:pPr>
        <w:ind w:firstLine="420"/>
        <w:rPr>
          <w:rFonts w:hint="eastAsia"/>
          <w:lang w:val="en-US" w:eastAsia="zh-CN"/>
        </w:rPr>
      </w:pPr>
      <w:r>
        <w:rPr>
          <w:rFonts w:hint="eastAsia"/>
          <w:lang w:val="en-US" w:eastAsia="zh-CN"/>
        </w:rPr>
        <w:t>在表示方法上使用了两层决策集，优势在于易于理解，并且可以自定义用户子空间。本文中量化了保真度、不模糊性、可解释性目标，通过优化问题求解得到最终的解释模型。</w:t>
      </w:r>
    </w:p>
    <w:p>
      <w:pPr>
        <w:ind w:firstLine="420"/>
        <w:rPr>
          <w:rFonts w:hint="default"/>
          <w:lang w:val="en-US" w:eastAsia="zh-CN"/>
        </w:rPr>
      </w:pPr>
    </w:p>
    <w:p>
      <w:pPr>
        <w:rPr>
          <w:b/>
          <w:bCs/>
        </w:rPr>
      </w:pPr>
      <w:r>
        <w:rPr>
          <w:rFonts w:hint="eastAsia"/>
          <w:b/>
          <w:bCs/>
        </w:rPr>
        <w:t>Limitation of this work or your discovery</w:t>
      </w:r>
    </w:p>
    <w:p>
      <w:pPr>
        <w:numPr>
          <w:ilvl w:val="0"/>
          <w:numId w:val="10"/>
        </w:numPr>
      </w:pPr>
      <w:r>
        <w:rPr>
          <w:rFonts w:hint="eastAsia"/>
          <w:lang w:val="en-US" w:eastAsia="zh-CN"/>
        </w:rPr>
        <w:t>该方法仅仅能适用于文本分类模型，当分类模型中分类较多，优化目标的时长将会较长。</w:t>
      </w:r>
    </w:p>
    <w:p>
      <w:pPr>
        <w:numPr>
          <w:ilvl w:val="0"/>
          <w:numId w:val="10"/>
        </w:numPr>
      </w:pPr>
      <w:r>
        <w:rPr>
          <w:rFonts w:hint="eastAsia"/>
          <w:lang w:val="en-US" w:eastAsia="zh-CN"/>
        </w:rPr>
        <w:t>使用决策集的方式进行解释，解释模型过于笼统，不能很好的表征原始黑盒模型的行为。</w:t>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txsys">
    <w:altName w:val="Segoe Print"/>
    <w:panose1 w:val="00000000000000000000"/>
    <w:charset w:val="00"/>
    <w:family w:val="auto"/>
    <w:pitch w:val="default"/>
    <w:sig w:usb0="00000000" w:usb1="00000000" w:usb2="00000000" w:usb3="00000000" w:csb0="00000000" w:csb1="00000000"/>
  </w:font>
  <w:font w:name="LinLibertineI">
    <w:altName w:val="Segoe Print"/>
    <w:panose1 w:val="00000000000000000000"/>
    <w:charset w:val="00"/>
    <w:family w:val="auto"/>
    <w:pitch w:val="default"/>
    <w:sig w:usb0="00000000" w:usb1="00000000" w:usb2="00000000" w:usb3="00000000" w:csb0="00000000" w:csb1="00000000"/>
  </w:font>
  <w:font w:name="LinLibertineT">
    <w:altName w:val="Segoe Print"/>
    <w:panose1 w:val="00000000000000000000"/>
    <w:charset w:val="00"/>
    <w:family w:val="auto"/>
    <w:pitch w:val="default"/>
    <w:sig w:usb0="00000000" w:usb1="00000000" w:usb2="00000000" w:usb3="00000000" w:csb0="00000000" w:csb1="00000000"/>
  </w:font>
  <w:font w:name="rtxmi">
    <w:altName w:val="Segoe Print"/>
    <w:panose1 w:val="00000000000000000000"/>
    <w:charset w:val="00"/>
    <w:family w:val="auto"/>
    <w:pitch w:val="default"/>
    <w:sig w:usb0="00000000" w:usb1="00000000" w:usb2="00000000" w:usb3="00000000" w:csb0="00000000" w:csb1="00000000"/>
  </w:font>
  <w:font w:name="LinLibertineI7">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BE997E"/>
    <w:multiLevelType w:val="singleLevel"/>
    <w:tmpl w:val="96BE997E"/>
    <w:lvl w:ilvl="0" w:tentative="0">
      <w:start w:val="1"/>
      <w:numFmt w:val="bullet"/>
      <w:lvlText w:val=""/>
      <w:lvlJc w:val="left"/>
      <w:pPr>
        <w:ind w:left="420" w:hanging="420"/>
      </w:pPr>
      <w:rPr>
        <w:rFonts w:hint="default" w:ascii="Wingdings" w:hAnsi="Wingdings"/>
      </w:rPr>
    </w:lvl>
  </w:abstractNum>
  <w:abstractNum w:abstractNumId="1">
    <w:nsid w:val="DC60CC4E"/>
    <w:multiLevelType w:val="singleLevel"/>
    <w:tmpl w:val="DC60CC4E"/>
    <w:lvl w:ilvl="0" w:tentative="0">
      <w:start w:val="2"/>
      <w:numFmt w:val="decimal"/>
      <w:suff w:val="nothing"/>
      <w:lvlText w:val="（%1）"/>
      <w:lvlJc w:val="left"/>
    </w:lvl>
  </w:abstractNum>
  <w:abstractNum w:abstractNumId="2">
    <w:nsid w:val="01A53E09"/>
    <w:multiLevelType w:val="multilevel"/>
    <w:tmpl w:val="01A53E09"/>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047E35FA"/>
    <w:multiLevelType w:val="multilevel"/>
    <w:tmpl w:val="047E35F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
    <w:nsid w:val="07802A64"/>
    <w:multiLevelType w:val="singleLevel"/>
    <w:tmpl w:val="07802A64"/>
    <w:lvl w:ilvl="0" w:tentative="0">
      <w:start w:val="1"/>
      <w:numFmt w:val="decimal"/>
      <w:suff w:val="space"/>
      <w:lvlText w:val="%1."/>
      <w:lvlJc w:val="left"/>
    </w:lvl>
  </w:abstractNum>
  <w:abstractNum w:abstractNumId="5">
    <w:nsid w:val="4135124B"/>
    <w:multiLevelType w:val="singleLevel"/>
    <w:tmpl w:val="4135124B"/>
    <w:lvl w:ilvl="0" w:tentative="0">
      <w:start w:val="1"/>
      <w:numFmt w:val="bullet"/>
      <w:lvlText w:val=""/>
      <w:lvlJc w:val="left"/>
      <w:pPr>
        <w:ind w:left="420" w:hanging="420"/>
      </w:pPr>
      <w:rPr>
        <w:rFonts w:hint="default" w:ascii="Wingdings" w:hAnsi="Wingdings"/>
      </w:rPr>
    </w:lvl>
  </w:abstractNum>
  <w:abstractNum w:abstractNumId="6">
    <w:nsid w:val="50E76745"/>
    <w:multiLevelType w:val="multilevel"/>
    <w:tmpl w:val="50E76745"/>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65257F8E"/>
    <w:multiLevelType w:val="multilevel"/>
    <w:tmpl w:val="65257F8E"/>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8">
    <w:nsid w:val="664B0F7A"/>
    <w:multiLevelType w:val="multilevel"/>
    <w:tmpl w:val="664B0F7A"/>
    <w:lvl w:ilvl="0" w:tentative="0">
      <w:start w:val="1"/>
      <w:numFmt w:val="decimal"/>
      <w:pStyle w:val="14"/>
      <w:lvlText w:val="[%1]"/>
      <w:lvlJc w:val="right"/>
      <w:pPr>
        <w:tabs>
          <w:tab w:val="left" w:pos="397"/>
        </w:tabs>
        <w:ind w:left="397" w:hanging="113"/>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
    <w:nsid w:val="76AD5FB8"/>
    <w:multiLevelType w:val="multilevel"/>
    <w:tmpl w:val="76AD5FB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8"/>
  </w:num>
  <w:num w:numId="2">
    <w:abstractNumId w:val="4"/>
  </w:num>
  <w:num w:numId="3">
    <w:abstractNumId w:val="7"/>
  </w:num>
  <w:num w:numId="4">
    <w:abstractNumId w:val="6"/>
  </w:num>
  <w:num w:numId="5">
    <w:abstractNumId w:val="2"/>
  </w:num>
  <w:num w:numId="6">
    <w:abstractNumId w:val="1"/>
  </w:num>
  <w:num w:numId="7">
    <w:abstractNumId w:val="9"/>
  </w:num>
  <w:num w:numId="8">
    <w:abstractNumId w:val="0"/>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BhNzI0NTFmM2Y0MDc1ZWU3ZjFjY2IxMDNmMTNhOWUifQ=="/>
  </w:docVars>
  <w:rsids>
    <w:rsidRoot w:val="004B70B3"/>
    <w:rsid w:val="000319E7"/>
    <w:rsid w:val="0007464D"/>
    <w:rsid w:val="00090918"/>
    <w:rsid w:val="00093F97"/>
    <w:rsid w:val="000F1405"/>
    <w:rsid w:val="00102240"/>
    <w:rsid w:val="0010424C"/>
    <w:rsid w:val="00106F7B"/>
    <w:rsid w:val="001A4512"/>
    <w:rsid w:val="001C7589"/>
    <w:rsid w:val="001C7BBD"/>
    <w:rsid w:val="001D51EC"/>
    <w:rsid w:val="001E2305"/>
    <w:rsid w:val="0020236B"/>
    <w:rsid w:val="00206422"/>
    <w:rsid w:val="002743AE"/>
    <w:rsid w:val="002841C8"/>
    <w:rsid w:val="002A39C9"/>
    <w:rsid w:val="002A4779"/>
    <w:rsid w:val="002D78E9"/>
    <w:rsid w:val="002F005F"/>
    <w:rsid w:val="00302F3F"/>
    <w:rsid w:val="00373813"/>
    <w:rsid w:val="003F1772"/>
    <w:rsid w:val="004220A1"/>
    <w:rsid w:val="00423363"/>
    <w:rsid w:val="004B70B3"/>
    <w:rsid w:val="004C2DF2"/>
    <w:rsid w:val="004E03CC"/>
    <w:rsid w:val="00555AB2"/>
    <w:rsid w:val="00583068"/>
    <w:rsid w:val="005855FA"/>
    <w:rsid w:val="005C0756"/>
    <w:rsid w:val="00600840"/>
    <w:rsid w:val="00684580"/>
    <w:rsid w:val="006A6B6A"/>
    <w:rsid w:val="006D3B1B"/>
    <w:rsid w:val="007144BA"/>
    <w:rsid w:val="00733595"/>
    <w:rsid w:val="007412BF"/>
    <w:rsid w:val="007C28D2"/>
    <w:rsid w:val="007E2BA7"/>
    <w:rsid w:val="007E6583"/>
    <w:rsid w:val="008B4419"/>
    <w:rsid w:val="009100EC"/>
    <w:rsid w:val="0092340B"/>
    <w:rsid w:val="009B1E26"/>
    <w:rsid w:val="00A15980"/>
    <w:rsid w:val="00A27695"/>
    <w:rsid w:val="00A4405F"/>
    <w:rsid w:val="00A91597"/>
    <w:rsid w:val="00AA2D0E"/>
    <w:rsid w:val="00AF1627"/>
    <w:rsid w:val="00B355A9"/>
    <w:rsid w:val="00B82B4B"/>
    <w:rsid w:val="00BB5214"/>
    <w:rsid w:val="00CA2D12"/>
    <w:rsid w:val="00CA7D7F"/>
    <w:rsid w:val="00CB5E0D"/>
    <w:rsid w:val="00CC5458"/>
    <w:rsid w:val="00D2570B"/>
    <w:rsid w:val="00D87BF5"/>
    <w:rsid w:val="00DE1281"/>
    <w:rsid w:val="00E043DB"/>
    <w:rsid w:val="00EA7A61"/>
    <w:rsid w:val="00F063F7"/>
    <w:rsid w:val="00F10016"/>
    <w:rsid w:val="00F12EEF"/>
    <w:rsid w:val="00F14731"/>
    <w:rsid w:val="00F248DB"/>
    <w:rsid w:val="00FF3FF4"/>
    <w:rsid w:val="00FF5637"/>
    <w:rsid w:val="024F7B13"/>
    <w:rsid w:val="038E04C3"/>
    <w:rsid w:val="04B05F9B"/>
    <w:rsid w:val="071A7061"/>
    <w:rsid w:val="08D332F8"/>
    <w:rsid w:val="094D43E9"/>
    <w:rsid w:val="09576B02"/>
    <w:rsid w:val="0A050E44"/>
    <w:rsid w:val="0A0F15B9"/>
    <w:rsid w:val="0A2F614A"/>
    <w:rsid w:val="0E5C239D"/>
    <w:rsid w:val="0EB432B5"/>
    <w:rsid w:val="14957CFE"/>
    <w:rsid w:val="1D31692A"/>
    <w:rsid w:val="1D4A5AE1"/>
    <w:rsid w:val="1F897374"/>
    <w:rsid w:val="21087BB3"/>
    <w:rsid w:val="228F6D45"/>
    <w:rsid w:val="2299463F"/>
    <w:rsid w:val="23AE47E4"/>
    <w:rsid w:val="2F4B2EEF"/>
    <w:rsid w:val="306102B8"/>
    <w:rsid w:val="30DB2AEA"/>
    <w:rsid w:val="33CB7921"/>
    <w:rsid w:val="33CC5513"/>
    <w:rsid w:val="36A83979"/>
    <w:rsid w:val="39750A92"/>
    <w:rsid w:val="3A60240F"/>
    <w:rsid w:val="3B4C7813"/>
    <w:rsid w:val="3BC64C82"/>
    <w:rsid w:val="3EC67E5F"/>
    <w:rsid w:val="43CA6E2F"/>
    <w:rsid w:val="44C66A22"/>
    <w:rsid w:val="45DF511A"/>
    <w:rsid w:val="47EC191C"/>
    <w:rsid w:val="48602AE0"/>
    <w:rsid w:val="4C684B20"/>
    <w:rsid w:val="4CF059E3"/>
    <w:rsid w:val="51D7481B"/>
    <w:rsid w:val="5474446B"/>
    <w:rsid w:val="550F6BE7"/>
    <w:rsid w:val="58A738F5"/>
    <w:rsid w:val="5CF615B6"/>
    <w:rsid w:val="5F3F7E0C"/>
    <w:rsid w:val="5FB57B91"/>
    <w:rsid w:val="64D43752"/>
    <w:rsid w:val="6502145C"/>
    <w:rsid w:val="67A71435"/>
    <w:rsid w:val="68765D59"/>
    <w:rsid w:val="6B0E3AC4"/>
    <w:rsid w:val="6BEB68BD"/>
    <w:rsid w:val="6BF47659"/>
    <w:rsid w:val="6E6B1953"/>
    <w:rsid w:val="6E706A88"/>
    <w:rsid w:val="6E8004A6"/>
    <w:rsid w:val="72C142ED"/>
    <w:rsid w:val="74A50305"/>
    <w:rsid w:val="75096ABE"/>
    <w:rsid w:val="79580C9C"/>
    <w:rsid w:val="7A8854A5"/>
    <w:rsid w:val="7BC903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outlineLvl w:val="0"/>
    </w:pPr>
    <w:rPr>
      <w:b/>
      <w:bCs/>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character" w:default="1" w:styleId="11">
    <w:name w:val="Default Paragraph Font"/>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4">
    <w:name w:val="footer"/>
    <w:basedOn w:val="1"/>
    <w:link w:val="12"/>
    <w:uiPriority w:val="0"/>
    <w:pPr>
      <w:tabs>
        <w:tab w:val="center" w:pos="4153"/>
        <w:tab w:val="right" w:pos="8306"/>
      </w:tabs>
      <w:snapToGrid w:val="0"/>
      <w:jc w:val="left"/>
    </w:pPr>
    <w:rPr>
      <w:sz w:val="18"/>
      <w:szCs w:val="18"/>
    </w:rPr>
  </w:style>
  <w:style w:type="paragraph" w:styleId="5">
    <w:name w:val="header"/>
    <w:basedOn w:val="1"/>
    <w:link w:val="13"/>
    <w:uiPriority w:val="0"/>
    <w:pPr>
      <w:pBdr>
        <w:bottom w:val="single" w:color="auto" w:sz="6" w:space="1"/>
      </w:pBdr>
      <w:tabs>
        <w:tab w:val="center" w:pos="4153"/>
        <w:tab w:val="right" w:pos="8306"/>
      </w:tabs>
      <w:snapToGrid w:val="0"/>
      <w:jc w:val="center"/>
    </w:pPr>
    <w:rPr>
      <w:sz w:val="18"/>
      <w:szCs w:val="18"/>
    </w:rPr>
  </w:style>
  <w:style w:type="paragraph" w:styleId="6">
    <w:name w:val="Subtitle"/>
    <w:basedOn w:val="1"/>
    <w:qFormat/>
    <w:uiPriority w:val="0"/>
    <w:rPr>
      <w:b/>
      <w:bCs/>
    </w:r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unhideWhenUsed/>
    <w:uiPriority w:val="99"/>
    <w:pPr>
      <w:widowControl/>
      <w:spacing w:before="100" w:beforeAutospacing="1" w:after="100" w:afterAutospacing="1"/>
      <w:jc w:val="left"/>
    </w:pPr>
    <w:rPr>
      <w:rFonts w:ascii="宋体" w:hAnsi="宋体" w:cs="宋体"/>
      <w:kern w:val="0"/>
      <w:sz w:val="24"/>
    </w:rPr>
  </w:style>
  <w:style w:type="paragraph" w:styleId="9">
    <w:name w:val="Title"/>
    <w:basedOn w:val="1"/>
    <w:qFormat/>
    <w:uiPriority w:val="0"/>
    <w:pPr>
      <w:jc w:val="center"/>
    </w:pPr>
    <w:rPr>
      <w:sz w:val="30"/>
    </w:rPr>
  </w:style>
  <w:style w:type="character" w:customStyle="1" w:styleId="12">
    <w:name w:val="页脚 字符"/>
    <w:link w:val="4"/>
    <w:uiPriority w:val="0"/>
    <w:rPr>
      <w:kern w:val="2"/>
      <w:sz w:val="18"/>
      <w:szCs w:val="18"/>
    </w:rPr>
  </w:style>
  <w:style w:type="character" w:customStyle="1" w:styleId="13">
    <w:name w:val="页眉 字符"/>
    <w:link w:val="5"/>
    <w:qFormat/>
    <w:uiPriority w:val="0"/>
    <w:rPr>
      <w:kern w:val="2"/>
      <w:sz w:val="18"/>
      <w:szCs w:val="18"/>
    </w:rPr>
  </w:style>
  <w:style w:type="paragraph" w:customStyle="1" w:styleId="14">
    <w:name w:val="参考文献"/>
    <w:basedOn w:val="1"/>
    <w:uiPriority w:val="0"/>
    <w:pPr>
      <w:numPr>
        <w:ilvl w:val="0"/>
        <w:numId w:val="1"/>
      </w:numPr>
      <w:spacing w:line="295" w:lineRule="auto"/>
    </w:pPr>
    <w:rPr>
      <w:color w:val="000000"/>
      <w:sz w:val="18"/>
      <w:szCs w:val="18"/>
    </w:rPr>
  </w:style>
  <w:style w:type="character" w:styleId="15">
    <w:name w:val="Placeholder Text"/>
    <w:basedOn w:val="11"/>
    <w:unhideWhenUsed/>
    <w:uiPriority w:val="99"/>
    <w:rPr>
      <w:color w:val="808080"/>
    </w:rPr>
  </w:style>
  <w:style w:type="paragraph" w:styleId="16">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FUDAN</Company>
  <Pages>12</Pages>
  <Words>7177</Words>
  <Characters>8806</Characters>
  <Lines>65</Lines>
  <Paragraphs>18</Paragraphs>
  <TotalTime>6</TotalTime>
  <ScaleCrop>false</ScaleCrop>
  <LinksUpToDate>false</LinksUpToDate>
  <CharactersWithSpaces>9043</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2022-05-19T10:07:00Z</dcterms:created>
  <dc:creator>wxling</dc:creator>
  <cp:lastModifiedBy>1</cp:lastModifiedBy>
  <dcterms:modified xsi:type="dcterms:W3CDTF">2022-05-20T09:36:38Z</dcterms:modified>
  <dc:title>XML Classification</dc:title>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35DE86F1D7294834B7A382A2A439A99D</vt:lpwstr>
  </property>
</Properties>
</file>