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C8267" w14:textId="77777777" w:rsidR="00F97403" w:rsidRDefault="00F97403" w:rsidP="00F97403">
      <w:pPr>
        <w:pStyle w:val="Heading1"/>
        <w:jc w:val="center"/>
        <w:rPr>
          <w:color w:val="000000" w:themeColor="text1"/>
        </w:rPr>
      </w:pPr>
    </w:p>
    <w:p w14:paraId="4D8F5D34" w14:textId="77777777" w:rsidR="00F97403" w:rsidRDefault="00F97403" w:rsidP="00F97403">
      <w:pPr>
        <w:pStyle w:val="Heading1"/>
        <w:jc w:val="center"/>
        <w:rPr>
          <w:color w:val="000000" w:themeColor="text1"/>
        </w:rPr>
      </w:pPr>
    </w:p>
    <w:p w14:paraId="20B841F0" w14:textId="77777777" w:rsidR="00F97403" w:rsidRDefault="00F97403" w:rsidP="00F97403">
      <w:pPr>
        <w:pStyle w:val="Heading1"/>
        <w:jc w:val="center"/>
        <w:rPr>
          <w:color w:val="000000" w:themeColor="text1"/>
        </w:rPr>
      </w:pPr>
    </w:p>
    <w:p w14:paraId="6EEB7D14" w14:textId="77777777" w:rsidR="00F97403" w:rsidRDefault="00F97403" w:rsidP="00F97403">
      <w:pPr>
        <w:pStyle w:val="Heading1"/>
        <w:jc w:val="center"/>
        <w:rPr>
          <w:color w:val="000000" w:themeColor="text1"/>
        </w:rPr>
      </w:pPr>
    </w:p>
    <w:p w14:paraId="0494D9BE" w14:textId="77777777" w:rsidR="00F97403" w:rsidRDefault="00F97403" w:rsidP="00F97403">
      <w:pPr>
        <w:pStyle w:val="Heading1"/>
        <w:jc w:val="center"/>
        <w:rPr>
          <w:color w:val="000000" w:themeColor="text1"/>
        </w:rPr>
      </w:pPr>
    </w:p>
    <w:p w14:paraId="78AAC8F0" w14:textId="77777777" w:rsidR="00F97403" w:rsidRDefault="00F97403" w:rsidP="00F97403">
      <w:pPr>
        <w:pStyle w:val="Heading1"/>
        <w:jc w:val="center"/>
        <w:rPr>
          <w:color w:val="000000" w:themeColor="text1"/>
        </w:rPr>
      </w:pPr>
    </w:p>
    <w:p w14:paraId="5DD5799E" w14:textId="710E40C8" w:rsidR="00F97403" w:rsidRPr="00F97403" w:rsidRDefault="00F97403" w:rsidP="00F97403">
      <w:pPr>
        <w:pStyle w:val="Heading1"/>
        <w:jc w:val="center"/>
        <w:rPr>
          <w:color w:val="000000" w:themeColor="text1"/>
          <w:sz w:val="40"/>
          <w:szCs w:val="40"/>
        </w:rPr>
      </w:pPr>
      <w:r w:rsidRPr="00F97403">
        <w:rPr>
          <w:color w:val="000000" w:themeColor="text1"/>
          <w:sz w:val="40"/>
          <w:szCs w:val="40"/>
        </w:rPr>
        <w:t>Impact of COVID-19 Policies on Mobility and Consumer Spending</w:t>
      </w:r>
    </w:p>
    <w:p w14:paraId="744CDFB0" w14:textId="77777777" w:rsidR="00F97403" w:rsidRDefault="00000000" w:rsidP="00F97403">
      <w:pPr>
        <w:pStyle w:val="Heading1"/>
        <w:jc w:val="center"/>
        <w:rPr>
          <w:color w:val="000000" w:themeColor="text1"/>
        </w:rPr>
      </w:pPr>
      <w:r w:rsidRPr="00E0392A">
        <w:rPr>
          <w:color w:val="000000" w:themeColor="text1"/>
        </w:rPr>
        <w:t xml:space="preserve">Author: </w:t>
      </w:r>
      <w:proofErr w:type="spellStart"/>
      <w:r w:rsidR="00F97403">
        <w:rPr>
          <w:color w:val="000000" w:themeColor="text1"/>
        </w:rPr>
        <w:t>Ruibo</w:t>
      </w:r>
      <w:proofErr w:type="spellEnd"/>
      <w:r w:rsidR="00F97403">
        <w:rPr>
          <w:color w:val="000000" w:themeColor="text1"/>
        </w:rPr>
        <w:t xml:space="preserve"> Sun</w:t>
      </w:r>
    </w:p>
    <w:p w14:paraId="407C0666" w14:textId="77777777" w:rsidR="00F97403" w:rsidRDefault="00000000" w:rsidP="00F97403">
      <w:pPr>
        <w:pStyle w:val="Heading1"/>
        <w:jc w:val="center"/>
        <w:rPr>
          <w:color w:val="000000" w:themeColor="text1"/>
        </w:rPr>
      </w:pPr>
      <w:r w:rsidRPr="00E0392A">
        <w:rPr>
          <w:color w:val="000000" w:themeColor="text1"/>
        </w:rPr>
        <w:br/>
        <w:t>Course: ECO225</w:t>
      </w:r>
    </w:p>
    <w:p w14:paraId="610D766D" w14:textId="442E54E7" w:rsidR="00D80A10" w:rsidRPr="00E0392A" w:rsidRDefault="00000000" w:rsidP="00F97403">
      <w:pPr>
        <w:pStyle w:val="Heading1"/>
        <w:jc w:val="center"/>
        <w:rPr>
          <w:color w:val="000000" w:themeColor="text1"/>
        </w:rPr>
      </w:pPr>
      <w:r w:rsidRPr="00E0392A">
        <w:rPr>
          <w:color w:val="000000" w:themeColor="text1"/>
        </w:rPr>
        <w:br/>
        <w:t xml:space="preserve">Date: </w:t>
      </w:r>
      <w:r w:rsidR="00F97403">
        <w:rPr>
          <w:color w:val="000000" w:themeColor="text1"/>
        </w:rPr>
        <w:t>April 20, 2025</w:t>
      </w:r>
    </w:p>
    <w:p w14:paraId="5C8528C9" w14:textId="77777777" w:rsidR="00D80A10" w:rsidRPr="00E0392A" w:rsidRDefault="00000000">
      <w:pPr>
        <w:rPr>
          <w:color w:val="000000" w:themeColor="text1"/>
        </w:rPr>
      </w:pPr>
      <w:r w:rsidRPr="00E0392A">
        <w:rPr>
          <w:color w:val="000000" w:themeColor="text1"/>
        </w:rPr>
        <w:br/>
      </w:r>
    </w:p>
    <w:p w14:paraId="7A5575B8" w14:textId="77777777" w:rsidR="00E0392A" w:rsidRDefault="00E0392A">
      <w:pPr>
        <w:rPr>
          <w:rFonts w:asciiTheme="majorHAnsi" w:eastAsiaTheme="majorEastAsia" w:hAnsiTheme="majorHAnsi" w:cstheme="majorBidi"/>
          <w:b/>
          <w:bCs/>
          <w:color w:val="000000" w:themeColor="text1"/>
          <w:sz w:val="26"/>
          <w:szCs w:val="26"/>
        </w:rPr>
      </w:pPr>
      <w:r>
        <w:rPr>
          <w:color w:val="000000" w:themeColor="text1"/>
        </w:rPr>
        <w:br w:type="page"/>
      </w:r>
    </w:p>
    <w:p w14:paraId="7B7A8427" w14:textId="65E0C0E8" w:rsidR="00D80A10" w:rsidRPr="00E0392A" w:rsidRDefault="00000000">
      <w:pPr>
        <w:pStyle w:val="Heading2"/>
        <w:rPr>
          <w:color w:val="000000" w:themeColor="text1"/>
        </w:rPr>
      </w:pPr>
      <w:r w:rsidRPr="00E0392A">
        <w:rPr>
          <w:color w:val="000000" w:themeColor="text1"/>
        </w:rPr>
        <w:lastRenderedPageBreak/>
        <w:t>1. Introduction</w:t>
      </w:r>
    </w:p>
    <w:p w14:paraId="3221A254" w14:textId="77777777" w:rsidR="007C0497" w:rsidRPr="007C0497" w:rsidRDefault="007C0497" w:rsidP="007C0497">
      <w:pPr>
        <w:rPr>
          <w:color w:val="000000" w:themeColor="text1"/>
          <w:lang w:val="en-CA"/>
        </w:rPr>
      </w:pPr>
      <w:r w:rsidRPr="007C0497">
        <w:rPr>
          <w:color w:val="000000" w:themeColor="text1"/>
          <w:lang w:val="en-CA"/>
        </w:rPr>
        <w:t>The COVID-19 pandemic caused widespread disruptions to both economic activity and public health, compelling U.S. states to adopt a variety of policy responses—from strict lockdowns to more relaxed guidelines. These strategies influenced consumer behavior, labor markets, and health outcomes differently across states (Chetty et al., 2020). While many policies helped reduce virus transmission, they also introduced significant trade-offs for economic resilience.</w:t>
      </w:r>
    </w:p>
    <w:p w14:paraId="4F5D348D" w14:textId="77777777" w:rsidR="007C0497" w:rsidRPr="007C0497" w:rsidRDefault="007C0497" w:rsidP="007C0497">
      <w:pPr>
        <w:rPr>
          <w:color w:val="000000" w:themeColor="text1"/>
          <w:lang w:val="en-CA"/>
        </w:rPr>
      </w:pPr>
      <w:r w:rsidRPr="007C0497">
        <w:rPr>
          <w:color w:val="000000" w:themeColor="text1"/>
          <w:lang w:val="en-CA"/>
        </w:rPr>
        <w:t>Both government restrictions and voluntary behavioral changes contributed to the initial economic decline (</w:t>
      </w:r>
      <w:proofErr w:type="spellStart"/>
      <w:r w:rsidRPr="007C0497">
        <w:rPr>
          <w:color w:val="000000" w:themeColor="text1"/>
          <w:lang w:val="en-CA"/>
        </w:rPr>
        <w:t>Goolsbee</w:t>
      </w:r>
      <w:proofErr w:type="spellEnd"/>
      <w:r w:rsidRPr="007C0497">
        <w:rPr>
          <w:color w:val="000000" w:themeColor="text1"/>
          <w:lang w:val="en-CA"/>
        </w:rPr>
        <w:t xml:space="preserve"> &amp; </w:t>
      </w:r>
      <w:proofErr w:type="spellStart"/>
      <w:r w:rsidRPr="007C0497">
        <w:rPr>
          <w:color w:val="000000" w:themeColor="text1"/>
          <w:lang w:val="en-CA"/>
        </w:rPr>
        <w:t>Syverson</w:t>
      </w:r>
      <w:proofErr w:type="spellEnd"/>
      <w:r w:rsidRPr="007C0497">
        <w:rPr>
          <w:color w:val="000000" w:themeColor="text1"/>
          <w:lang w:val="en-CA"/>
        </w:rPr>
        <w:t xml:space="preserve">, 2020; </w:t>
      </w:r>
      <w:proofErr w:type="spellStart"/>
      <w:r w:rsidRPr="007C0497">
        <w:rPr>
          <w:color w:val="000000" w:themeColor="text1"/>
          <w:lang w:val="en-CA"/>
        </w:rPr>
        <w:t>Toxvaerd</w:t>
      </w:r>
      <w:proofErr w:type="spellEnd"/>
      <w:r w:rsidRPr="007C0497">
        <w:rPr>
          <w:color w:val="000000" w:themeColor="text1"/>
          <w:lang w:val="en-CA"/>
        </w:rPr>
        <w:t>, 2021). In some cases, fear of infection discouraged spending more than lockdowns themselves (Chetty et al., 2020). Even in states with fewer restrictions, individuals avoided high-contact sectors like restaurants and entertainment. Still, mandated policies independently reduced mobility and economic activity (</w:t>
      </w:r>
      <w:proofErr w:type="spellStart"/>
      <w:r w:rsidRPr="007C0497">
        <w:rPr>
          <w:color w:val="000000" w:themeColor="text1"/>
          <w:lang w:val="en-CA"/>
        </w:rPr>
        <w:t>Ligo</w:t>
      </w:r>
      <w:proofErr w:type="spellEnd"/>
      <w:r w:rsidRPr="007C0497">
        <w:rPr>
          <w:color w:val="000000" w:themeColor="text1"/>
          <w:lang w:val="en-CA"/>
        </w:rPr>
        <w:t xml:space="preserve"> et al., 2021; Dave et al., 2021). Economic relief policies partially offset these impacts. Stimulus checks spurred short-term increases in spending among low-income households (</w:t>
      </w:r>
      <w:proofErr w:type="spellStart"/>
      <w:r w:rsidRPr="007C0497">
        <w:rPr>
          <w:color w:val="000000" w:themeColor="text1"/>
          <w:lang w:val="en-CA"/>
        </w:rPr>
        <w:t>Coibion</w:t>
      </w:r>
      <w:proofErr w:type="spellEnd"/>
      <w:r w:rsidRPr="007C0497">
        <w:rPr>
          <w:color w:val="000000" w:themeColor="text1"/>
          <w:lang w:val="en-CA"/>
        </w:rPr>
        <w:t xml:space="preserve"> et al., 2020), while expanded unemployment benefits supported displaced workers (Gupta et al., 2020). However, when these programs ended, economic inequality widened (Crossley et al., 2021).</w:t>
      </w:r>
    </w:p>
    <w:p w14:paraId="45B5DC5D" w14:textId="77777777" w:rsidR="007C0497" w:rsidRPr="007C0497" w:rsidRDefault="007C0497" w:rsidP="007C0497">
      <w:pPr>
        <w:rPr>
          <w:color w:val="000000" w:themeColor="text1"/>
          <w:lang w:val="en-CA"/>
        </w:rPr>
      </w:pPr>
      <w:r w:rsidRPr="007C0497">
        <w:rPr>
          <w:color w:val="000000" w:themeColor="text1"/>
          <w:lang w:val="en-CA"/>
        </w:rPr>
        <w:t>COVID-19's effects were uneven. Lower-income and minority communities experienced greater financial and health burdens (</w:t>
      </w:r>
      <w:proofErr w:type="spellStart"/>
      <w:r w:rsidRPr="007C0497">
        <w:rPr>
          <w:color w:val="000000" w:themeColor="text1"/>
          <w:lang w:val="en-CA"/>
        </w:rPr>
        <w:t>Courtemanche</w:t>
      </w:r>
      <w:proofErr w:type="spellEnd"/>
      <w:r w:rsidRPr="007C0497">
        <w:rPr>
          <w:color w:val="000000" w:themeColor="text1"/>
          <w:lang w:val="en-CA"/>
        </w:rPr>
        <w:t xml:space="preserve"> et al., 2020), while wealthier individuals shifted spending online and adapted more easily (Andersen et al., 2022). State recovery also diverged. Consumer confidence played a more important role in economic rebound than the mere lifting of restrictions (Serrano-</w:t>
      </w:r>
      <w:proofErr w:type="spellStart"/>
      <w:r w:rsidRPr="007C0497">
        <w:rPr>
          <w:color w:val="000000" w:themeColor="text1"/>
          <w:lang w:val="en-CA"/>
        </w:rPr>
        <w:t>Alarcón</w:t>
      </w:r>
      <w:proofErr w:type="spellEnd"/>
      <w:r w:rsidRPr="007C0497">
        <w:rPr>
          <w:color w:val="000000" w:themeColor="text1"/>
          <w:lang w:val="en-CA"/>
        </w:rPr>
        <w:t xml:space="preserve"> et al., 2021). In fact, aggressive </w:t>
      </w:r>
      <w:proofErr w:type="spellStart"/>
      <w:r w:rsidRPr="007C0497">
        <w:rPr>
          <w:color w:val="000000" w:themeColor="text1"/>
          <w:lang w:val="en-CA"/>
        </w:rPr>
        <w:t>reopenings</w:t>
      </w:r>
      <w:proofErr w:type="spellEnd"/>
      <w:r w:rsidRPr="007C0497">
        <w:rPr>
          <w:color w:val="000000" w:themeColor="text1"/>
          <w:lang w:val="en-CA"/>
        </w:rPr>
        <w:t xml:space="preserve"> sometimes led to virus resurgences and prolonged instability (Friedson et al., 2020).</w:t>
      </w:r>
    </w:p>
    <w:p w14:paraId="6CD3BF23" w14:textId="77777777" w:rsidR="007C0497" w:rsidRPr="007C0497" w:rsidRDefault="007C0497" w:rsidP="007C0497">
      <w:pPr>
        <w:rPr>
          <w:color w:val="000000" w:themeColor="text1"/>
          <w:lang w:val="en-CA"/>
        </w:rPr>
      </w:pPr>
      <w:r w:rsidRPr="007C0497">
        <w:rPr>
          <w:color w:val="000000" w:themeColor="text1"/>
          <w:lang w:val="en-CA"/>
        </w:rPr>
        <w:t xml:space="preserve">Policy decisions were not always grounded in public health data; political and economic pressures also shaped reopening timelines (Hsiang et al., 2020; Dave et al., 2021). Countries with looser restrictions experienced spending declines </w:t>
      </w:r>
      <w:proofErr w:type="gramStart"/>
      <w:r w:rsidRPr="007C0497">
        <w:rPr>
          <w:color w:val="000000" w:themeColor="text1"/>
          <w:lang w:val="en-CA"/>
        </w:rPr>
        <w:t>similar to</w:t>
      </w:r>
      <w:proofErr w:type="gramEnd"/>
      <w:r w:rsidRPr="007C0497">
        <w:rPr>
          <w:color w:val="000000" w:themeColor="text1"/>
          <w:lang w:val="en-CA"/>
        </w:rPr>
        <w:t xml:space="preserve"> those with stricter rules, pointing to the importance of voluntary behavior (Andersen et al., 2020). Public communication also </w:t>
      </w:r>
      <w:proofErr w:type="gramStart"/>
      <w:r w:rsidRPr="007C0497">
        <w:rPr>
          <w:color w:val="000000" w:themeColor="text1"/>
          <w:lang w:val="en-CA"/>
        </w:rPr>
        <w:t>mattered—states</w:t>
      </w:r>
      <w:proofErr w:type="gramEnd"/>
      <w:r w:rsidRPr="007C0497">
        <w:rPr>
          <w:color w:val="000000" w:themeColor="text1"/>
          <w:lang w:val="en-CA"/>
        </w:rPr>
        <w:t xml:space="preserve"> with clearer messaging saw greater compliance and less disruption (</w:t>
      </w:r>
      <w:proofErr w:type="spellStart"/>
      <w:r w:rsidRPr="007C0497">
        <w:rPr>
          <w:color w:val="000000" w:themeColor="text1"/>
          <w:lang w:val="en-CA"/>
        </w:rPr>
        <w:t>Carrieri</w:t>
      </w:r>
      <w:proofErr w:type="spellEnd"/>
      <w:r w:rsidRPr="007C0497">
        <w:rPr>
          <w:color w:val="000000" w:themeColor="text1"/>
          <w:lang w:val="en-CA"/>
        </w:rPr>
        <w:t xml:space="preserve"> et al., 2021).</w:t>
      </w:r>
    </w:p>
    <w:p w14:paraId="12589C60" w14:textId="77777777" w:rsidR="007C0497" w:rsidRPr="007C0497" w:rsidRDefault="007C0497" w:rsidP="007C0497">
      <w:pPr>
        <w:rPr>
          <w:color w:val="000000" w:themeColor="text1"/>
          <w:lang w:val="en-CA"/>
        </w:rPr>
      </w:pPr>
      <w:r w:rsidRPr="007C0497">
        <w:rPr>
          <w:color w:val="000000" w:themeColor="text1"/>
          <w:lang w:val="en-CA"/>
        </w:rPr>
        <w:t>This paper contributes to the literature by examining long-term state-level economic resilience during COVID-19. Unlike previous studies, it combines mobility, health, and policy data with novel extensions: machine learning models to capture nonlinear relationships, and web-scraped petroleum consumption data to track mobility-related behavior.</w:t>
      </w:r>
    </w:p>
    <w:p w14:paraId="6C73CFB0" w14:textId="77777777" w:rsidR="007C0497" w:rsidRPr="007C0497" w:rsidRDefault="007C0497" w:rsidP="007C0497">
      <w:pPr>
        <w:rPr>
          <w:color w:val="000000" w:themeColor="text1"/>
          <w:lang w:val="en-CA"/>
        </w:rPr>
      </w:pPr>
      <w:r w:rsidRPr="007C0497">
        <w:rPr>
          <w:color w:val="000000" w:themeColor="text1"/>
          <w:lang w:val="en-CA"/>
        </w:rPr>
        <w:t>The following sections present visual trends, regression models, geographic comparisons, and machine learning results to evaluate how COVID-19 policies shaped consumer spending and public health outcomes across the U.S.</w:t>
      </w:r>
    </w:p>
    <w:p w14:paraId="09D0E574" w14:textId="77777777" w:rsidR="007C0497" w:rsidRDefault="007C0497" w:rsidP="00E0392A">
      <w:pPr>
        <w:rPr>
          <w:color w:val="000000" w:themeColor="text1"/>
          <w:lang w:val="en-CA"/>
        </w:rPr>
      </w:pPr>
    </w:p>
    <w:p w14:paraId="1E6458CD" w14:textId="77777777" w:rsidR="00D80A10" w:rsidRPr="00E0392A" w:rsidRDefault="00000000">
      <w:pPr>
        <w:pStyle w:val="Heading2"/>
        <w:rPr>
          <w:color w:val="000000" w:themeColor="text1"/>
        </w:rPr>
      </w:pPr>
      <w:r w:rsidRPr="00E0392A">
        <w:rPr>
          <w:color w:val="000000" w:themeColor="text1"/>
        </w:rPr>
        <w:lastRenderedPageBreak/>
        <w:t>2. Data</w:t>
      </w:r>
    </w:p>
    <w:p w14:paraId="7EF18442" w14:textId="77777777" w:rsidR="00A73B33" w:rsidRPr="00E0392A" w:rsidRDefault="00A73B33" w:rsidP="00A73B33">
      <w:pPr>
        <w:rPr>
          <w:color w:val="000000" w:themeColor="text1"/>
          <w:lang w:val="en-CA"/>
        </w:rPr>
      </w:pPr>
      <w:r w:rsidRPr="00E0392A">
        <w:rPr>
          <w:color w:val="000000" w:themeColor="text1"/>
          <w:lang w:val="en-CA"/>
        </w:rPr>
        <w:t xml:space="preserve">This study uses a combined dataset to examine how state-level COVID-19 policies influenced economic resilience. Consumer spending data comes from Opportunity Insights’ Economic Tracker. It tracks daily and weekly financial transactions to measure changes in household spending during lockdowns, stimulus payments, and </w:t>
      </w:r>
      <w:proofErr w:type="spellStart"/>
      <w:r w:rsidRPr="00E0392A">
        <w:rPr>
          <w:color w:val="000000" w:themeColor="text1"/>
          <w:lang w:val="en-CA"/>
        </w:rPr>
        <w:t>reopenings</w:t>
      </w:r>
      <w:proofErr w:type="spellEnd"/>
      <w:r w:rsidRPr="00E0392A">
        <w:rPr>
          <w:color w:val="000000" w:themeColor="text1"/>
          <w:lang w:val="en-CA"/>
        </w:rPr>
        <w:t xml:space="preserve"> (Chetty et al., 2020). Mobility data is from Ang et al. (2020), which provides human movement inflow and outflow data at different geographic levels in the U.S. This data helps analyze how mobility restrictions affected economic activity. Policy data is sourced from the Oxford COVID-19 Government Response Tracker (</w:t>
      </w:r>
      <w:proofErr w:type="spellStart"/>
      <w:r w:rsidRPr="00E0392A">
        <w:rPr>
          <w:color w:val="000000" w:themeColor="text1"/>
          <w:lang w:val="en-CA"/>
        </w:rPr>
        <w:t>OxCGRT</w:t>
      </w:r>
      <w:proofErr w:type="spellEnd"/>
      <w:r w:rsidRPr="00E0392A">
        <w:rPr>
          <w:color w:val="000000" w:themeColor="text1"/>
          <w:lang w:val="en-CA"/>
        </w:rPr>
        <w:t>). It records daily policy changes, such as lockdowns, public health rules, and economic aid programs (Hale et al., 2021). Public health data comes from the Johns Hopkins University COVID-19 Dashboard, which tracks COVID-19 cases, hospitalizations, and deaths in real-time (Dong, Du, &amp; Gardner, 2020).</w:t>
      </w:r>
    </w:p>
    <w:p w14:paraId="306934CD" w14:textId="6C8D1977" w:rsidR="00A73B33" w:rsidRDefault="00A73B33">
      <w:pPr>
        <w:rPr>
          <w:color w:val="000000" w:themeColor="text1"/>
          <w:lang w:val="en-CA"/>
        </w:rPr>
      </w:pPr>
      <w:r w:rsidRPr="00E0392A">
        <w:rPr>
          <w:color w:val="000000" w:themeColor="text1"/>
          <w:lang w:val="en-CA"/>
        </w:rPr>
        <w:t>Given the interest of this paper, the dependent variable (Y) is chosen to be consumer spending, which reflects economic resilience during the pandemic. It measures how households adjusted their spending in response to lockdowns, stimulus payments, and mobility changes. Spending is a key indicator of economic recovery, making it essential for understanding policy effectiveness. The independent variables (X) include mobility patterns, government policy indices, and COVID-19 incidence rates. Mobility data tracks movement trends, showing how restrictions and voluntary behaviors affected economic activity. Policy indices measure lockdown strictness, financial aid, and public health rules, which directly influenced consumer confidence and business operations. COVID-19 cases help separate policy effects from individual risk perception, as rising cases often lead to reduced spending even without government mandates. Together, these variables explain why spending patterns varied across states, helping to assess the trade-offs between economic recovery and public health.</w:t>
      </w:r>
    </w:p>
    <w:p w14:paraId="1582DDA1" w14:textId="77777777" w:rsidR="00305E93" w:rsidRPr="00A73B33" w:rsidRDefault="00305E93">
      <w:pPr>
        <w:rPr>
          <w:color w:val="000000" w:themeColor="text1"/>
          <w:lang w:val="en-CA"/>
        </w:rPr>
      </w:pPr>
    </w:p>
    <w:p w14:paraId="4AFC233D" w14:textId="041B1025" w:rsidR="0032545E" w:rsidRDefault="00000000" w:rsidP="0032545E">
      <w:pPr>
        <w:pStyle w:val="Heading2"/>
        <w:rPr>
          <w:color w:val="000000" w:themeColor="text1"/>
        </w:rPr>
      </w:pPr>
      <w:r w:rsidRPr="00E0392A">
        <w:rPr>
          <w:color w:val="000000" w:themeColor="text1"/>
        </w:rPr>
        <w:t>3. Summary Statistics and Initial Visualizations</w:t>
      </w:r>
    </w:p>
    <w:p w14:paraId="34B33498" w14:textId="2649D2BC" w:rsidR="0032545E" w:rsidRPr="0032545E" w:rsidRDefault="0032545E" w:rsidP="0032545E">
      <w:r w:rsidRPr="0032545E">
        <w:t>This section provides a comprehensive summary of the dataset, highlighting key descriptive statistics for both the dependent and independent variables. Initial visualizations are presented to further illustrate trends and distributions, offering insights into the relationships between the variables and their variability across different states and time periods.</w:t>
      </w:r>
    </w:p>
    <w:p w14:paraId="54FC5C23" w14:textId="77777777" w:rsidR="0032545E" w:rsidRDefault="0032545E" w:rsidP="0032545E">
      <w:pPr>
        <w:pStyle w:val="Caption"/>
        <w:keepNext/>
        <w:rPr>
          <w:color w:val="000000" w:themeColor="text1"/>
        </w:rPr>
      </w:pPr>
    </w:p>
    <w:p w14:paraId="6059EAAC" w14:textId="101A5673" w:rsidR="0032545E" w:rsidRPr="0032545E" w:rsidRDefault="0032545E" w:rsidP="0032545E">
      <w:pPr>
        <w:pStyle w:val="Caption"/>
        <w:keepNext/>
        <w:rPr>
          <w:color w:val="000000" w:themeColor="text1"/>
        </w:rPr>
      </w:pPr>
      <w:r w:rsidRPr="0032545E">
        <w:rPr>
          <w:color w:val="000000" w:themeColor="text1"/>
        </w:rPr>
        <w:t xml:space="preserve">Table </w:t>
      </w:r>
      <w:r w:rsidRPr="0032545E">
        <w:rPr>
          <w:color w:val="000000" w:themeColor="text1"/>
        </w:rPr>
        <w:fldChar w:fldCharType="begin"/>
      </w:r>
      <w:r w:rsidRPr="0032545E">
        <w:rPr>
          <w:color w:val="000000" w:themeColor="text1"/>
        </w:rPr>
        <w:instrText xml:space="preserve"> SEQ Table \* ARABIC </w:instrText>
      </w:r>
      <w:r w:rsidRPr="0032545E">
        <w:rPr>
          <w:color w:val="000000" w:themeColor="text1"/>
        </w:rPr>
        <w:fldChar w:fldCharType="separate"/>
      </w:r>
      <w:r w:rsidR="00F97403">
        <w:rPr>
          <w:noProof/>
          <w:color w:val="000000" w:themeColor="text1"/>
        </w:rPr>
        <w:t>1</w:t>
      </w:r>
      <w:r w:rsidRPr="0032545E">
        <w:rPr>
          <w:color w:val="000000" w:themeColor="text1"/>
        </w:rPr>
        <w:fldChar w:fldCharType="end"/>
      </w:r>
    </w:p>
    <w:tbl>
      <w:tblPr>
        <w:tblStyle w:val="PlainTable1"/>
        <w:tblW w:w="0" w:type="auto"/>
        <w:tblLook w:val="04A0" w:firstRow="1" w:lastRow="0" w:firstColumn="1" w:lastColumn="0" w:noHBand="0" w:noVBand="1"/>
      </w:tblPr>
      <w:tblGrid>
        <w:gridCol w:w="766"/>
        <w:gridCol w:w="901"/>
        <w:gridCol w:w="1254"/>
        <w:gridCol w:w="1415"/>
        <w:gridCol w:w="1239"/>
        <w:gridCol w:w="1012"/>
        <w:gridCol w:w="900"/>
        <w:gridCol w:w="1143"/>
      </w:tblGrid>
      <w:tr w:rsidR="0032545E" w:rsidRPr="0032545E" w14:paraId="4C81CEAC" w14:textId="77777777" w:rsidTr="00325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tcPr>
          <w:p w14:paraId="66759901" w14:textId="4B62C7C0" w:rsidR="0032545E" w:rsidRPr="0032545E" w:rsidRDefault="0032545E" w:rsidP="009E12C0">
            <w:pPr>
              <w:rPr>
                <w:sz w:val="16"/>
                <w:szCs w:val="16"/>
              </w:rPr>
            </w:pPr>
            <w:r w:rsidRPr="0032545E">
              <w:rPr>
                <w:sz w:val="16"/>
                <w:szCs w:val="16"/>
              </w:rPr>
              <w:t>Spe</w:t>
            </w:r>
            <w:r w:rsidRPr="0032545E">
              <w:rPr>
                <w:b w:val="0"/>
                <w:sz w:val="16"/>
                <w:szCs w:val="16"/>
              </w:rPr>
              <w:t>n</w:t>
            </w:r>
            <w:r w:rsidRPr="0032545E">
              <w:rPr>
                <w:sz w:val="16"/>
                <w:szCs w:val="16"/>
              </w:rPr>
              <w:t>d All</w:t>
            </w:r>
          </w:p>
        </w:tc>
        <w:tc>
          <w:tcPr>
            <w:tcW w:w="983" w:type="dxa"/>
          </w:tcPr>
          <w:p w14:paraId="487B9820" w14:textId="48B56ED2" w:rsidR="0032545E" w:rsidRPr="0032545E" w:rsidRDefault="0032545E" w:rsidP="009E12C0">
            <w:pPr>
              <w:cnfStyle w:val="100000000000" w:firstRow="1" w:lastRow="0" w:firstColumn="0" w:lastColumn="0" w:oddVBand="0" w:evenVBand="0" w:oddHBand="0" w:evenHBand="0" w:firstRowFirstColumn="0" w:firstRowLastColumn="0" w:lastRowFirstColumn="0" w:lastRowLastColumn="0"/>
              <w:rPr>
                <w:sz w:val="16"/>
                <w:szCs w:val="16"/>
              </w:rPr>
            </w:pPr>
            <w:r w:rsidRPr="0032545E">
              <w:rPr>
                <w:sz w:val="16"/>
                <w:szCs w:val="16"/>
              </w:rPr>
              <w:t>Mobility Inflow</w:t>
            </w:r>
          </w:p>
        </w:tc>
        <w:tc>
          <w:tcPr>
            <w:tcW w:w="903" w:type="dxa"/>
          </w:tcPr>
          <w:p w14:paraId="4887D885" w14:textId="77777777" w:rsidR="0032545E" w:rsidRPr="0032545E" w:rsidRDefault="0032545E" w:rsidP="009E12C0">
            <w:pPr>
              <w:cnfStyle w:val="100000000000" w:firstRow="1" w:lastRow="0" w:firstColumn="0" w:lastColumn="0" w:oddVBand="0" w:evenVBand="0" w:oddHBand="0" w:evenHBand="0" w:firstRowFirstColumn="0" w:firstRowLastColumn="0" w:lastRowFirstColumn="0" w:lastRowLastColumn="0"/>
              <w:rPr>
                <w:sz w:val="16"/>
                <w:szCs w:val="16"/>
              </w:rPr>
            </w:pPr>
            <w:r w:rsidRPr="0032545E">
              <w:rPr>
                <w:sz w:val="16"/>
                <w:szCs w:val="16"/>
              </w:rPr>
              <w:t>Mobility Outflow</w:t>
            </w:r>
          </w:p>
        </w:tc>
        <w:tc>
          <w:tcPr>
            <w:tcW w:w="1603" w:type="dxa"/>
          </w:tcPr>
          <w:p w14:paraId="1E8A3871" w14:textId="77777777" w:rsidR="0032545E" w:rsidRPr="0032545E" w:rsidRDefault="0032545E" w:rsidP="009E12C0">
            <w:pPr>
              <w:cnfStyle w:val="100000000000" w:firstRow="1" w:lastRow="0" w:firstColumn="0" w:lastColumn="0" w:oddVBand="0" w:evenVBand="0" w:oddHBand="0" w:evenHBand="0" w:firstRowFirstColumn="0" w:firstRowLastColumn="0" w:lastRowFirstColumn="0" w:lastRowLastColumn="0"/>
              <w:rPr>
                <w:sz w:val="16"/>
                <w:szCs w:val="16"/>
              </w:rPr>
            </w:pPr>
            <w:r w:rsidRPr="0032545E">
              <w:rPr>
                <w:sz w:val="16"/>
                <w:szCs w:val="16"/>
              </w:rPr>
              <w:t>Stringency Index</w:t>
            </w:r>
          </w:p>
        </w:tc>
        <w:tc>
          <w:tcPr>
            <w:tcW w:w="1361" w:type="dxa"/>
          </w:tcPr>
          <w:p w14:paraId="37A3FD86" w14:textId="77777777" w:rsidR="0032545E" w:rsidRPr="0032545E" w:rsidRDefault="0032545E" w:rsidP="009E12C0">
            <w:pPr>
              <w:cnfStyle w:val="100000000000" w:firstRow="1" w:lastRow="0" w:firstColumn="0" w:lastColumn="0" w:oddVBand="0" w:evenVBand="0" w:oddHBand="0" w:evenHBand="0" w:firstRowFirstColumn="0" w:firstRowLastColumn="0" w:lastRowFirstColumn="0" w:lastRowLastColumn="0"/>
              <w:rPr>
                <w:sz w:val="16"/>
                <w:szCs w:val="16"/>
              </w:rPr>
            </w:pPr>
            <w:r w:rsidRPr="0032545E">
              <w:rPr>
                <w:sz w:val="16"/>
                <w:szCs w:val="16"/>
              </w:rPr>
              <w:t>Government Response Index</w:t>
            </w:r>
          </w:p>
        </w:tc>
        <w:tc>
          <w:tcPr>
            <w:tcW w:w="1108" w:type="dxa"/>
          </w:tcPr>
          <w:p w14:paraId="2941D98B" w14:textId="77777777" w:rsidR="0032545E" w:rsidRPr="0032545E" w:rsidRDefault="0032545E" w:rsidP="009E12C0">
            <w:pPr>
              <w:cnfStyle w:val="100000000000" w:firstRow="1" w:lastRow="0" w:firstColumn="0" w:lastColumn="0" w:oddVBand="0" w:evenVBand="0" w:oddHBand="0" w:evenHBand="0" w:firstRowFirstColumn="0" w:firstRowLastColumn="0" w:lastRowFirstColumn="0" w:lastRowLastColumn="0"/>
              <w:rPr>
                <w:sz w:val="16"/>
                <w:szCs w:val="16"/>
              </w:rPr>
            </w:pPr>
            <w:r w:rsidRPr="0032545E">
              <w:rPr>
                <w:sz w:val="16"/>
                <w:szCs w:val="16"/>
              </w:rPr>
              <w:t>Economic Support Index</w:t>
            </w:r>
          </w:p>
        </w:tc>
        <w:tc>
          <w:tcPr>
            <w:tcW w:w="982" w:type="dxa"/>
          </w:tcPr>
          <w:p w14:paraId="5E43777F" w14:textId="77777777" w:rsidR="0032545E" w:rsidRPr="0032545E" w:rsidRDefault="0032545E" w:rsidP="009E12C0">
            <w:pPr>
              <w:cnfStyle w:val="100000000000" w:firstRow="1" w:lastRow="0" w:firstColumn="0" w:lastColumn="0" w:oddVBand="0" w:evenVBand="0" w:oddHBand="0" w:evenHBand="0" w:firstRowFirstColumn="0" w:firstRowLastColumn="0" w:lastRowFirstColumn="0" w:lastRowLastColumn="0"/>
              <w:rPr>
                <w:sz w:val="16"/>
                <w:szCs w:val="16"/>
              </w:rPr>
            </w:pPr>
            <w:r w:rsidRPr="0032545E">
              <w:rPr>
                <w:sz w:val="16"/>
                <w:szCs w:val="16"/>
              </w:rPr>
              <w:t>Incident Rate</w:t>
            </w:r>
          </w:p>
        </w:tc>
        <w:tc>
          <w:tcPr>
            <w:tcW w:w="1142" w:type="dxa"/>
          </w:tcPr>
          <w:p w14:paraId="5D4C2059" w14:textId="77777777" w:rsidR="0032545E" w:rsidRPr="0032545E" w:rsidRDefault="0032545E" w:rsidP="009E12C0">
            <w:pPr>
              <w:cnfStyle w:val="100000000000" w:firstRow="1" w:lastRow="0" w:firstColumn="0" w:lastColumn="0" w:oddVBand="0" w:evenVBand="0" w:oddHBand="0" w:evenHBand="0" w:firstRowFirstColumn="0" w:firstRowLastColumn="0" w:lastRowFirstColumn="0" w:lastRowLastColumn="0"/>
              <w:rPr>
                <w:sz w:val="16"/>
                <w:szCs w:val="16"/>
              </w:rPr>
            </w:pPr>
            <w:r w:rsidRPr="0032545E">
              <w:rPr>
                <w:sz w:val="16"/>
                <w:szCs w:val="16"/>
              </w:rPr>
              <w:t>Avg. Pop Stay at Home</w:t>
            </w:r>
          </w:p>
        </w:tc>
      </w:tr>
      <w:tr w:rsidR="0032545E" w:rsidRPr="0032545E" w14:paraId="2ED320BA" w14:textId="77777777" w:rsidTr="00325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tcPr>
          <w:p w14:paraId="2AE27C3F" w14:textId="77777777" w:rsidR="0032545E" w:rsidRPr="0032545E" w:rsidRDefault="0032545E" w:rsidP="009E12C0">
            <w:pPr>
              <w:rPr>
                <w:sz w:val="20"/>
                <w:szCs w:val="20"/>
              </w:rPr>
            </w:pPr>
            <w:r w:rsidRPr="0032545E">
              <w:rPr>
                <w:sz w:val="20"/>
                <w:szCs w:val="20"/>
              </w:rPr>
              <w:t>Count</w:t>
            </w:r>
          </w:p>
        </w:tc>
        <w:tc>
          <w:tcPr>
            <w:tcW w:w="983" w:type="dxa"/>
          </w:tcPr>
          <w:p w14:paraId="4DC5359B" w14:textId="77777777" w:rsidR="0032545E" w:rsidRPr="0032545E" w:rsidRDefault="0032545E" w:rsidP="009E12C0">
            <w:pPr>
              <w:cnfStyle w:val="000000100000" w:firstRow="0" w:lastRow="0" w:firstColumn="0" w:lastColumn="0" w:oddVBand="0" w:evenVBand="0" w:oddHBand="1" w:evenHBand="0" w:firstRowFirstColumn="0" w:firstRowLastColumn="0" w:lastRowFirstColumn="0" w:lastRowLastColumn="0"/>
              <w:rPr>
                <w:sz w:val="20"/>
                <w:szCs w:val="20"/>
              </w:rPr>
            </w:pPr>
            <w:r w:rsidRPr="0032545E">
              <w:rPr>
                <w:sz w:val="20"/>
                <w:szCs w:val="20"/>
              </w:rPr>
              <w:t>61614</w:t>
            </w:r>
          </w:p>
        </w:tc>
        <w:tc>
          <w:tcPr>
            <w:tcW w:w="903" w:type="dxa"/>
          </w:tcPr>
          <w:p w14:paraId="21A66868" w14:textId="77777777" w:rsidR="0032545E" w:rsidRPr="0032545E" w:rsidRDefault="0032545E" w:rsidP="009E12C0">
            <w:pPr>
              <w:cnfStyle w:val="000000100000" w:firstRow="0" w:lastRow="0" w:firstColumn="0" w:lastColumn="0" w:oddVBand="0" w:evenVBand="0" w:oddHBand="1" w:evenHBand="0" w:firstRowFirstColumn="0" w:firstRowLastColumn="0" w:lastRowFirstColumn="0" w:lastRowLastColumn="0"/>
              <w:rPr>
                <w:sz w:val="20"/>
                <w:szCs w:val="20"/>
              </w:rPr>
            </w:pPr>
            <w:r w:rsidRPr="0032545E">
              <w:rPr>
                <w:sz w:val="20"/>
                <w:szCs w:val="20"/>
              </w:rPr>
              <w:t>61614</w:t>
            </w:r>
          </w:p>
        </w:tc>
        <w:tc>
          <w:tcPr>
            <w:tcW w:w="1603" w:type="dxa"/>
          </w:tcPr>
          <w:p w14:paraId="0800233E" w14:textId="77777777" w:rsidR="0032545E" w:rsidRPr="0032545E" w:rsidRDefault="0032545E" w:rsidP="009E12C0">
            <w:pPr>
              <w:cnfStyle w:val="000000100000" w:firstRow="0" w:lastRow="0" w:firstColumn="0" w:lastColumn="0" w:oddVBand="0" w:evenVBand="0" w:oddHBand="1" w:evenHBand="0" w:firstRowFirstColumn="0" w:firstRowLastColumn="0" w:lastRowFirstColumn="0" w:lastRowLastColumn="0"/>
              <w:rPr>
                <w:sz w:val="20"/>
                <w:szCs w:val="20"/>
              </w:rPr>
            </w:pPr>
            <w:r w:rsidRPr="0032545E">
              <w:rPr>
                <w:sz w:val="20"/>
                <w:szCs w:val="20"/>
              </w:rPr>
              <w:t>61614</w:t>
            </w:r>
          </w:p>
        </w:tc>
        <w:tc>
          <w:tcPr>
            <w:tcW w:w="1361" w:type="dxa"/>
          </w:tcPr>
          <w:p w14:paraId="0854C39D" w14:textId="77777777" w:rsidR="0032545E" w:rsidRPr="0032545E" w:rsidRDefault="0032545E" w:rsidP="009E12C0">
            <w:pPr>
              <w:cnfStyle w:val="000000100000" w:firstRow="0" w:lastRow="0" w:firstColumn="0" w:lastColumn="0" w:oddVBand="0" w:evenVBand="0" w:oddHBand="1" w:evenHBand="0" w:firstRowFirstColumn="0" w:firstRowLastColumn="0" w:lastRowFirstColumn="0" w:lastRowLastColumn="0"/>
              <w:rPr>
                <w:sz w:val="20"/>
                <w:szCs w:val="20"/>
              </w:rPr>
            </w:pPr>
            <w:r w:rsidRPr="0032545E">
              <w:rPr>
                <w:sz w:val="20"/>
                <w:szCs w:val="20"/>
              </w:rPr>
              <w:t>61614</w:t>
            </w:r>
          </w:p>
        </w:tc>
        <w:tc>
          <w:tcPr>
            <w:tcW w:w="1108" w:type="dxa"/>
          </w:tcPr>
          <w:p w14:paraId="36E11974" w14:textId="77777777" w:rsidR="0032545E" w:rsidRPr="0032545E" w:rsidRDefault="0032545E" w:rsidP="009E12C0">
            <w:pPr>
              <w:cnfStyle w:val="000000100000" w:firstRow="0" w:lastRow="0" w:firstColumn="0" w:lastColumn="0" w:oddVBand="0" w:evenVBand="0" w:oddHBand="1" w:evenHBand="0" w:firstRowFirstColumn="0" w:firstRowLastColumn="0" w:lastRowFirstColumn="0" w:lastRowLastColumn="0"/>
              <w:rPr>
                <w:sz w:val="20"/>
                <w:szCs w:val="20"/>
              </w:rPr>
            </w:pPr>
            <w:r w:rsidRPr="0032545E">
              <w:rPr>
                <w:sz w:val="20"/>
                <w:szCs w:val="20"/>
              </w:rPr>
              <w:t>61614</w:t>
            </w:r>
          </w:p>
        </w:tc>
        <w:tc>
          <w:tcPr>
            <w:tcW w:w="982" w:type="dxa"/>
          </w:tcPr>
          <w:p w14:paraId="749A528D" w14:textId="77777777" w:rsidR="0032545E" w:rsidRPr="0032545E" w:rsidRDefault="0032545E" w:rsidP="009E12C0">
            <w:pPr>
              <w:cnfStyle w:val="000000100000" w:firstRow="0" w:lastRow="0" w:firstColumn="0" w:lastColumn="0" w:oddVBand="0" w:evenVBand="0" w:oddHBand="1" w:evenHBand="0" w:firstRowFirstColumn="0" w:firstRowLastColumn="0" w:lastRowFirstColumn="0" w:lastRowLastColumn="0"/>
              <w:rPr>
                <w:sz w:val="20"/>
                <w:szCs w:val="20"/>
              </w:rPr>
            </w:pPr>
            <w:r w:rsidRPr="0032545E">
              <w:rPr>
                <w:sz w:val="20"/>
                <w:szCs w:val="20"/>
              </w:rPr>
              <w:t>61614</w:t>
            </w:r>
          </w:p>
        </w:tc>
        <w:tc>
          <w:tcPr>
            <w:tcW w:w="1142" w:type="dxa"/>
          </w:tcPr>
          <w:p w14:paraId="5F5DDC23" w14:textId="77777777" w:rsidR="0032545E" w:rsidRPr="0032545E" w:rsidRDefault="0032545E" w:rsidP="009E12C0">
            <w:pPr>
              <w:cnfStyle w:val="000000100000" w:firstRow="0" w:lastRow="0" w:firstColumn="0" w:lastColumn="0" w:oddVBand="0" w:evenVBand="0" w:oddHBand="1" w:evenHBand="0" w:firstRowFirstColumn="0" w:firstRowLastColumn="0" w:lastRowFirstColumn="0" w:lastRowLastColumn="0"/>
              <w:rPr>
                <w:sz w:val="20"/>
                <w:szCs w:val="20"/>
              </w:rPr>
            </w:pPr>
            <w:r w:rsidRPr="0032545E">
              <w:rPr>
                <w:sz w:val="20"/>
                <w:szCs w:val="20"/>
              </w:rPr>
              <w:t>981</w:t>
            </w:r>
          </w:p>
        </w:tc>
      </w:tr>
      <w:tr w:rsidR="0032545E" w:rsidRPr="0032545E" w14:paraId="365F07ED" w14:textId="77777777" w:rsidTr="0032545E">
        <w:tc>
          <w:tcPr>
            <w:cnfStyle w:val="001000000000" w:firstRow="0" w:lastRow="0" w:firstColumn="1" w:lastColumn="0" w:oddVBand="0" w:evenVBand="0" w:oddHBand="0" w:evenHBand="0" w:firstRowFirstColumn="0" w:firstRowLastColumn="0" w:lastRowFirstColumn="0" w:lastRowLastColumn="0"/>
            <w:tcW w:w="774" w:type="dxa"/>
          </w:tcPr>
          <w:p w14:paraId="749B5CA1" w14:textId="77777777" w:rsidR="0032545E" w:rsidRPr="0032545E" w:rsidRDefault="0032545E" w:rsidP="009E12C0">
            <w:pPr>
              <w:rPr>
                <w:sz w:val="20"/>
                <w:szCs w:val="20"/>
              </w:rPr>
            </w:pPr>
            <w:r w:rsidRPr="0032545E">
              <w:rPr>
                <w:sz w:val="20"/>
                <w:szCs w:val="20"/>
              </w:rPr>
              <w:t>Mean</w:t>
            </w:r>
          </w:p>
        </w:tc>
        <w:tc>
          <w:tcPr>
            <w:tcW w:w="983" w:type="dxa"/>
          </w:tcPr>
          <w:p w14:paraId="073D7D42" w14:textId="77777777" w:rsidR="0032545E" w:rsidRPr="0032545E" w:rsidRDefault="0032545E" w:rsidP="009E12C0">
            <w:pPr>
              <w:cnfStyle w:val="000000000000" w:firstRow="0" w:lastRow="0" w:firstColumn="0" w:lastColumn="0" w:oddVBand="0" w:evenVBand="0" w:oddHBand="0" w:evenHBand="0" w:firstRowFirstColumn="0" w:firstRowLastColumn="0" w:lastRowFirstColumn="0" w:lastRowLastColumn="0"/>
              <w:rPr>
                <w:sz w:val="20"/>
                <w:szCs w:val="20"/>
              </w:rPr>
            </w:pPr>
            <w:r w:rsidRPr="0032545E">
              <w:rPr>
                <w:sz w:val="20"/>
                <w:szCs w:val="20"/>
              </w:rPr>
              <w:t>0.074</w:t>
            </w:r>
          </w:p>
        </w:tc>
        <w:tc>
          <w:tcPr>
            <w:tcW w:w="903" w:type="dxa"/>
          </w:tcPr>
          <w:p w14:paraId="5CFB0EB0" w14:textId="77777777" w:rsidR="0032545E" w:rsidRPr="0032545E" w:rsidRDefault="0032545E" w:rsidP="009E12C0">
            <w:pPr>
              <w:cnfStyle w:val="000000000000" w:firstRow="0" w:lastRow="0" w:firstColumn="0" w:lastColumn="0" w:oddVBand="0" w:evenVBand="0" w:oddHBand="0" w:evenHBand="0" w:firstRowFirstColumn="0" w:firstRowLastColumn="0" w:lastRowFirstColumn="0" w:lastRowLastColumn="0"/>
              <w:rPr>
                <w:sz w:val="20"/>
                <w:szCs w:val="20"/>
              </w:rPr>
            </w:pPr>
            <w:r w:rsidRPr="0032545E">
              <w:rPr>
                <w:sz w:val="20"/>
                <w:szCs w:val="20"/>
              </w:rPr>
              <w:t>707672.407</w:t>
            </w:r>
          </w:p>
        </w:tc>
        <w:tc>
          <w:tcPr>
            <w:tcW w:w="1603" w:type="dxa"/>
          </w:tcPr>
          <w:p w14:paraId="266F5B3E" w14:textId="77777777" w:rsidR="0032545E" w:rsidRPr="0032545E" w:rsidRDefault="0032545E" w:rsidP="009E12C0">
            <w:pPr>
              <w:cnfStyle w:val="000000000000" w:firstRow="0" w:lastRow="0" w:firstColumn="0" w:lastColumn="0" w:oddVBand="0" w:evenVBand="0" w:oddHBand="0" w:evenHBand="0" w:firstRowFirstColumn="0" w:firstRowLastColumn="0" w:lastRowFirstColumn="0" w:lastRowLastColumn="0"/>
              <w:rPr>
                <w:sz w:val="20"/>
                <w:szCs w:val="20"/>
              </w:rPr>
            </w:pPr>
            <w:r w:rsidRPr="0032545E">
              <w:rPr>
                <w:sz w:val="20"/>
                <w:szCs w:val="20"/>
              </w:rPr>
              <w:t>707366.741</w:t>
            </w:r>
          </w:p>
        </w:tc>
        <w:tc>
          <w:tcPr>
            <w:tcW w:w="1361" w:type="dxa"/>
          </w:tcPr>
          <w:p w14:paraId="190C232E" w14:textId="77777777" w:rsidR="0032545E" w:rsidRPr="0032545E" w:rsidRDefault="0032545E" w:rsidP="009E12C0">
            <w:pPr>
              <w:cnfStyle w:val="000000000000" w:firstRow="0" w:lastRow="0" w:firstColumn="0" w:lastColumn="0" w:oddVBand="0" w:evenVBand="0" w:oddHBand="0" w:evenHBand="0" w:firstRowFirstColumn="0" w:firstRowLastColumn="0" w:lastRowFirstColumn="0" w:lastRowLastColumn="0"/>
              <w:rPr>
                <w:sz w:val="20"/>
                <w:szCs w:val="20"/>
              </w:rPr>
            </w:pPr>
            <w:r w:rsidRPr="0032545E">
              <w:rPr>
                <w:sz w:val="20"/>
                <w:szCs w:val="20"/>
              </w:rPr>
              <w:t>39.284</w:t>
            </w:r>
          </w:p>
        </w:tc>
        <w:tc>
          <w:tcPr>
            <w:tcW w:w="1108" w:type="dxa"/>
          </w:tcPr>
          <w:p w14:paraId="01AE6465" w14:textId="77777777" w:rsidR="0032545E" w:rsidRPr="0032545E" w:rsidRDefault="0032545E" w:rsidP="009E12C0">
            <w:pPr>
              <w:cnfStyle w:val="000000000000" w:firstRow="0" w:lastRow="0" w:firstColumn="0" w:lastColumn="0" w:oddVBand="0" w:evenVBand="0" w:oddHBand="0" w:evenHBand="0" w:firstRowFirstColumn="0" w:firstRowLastColumn="0" w:lastRowFirstColumn="0" w:lastRowLastColumn="0"/>
              <w:rPr>
                <w:sz w:val="20"/>
                <w:szCs w:val="20"/>
              </w:rPr>
            </w:pPr>
            <w:r w:rsidRPr="0032545E">
              <w:rPr>
                <w:sz w:val="20"/>
                <w:szCs w:val="20"/>
              </w:rPr>
              <w:t>48.21</w:t>
            </w:r>
          </w:p>
        </w:tc>
        <w:tc>
          <w:tcPr>
            <w:tcW w:w="982" w:type="dxa"/>
          </w:tcPr>
          <w:p w14:paraId="1A4E3183" w14:textId="77777777" w:rsidR="0032545E" w:rsidRPr="0032545E" w:rsidRDefault="0032545E" w:rsidP="009E12C0">
            <w:pPr>
              <w:cnfStyle w:val="000000000000" w:firstRow="0" w:lastRow="0" w:firstColumn="0" w:lastColumn="0" w:oddVBand="0" w:evenVBand="0" w:oddHBand="0" w:evenHBand="0" w:firstRowFirstColumn="0" w:firstRowLastColumn="0" w:lastRowFirstColumn="0" w:lastRowLastColumn="0"/>
              <w:rPr>
                <w:sz w:val="20"/>
                <w:szCs w:val="20"/>
              </w:rPr>
            </w:pPr>
            <w:r w:rsidRPr="0032545E">
              <w:rPr>
                <w:sz w:val="20"/>
                <w:szCs w:val="20"/>
              </w:rPr>
              <w:t>38.653</w:t>
            </w:r>
          </w:p>
        </w:tc>
        <w:tc>
          <w:tcPr>
            <w:tcW w:w="1142" w:type="dxa"/>
          </w:tcPr>
          <w:p w14:paraId="44CE389F" w14:textId="77777777" w:rsidR="0032545E" w:rsidRPr="0032545E" w:rsidRDefault="0032545E" w:rsidP="009E12C0">
            <w:pPr>
              <w:cnfStyle w:val="000000000000" w:firstRow="0" w:lastRow="0" w:firstColumn="0" w:lastColumn="0" w:oddVBand="0" w:evenVBand="0" w:oddHBand="0" w:evenHBand="0" w:firstRowFirstColumn="0" w:firstRowLastColumn="0" w:lastRowFirstColumn="0" w:lastRowLastColumn="0"/>
              <w:rPr>
                <w:sz w:val="20"/>
                <w:szCs w:val="20"/>
              </w:rPr>
            </w:pPr>
            <w:r w:rsidRPr="0032545E">
              <w:rPr>
                <w:sz w:val="20"/>
                <w:szCs w:val="20"/>
              </w:rPr>
              <w:t>14911.875</w:t>
            </w:r>
          </w:p>
        </w:tc>
      </w:tr>
      <w:tr w:rsidR="0032545E" w:rsidRPr="0032545E" w14:paraId="3BDF93D0" w14:textId="77777777" w:rsidTr="00325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tcPr>
          <w:p w14:paraId="76BFD29B" w14:textId="77777777" w:rsidR="0032545E" w:rsidRPr="0032545E" w:rsidRDefault="0032545E" w:rsidP="009E12C0">
            <w:pPr>
              <w:rPr>
                <w:sz w:val="20"/>
                <w:szCs w:val="20"/>
              </w:rPr>
            </w:pPr>
            <w:r w:rsidRPr="0032545E">
              <w:rPr>
                <w:sz w:val="20"/>
                <w:szCs w:val="20"/>
              </w:rPr>
              <w:t>Std</w:t>
            </w:r>
          </w:p>
        </w:tc>
        <w:tc>
          <w:tcPr>
            <w:tcW w:w="983" w:type="dxa"/>
          </w:tcPr>
          <w:p w14:paraId="37FF7766" w14:textId="77777777" w:rsidR="0032545E" w:rsidRPr="0032545E" w:rsidRDefault="0032545E" w:rsidP="009E12C0">
            <w:pPr>
              <w:cnfStyle w:val="000000100000" w:firstRow="0" w:lastRow="0" w:firstColumn="0" w:lastColumn="0" w:oddVBand="0" w:evenVBand="0" w:oddHBand="1" w:evenHBand="0" w:firstRowFirstColumn="0" w:firstRowLastColumn="0" w:lastRowFirstColumn="0" w:lastRowLastColumn="0"/>
              <w:rPr>
                <w:sz w:val="20"/>
                <w:szCs w:val="20"/>
              </w:rPr>
            </w:pPr>
            <w:r w:rsidRPr="0032545E">
              <w:rPr>
                <w:sz w:val="20"/>
                <w:szCs w:val="20"/>
              </w:rPr>
              <w:t>0.107</w:t>
            </w:r>
          </w:p>
        </w:tc>
        <w:tc>
          <w:tcPr>
            <w:tcW w:w="903" w:type="dxa"/>
          </w:tcPr>
          <w:p w14:paraId="5E945DE4" w14:textId="77777777" w:rsidR="0032545E" w:rsidRPr="0032545E" w:rsidRDefault="0032545E" w:rsidP="009E12C0">
            <w:pPr>
              <w:cnfStyle w:val="000000100000" w:firstRow="0" w:lastRow="0" w:firstColumn="0" w:lastColumn="0" w:oddVBand="0" w:evenVBand="0" w:oddHBand="1" w:evenHBand="0" w:firstRowFirstColumn="0" w:firstRowLastColumn="0" w:lastRowFirstColumn="0" w:lastRowLastColumn="0"/>
              <w:rPr>
                <w:sz w:val="20"/>
                <w:szCs w:val="20"/>
              </w:rPr>
            </w:pPr>
            <w:r w:rsidRPr="0032545E">
              <w:rPr>
                <w:sz w:val="20"/>
                <w:szCs w:val="20"/>
              </w:rPr>
              <w:t>673949.67</w:t>
            </w:r>
          </w:p>
        </w:tc>
        <w:tc>
          <w:tcPr>
            <w:tcW w:w="1603" w:type="dxa"/>
          </w:tcPr>
          <w:p w14:paraId="7CE2EBDC" w14:textId="77777777" w:rsidR="0032545E" w:rsidRPr="0032545E" w:rsidRDefault="0032545E" w:rsidP="009E12C0">
            <w:pPr>
              <w:cnfStyle w:val="000000100000" w:firstRow="0" w:lastRow="0" w:firstColumn="0" w:lastColumn="0" w:oddVBand="0" w:evenVBand="0" w:oddHBand="1" w:evenHBand="0" w:firstRowFirstColumn="0" w:firstRowLastColumn="0" w:lastRowFirstColumn="0" w:lastRowLastColumn="0"/>
              <w:rPr>
                <w:sz w:val="20"/>
                <w:szCs w:val="20"/>
              </w:rPr>
            </w:pPr>
            <w:r w:rsidRPr="0032545E">
              <w:rPr>
                <w:sz w:val="20"/>
                <w:szCs w:val="20"/>
              </w:rPr>
              <w:t>674129.917</w:t>
            </w:r>
          </w:p>
        </w:tc>
        <w:tc>
          <w:tcPr>
            <w:tcW w:w="1361" w:type="dxa"/>
          </w:tcPr>
          <w:p w14:paraId="287F56AD" w14:textId="77777777" w:rsidR="0032545E" w:rsidRPr="0032545E" w:rsidRDefault="0032545E" w:rsidP="009E12C0">
            <w:pPr>
              <w:cnfStyle w:val="000000100000" w:firstRow="0" w:lastRow="0" w:firstColumn="0" w:lastColumn="0" w:oddVBand="0" w:evenVBand="0" w:oddHBand="1" w:evenHBand="0" w:firstRowFirstColumn="0" w:firstRowLastColumn="0" w:lastRowFirstColumn="0" w:lastRowLastColumn="0"/>
              <w:rPr>
                <w:sz w:val="20"/>
                <w:szCs w:val="20"/>
              </w:rPr>
            </w:pPr>
            <w:r w:rsidRPr="0032545E">
              <w:rPr>
                <w:sz w:val="20"/>
                <w:szCs w:val="20"/>
              </w:rPr>
              <w:t>16.487</w:t>
            </w:r>
          </w:p>
        </w:tc>
        <w:tc>
          <w:tcPr>
            <w:tcW w:w="1108" w:type="dxa"/>
          </w:tcPr>
          <w:p w14:paraId="382CF926" w14:textId="77777777" w:rsidR="0032545E" w:rsidRPr="0032545E" w:rsidRDefault="0032545E" w:rsidP="009E12C0">
            <w:pPr>
              <w:cnfStyle w:val="000000100000" w:firstRow="0" w:lastRow="0" w:firstColumn="0" w:lastColumn="0" w:oddVBand="0" w:evenVBand="0" w:oddHBand="1" w:evenHBand="0" w:firstRowFirstColumn="0" w:firstRowLastColumn="0" w:lastRowFirstColumn="0" w:lastRowLastColumn="0"/>
              <w:rPr>
                <w:sz w:val="20"/>
                <w:szCs w:val="20"/>
              </w:rPr>
            </w:pPr>
            <w:r w:rsidRPr="0032545E">
              <w:rPr>
                <w:sz w:val="20"/>
                <w:szCs w:val="20"/>
              </w:rPr>
              <w:t>10.554</w:t>
            </w:r>
          </w:p>
        </w:tc>
        <w:tc>
          <w:tcPr>
            <w:tcW w:w="982" w:type="dxa"/>
          </w:tcPr>
          <w:p w14:paraId="305EF987" w14:textId="77777777" w:rsidR="0032545E" w:rsidRPr="0032545E" w:rsidRDefault="0032545E" w:rsidP="009E12C0">
            <w:pPr>
              <w:cnfStyle w:val="000000100000" w:firstRow="0" w:lastRow="0" w:firstColumn="0" w:lastColumn="0" w:oddVBand="0" w:evenVBand="0" w:oddHBand="1" w:evenHBand="0" w:firstRowFirstColumn="0" w:firstRowLastColumn="0" w:lastRowFirstColumn="0" w:lastRowLastColumn="0"/>
              <w:rPr>
                <w:sz w:val="20"/>
                <w:szCs w:val="20"/>
              </w:rPr>
            </w:pPr>
            <w:r w:rsidRPr="0032545E">
              <w:rPr>
                <w:sz w:val="20"/>
                <w:szCs w:val="20"/>
              </w:rPr>
              <w:t>21.433</w:t>
            </w:r>
          </w:p>
        </w:tc>
        <w:tc>
          <w:tcPr>
            <w:tcW w:w="1142" w:type="dxa"/>
          </w:tcPr>
          <w:p w14:paraId="469777E6" w14:textId="77777777" w:rsidR="0032545E" w:rsidRPr="0032545E" w:rsidRDefault="0032545E" w:rsidP="009E12C0">
            <w:pPr>
              <w:cnfStyle w:val="000000100000" w:firstRow="0" w:lastRow="0" w:firstColumn="0" w:lastColumn="0" w:oddVBand="0" w:evenVBand="0" w:oddHBand="1" w:evenHBand="0" w:firstRowFirstColumn="0" w:firstRowLastColumn="0" w:lastRowFirstColumn="0" w:lastRowLastColumn="0"/>
              <w:rPr>
                <w:sz w:val="20"/>
                <w:szCs w:val="20"/>
              </w:rPr>
            </w:pPr>
            <w:r w:rsidRPr="0032545E">
              <w:rPr>
                <w:sz w:val="20"/>
                <w:szCs w:val="20"/>
              </w:rPr>
              <w:t>11116.859</w:t>
            </w:r>
          </w:p>
        </w:tc>
      </w:tr>
      <w:tr w:rsidR="0032545E" w:rsidRPr="0032545E" w14:paraId="54B8ED0F" w14:textId="77777777" w:rsidTr="0032545E">
        <w:tc>
          <w:tcPr>
            <w:cnfStyle w:val="001000000000" w:firstRow="0" w:lastRow="0" w:firstColumn="1" w:lastColumn="0" w:oddVBand="0" w:evenVBand="0" w:oddHBand="0" w:evenHBand="0" w:firstRowFirstColumn="0" w:firstRowLastColumn="0" w:lastRowFirstColumn="0" w:lastRowLastColumn="0"/>
            <w:tcW w:w="774" w:type="dxa"/>
          </w:tcPr>
          <w:p w14:paraId="0B366390" w14:textId="77777777" w:rsidR="0032545E" w:rsidRPr="0032545E" w:rsidRDefault="0032545E" w:rsidP="009E12C0">
            <w:pPr>
              <w:rPr>
                <w:sz w:val="20"/>
                <w:szCs w:val="20"/>
              </w:rPr>
            </w:pPr>
            <w:r w:rsidRPr="0032545E">
              <w:rPr>
                <w:sz w:val="20"/>
                <w:szCs w:val="20"/>
              </w:rPr>
              <w:t>Min</w:t>
            </w:r>
          </w:p>
        </w:tc>
        <w:tc>
          <w:tcPr>
            <w:tcW w:w="983" w:type="dxa"/>
          </w:tcPr>
          <w:p w14:paraId="40964C5A" w14:textId="77777777" w:rsidR="0032545E" w:rsidRPr="0032545E" w:rsidRDefault="0032545E" w:rsidP="009E12C0">
            <w:pPr>
              <w:cnfStyle w:val="000000000000" w:firstRow="0" w:lastRow="0" w:firstColumn="0" w:lastColumn="0" w:oddVBand="0" w:evenVBand="0" w:oddHBand="0" w:evenHBand="0" w:firstRowFirstColumn="0" w:firstRowLastColumn="0" w:lastRowFirstColumn="0" w:lastRowLastColumn="0"/>
              <w:rPr>
                <w:sz w:val="20"/>
                <w:szCs w:val="20"/>
              </w:rPr>
            </w:pPr>
            <w:r w:rsidRPr="0032545E">
              <w:rPr>
                <w:sz w:val="20"/>
                <w:szCs w:val="20"/>
              </w:rPr>
              <w:t>-0.431</w:t>
            </w:r>
          </w:p>
        </w:tc>
        <w:tc>
          <w:tcPr>
            <w:tcW w:w="903" w:type="dxa"/>
          </w:tcPr>
          <w:p w14:paraId="60FBE5A5" w14:textId="77777777" w:rsidR="0032545E" w:rsidRPr="0032545E" w:rsidRDefault="0032545E" w:rsidP="009E12C0">
            <w:pPr>
              <w:cnfStyle w:val="000000000000" w:firstRow="0" w:lastRow="0" w:firstColumn="0" w:lastColumn="0" w:oddVBand="0" w:evenVBand="0" w:oddHBand="0" w:evenHBand="0" w:firstRowFirstColumn="0" w:firstRowLastColumn="0" w:lastRowFirstColumn="0" w:lastRowLastColumn="0"/>
              <w:rPr>
                <w:sz w:val="20"/>
                <w:szCs w:val="20"/>
              </w:rPr>
            </w:pPr>
            <w:r w:rsidRPr="0032545E">
              <w:rPr>
                <w:sz w:val="20"/>
                <w:szCs w:val="20"/>
              </w:rPr>
              <w:t>2406.0</w:t>
            </w:r>
          </w:p>
        </w:tc>
        <w:tc>
          <w:tcPr>
            <w:tcW w:w="1603" w:type="dxa"/>
          </w:tcPr>
          <w:p w14:paraId="3AA5D9B0" w14:textId="77777777" w:rsidR="0032545E" w:rsidRPr="0032545E" w:rsidRDefault="0032545E" w:rsidP="009E12C0">
            <w:pPr>
              <w:cnfStyle w:val="000000000000" w:firstRow="0" w:lastRow="0" w:firstColumn="0" w:lastColumn="0" w:oddVBand="0" w:evenVBand="0" w:oddHBand="0" w:evenHBand="0" w:firstRowFirstColumn="0" w:firstRowLastColumn="0" w:lastRowFirstColumn="0" w:lastRowLastColumn="0"/>
              <w:rPr>
                <w:sz w:val="20"/>
                <w:szCs w:val="20"/>
              </w:rPr>
            </w:pPr>
            <w:r w:rsidRPr="0032545E">
              <w:rPr>
                <w:sz w:val="20"/>
                <w:szCs w:val="20"/>
              </w:rPr>
              <w:t>3012.0</w:t>
            </w:r>
          </w:p>
        </w:tc>
        <w:tc>
          <w:tcPr>
            <w:tcW w:w="1361" w:type="dxa"/>
          </w:tcPr>
          <w:p w14:paraId="079CFA40" w14:textId="77777777" w:rsidR="0032545E" w:rsidRPr="0032545E" w:rsidRDefault="0032545E" w:rsidP="009E12C0">
            <w:pPr>
              <w:cnfStyle w:val="000000000000" w:firstRow="0" w:lastRow="0" w:firstColumn="0" w:lastColumn="0" w:oddVBand="0" w:evenVBand="0" w:oddHBand="0" w:evenHBand="0" w:firstRowFirstColumn="0" w:firstRowLastColumn="0" w:lastRowFirstColumn="0" w:lastRowLastColumn="0"/>
              <w:rPr>
                <w:sz w:val="20"/>
                <w:szCs w:val="20"/>
              </w:rPr>
            </w:pPr>
            <w:r w:rsidRPr="0032545E">
              <w:rPr>
                <w:sz w:val="20"/>
                <w:szCs w:val="20"/>
              </w:rPr>
              <w:t>16.45</w:t>
            </w:r>
          </w:p>
        </w:tc>
        <w:tc>
          <w:tcPr>
            <w:tcW w:w="1108" w:type="dxa"/>
          </w:tcPr>
          <w:p w14:paraId="2C391D67" w14:textId="77777777" w:rsidR="0032545E" w:rsidRPr="0032545E" w:rsidRDefault="0032545E" w:rsidP="009E12C0">
            <w:pPr>
              <w:cnfStyle w:val="000000000000" w:firstRow="0" w:lastRow="0" w:firstColumn="0" w:lastColumn="0" w:oddVBand="0" w:evenVBand="0" w:oddHBand="0" w:evenHBand="0" w:firstRowFirstColumn="0" w:firstRowLastColumn="0" w:lastRowFirstColumn="0" w:lastRowLastColumn="0"/>
              <w:rPr>
                <w:sz w:val="20"/>
                <w:szCs w:val="20"/>
              </w:rPr>
            </w:pPr>
            <w:r w:rsidRPr="0032545E">
              <w:rPr>
                <w:sz w:val="20"/>
                <w:szCs w:val="20"/>
              </w:rPr>
              <w:t>28.01</w:t>
            </w:r>
          </w:p>
        </w:tc>
        <w:tc>
          <w:tcPr>
            <w:tcW w:w="982" w:type="dxa"/>
          </w:tcPr>
          <w:p w14:paraId="2629BC15" w14:textId="77777777" w:rsidR="0032545E" w:rsidRPr="0032545E" w:rsidRDefault="0032545E" w:rsidP="009E12C0">
            <w:pPr>
              <w:cnfStyle w:val="000000000000" w:firstRow="0" w:lastRow="0" w:firstColumn="0" w:lastColumn="0" w:oddVBand="0" w:evenVBand="0" w:oddHBand="0" w:evenHBand="0" w:firstRowFirstColumn="0" w:firstRowLastColumn="0" w:lastRowFirstColumn="0" w:lastRowLastColumn="0"/>
              <w:rPr>
                <w:sz w:val="20"/>
                <w:szCs w:val="20"/>
              </w:rPr>
            </w:pPr>
            <w:r w:rsidRPr="0032545E">
              <w:rPr>
                <w:sz w:val="20"/>
                <w:szCs w:val="20"/>
              </w:rPr>
              <w:t>0.0</w:t>
            </w:r>
          </w:p>
        </w:tc>
        <w:tc>
          <w:tcPr>
            <w:tcW w:w="1142" w:type="dxa"/>
          </w:tcPr>
          <w:p w14:paraId="2A2125EE" w14:textId="77777777" w:rsidR="0032545E" w:rsidRPr="0032545E" w:rsidRDefault="0032545E" w:rsidP="009E12C0">
            <w:pPr>
              <w:cnfStyle w:val="000000000000" w:firstRow="0" w:lastRow="0" w:firstColumn="0" w:lastColumn="0" w:oddVBand="0" w:evenVBand="0" w:oddHBand="0" w:evenHBand="0" w:firstRowFirstColumn="0" w:firstRowLastColumn="0" w:lastRowFirstColumn="0" w:lastRowLastColumn="0"/>
              <w:rPr>
                <w:sz w:val="20"/>
                <w:szCs w:val="20"/>
              </w:rPr>
            </w:pPr>
            <w:r w:rsidRPr="0032545E">
              <w:rPr>
                <w:sz w:val="20"/>
                <w:szCs w:val="20"/>
              </w:rPr>
              <w:t>0.0</w:t>
            </w:r>
          </w:p>
        </w:tc>
      </w:tr>
      <w:tr w:rsidR="0032545E" w:rsidRPr="0032545E" w14:paraId="1EB0F6FB" w14:textId="77777777" w:rsidTr="00325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tcPr>
          <w:p w14:paraId="556B2ADF" w14:textId="77777777" w:rsidR="0032545E" w:rsidRPr="0032545E" w:rsidRDefault="0032545E" w:rsidP="009E12C0">
            <w:pPr>
              <w:rPr>
                <w:sz w:val="20"/>
                <w:szCs w:val="20"/>
              </w:rPr>
            </w:pPr>
            <w:r w:rsidRPr="0032545E">
              <w:rPr>
                <w:sz w:val="20"/>
                <w:szCs w:val="20"/>
              </w:rPr>
              <w:lastRenderedPageBreak/>
              <w:t>25%</w:t>
            </w:r>
          </w:p>
        </w:tc>
        <w:tc>
          <w:tcPr>
            <w:tcW w:w="983" w:type="dxa"/>
          </w:tcPr>
          <w:p w14:paraId="0B587F5D" w14:textId="77777777" w:rsidR="0032545E" w:rsidRPr="0032545E" w:rsidRDefault="0032545E" w:rsidP="009E12C0">
            <w:pPr>
              <w:cnfStyle w:val="000000100000" w:firstRow="0" w:lastRow="0" w:firstColumn="0" w:lastColumn="0" w:oddVBand="0" w:evenVBand="0" w:oddHBand="1" w:evenHBand="0" w:firstRowFirstColumn="0" w:firstRowLastColumn="0" w:lastRowFirstColumn="0" w:lastRowLastColumn="0"/>
              <w:rPr>
                <w:sz w:val="20"/>
                <w:szCs w:val="20"/>
              </w:rPr>
            </w:pPr>
            <w:r w:rsidRPr="0032545E">
              <w:rPr>
                <w:sz w:val="20"/>
                <w:szCs w:val="20"/>
              </w:rPr>
              <w:t>0.018</w:t>
            </w:r>
          </w:p>
        </w:tc>
        <w:tc>
          <w:tcPr>
            <w:tcW w:w="903" w:type="dxa"/>
          </w:tcPr>
          <w:p w14:paraId="5D1AB7CC" w14:textId="77777777" w:rsidR="0032545E" w:rsidRPr="0032545E" w:rsidRDefault="0032545E" w:rsidP="009E12C0">
            <w:pPr>
              <w:cnfStyle w:val="000000100000" w:firstRow="0" w:lastRow="0" w:firstColumn="0" w:lastColumn="0" w:oddVBand="0" w:evenVBand="0" w:oddHBand="1" w:evenHBand="0" w:firstRowFirstColumn="0" w:firstRowLastColumn="0" w:lastRowFirstColumn="0" w:lastRowLastColumn="0"/>
              <w:rPr>
                <w:sz w:val="20"/>
                <w:szCs w:val="20"/>
              </w:rPr>
            </w:pPr>
            <w:r w:rsidRPr="0032545E">
              <w:rPr>
                <w:sz w:val="20"/>
                <w:szCs w:val="20"/>
              </w:rPr>
              <w:t>212156.87</w:t>
            </w:r>
          </w:p>
        </w:tc>
        <w:tc>
          <w:tcPr>
            <w:tcW w:w="1603" w:type="dxa"/>
          </w:tcPr>
          <w:p w14:paraId="650A02F8" w14:textId="77777777" w:rsidR="0032545E" w:rsidRPr="0032545E" w:rsidRDefault="0032545E" w:rsidP="009E12C0">
            <w:pPr>
              <w:cnfStyle w:val="000000100000" w:firstRow="0" w:lastRow="0" w:firstColumn="0" w:lastColumn="0" w:oddVBand="0" w:evenVBand="0" w:oddHBand="1" w:evenHBand="0" w:firstRowFirstColumn="0" w:firstRowLastColumn="0" w:lastRowFirstColumn="0" w:lastRowLastColumn="0"/>
              <w:rPr>
                <w:sz w:val="20"/>
                <w:szCs w:val="20"/>
              </w:rPr>
            </w:pPr>
            <w:r w:rsidRPr="0032545E">
              <w:rPr>
                <w:sz w:val="20"/>
                <w:szCs w:val="20"/>
              </w:rPr>
              <w:t>213959.949</w:t>
            </w:r>
          </w:p>
        </w:tc>
        <w:tc>
          <w:tcPr>
            <w:tcW w:w="1361" w:type="dxa"/>
          </w:tcPr>
          <w:p w14:paraId="4C20D995" w14:textId="77777777" w:rsidR="0032545E" w:rsidRPr="0032545E" w:rsidRDefault="0032545E" w:rsidP="009E12C0">
            <w:pPr>
              <w:cnfStyle w:val="000000100000" w:firstRow="0" w:lastRow="0" w:firstColumn="0" w:lastColumn="0" w:oddVBand="0" w:evenVBand="0" w:oddHBand="1" w:evenHBand="0" w:firstRowFirstColumn="0" w:firstRowLastColumn="0" w:lastRowFirstColumn="0" w:lastRowLastColumn="0"/>
              <w:rPr>
                <w:sz w:val="20"/>
                <w:szCs w:val="20"/>
              </w:rPr>
            </w:pPr>
            <w:r w:rsidRPr="0032545E">
              <w:rPr>
                <w:sz w:val="20"/>
                <w:szCs w:val="20"/>
              </w:rPr>
              <w:t>24.35</w:t>
            </w:r>
          </w:p>
        </w:tc>
        <w:tc>
          <w:tcPr>
            <w:tcW w:w="1108" w:type="dxa"/>
          </w:tcPr>
          <w:p w14:paraId="2347FBC7" w14:textId="77777777" w:rsidR="0032545E" w:rsidRPr="0032545E" w:rsidRDefault="0032545E" w:rsidP="009E12C0">
            <w:pPr>
              <w:cnfStyle w:val="000000100000" w:firstRow="0" w:lastRow="0" w:firstColumn="0" w:lastColumn="0" w:oddVBand="0" w:evenVBand="0" w:oddHBand="1" w:evenHBand="0" w:firstRowFirstColumn="0" w:firstRowLastColumn="0" w:lastRowFirstColumn="0" w:lastRowLastColumn="0"/>
              <w:rPr>
                <w:sz w:val="20"/>
                <w:szCs w:val="20"/>
              </w:rPr>
            </w:pPr>
            <w:r w:rsidRPr="0032545E">
              <w:rPr>
                <w:sz w:val="20"/>
                <w:szCs w:val="20"/>
              </w:rPr>
              <w:t>39.47</w:t>
            </w:r>
          </w:p>
        </w:tc>
        <w:tc>
          <w:tcPr>
            <w:tcW w:w="982" w:type="dxa"/>
          </w:tcPr>
          <w:p w14:paraId="1B92C22F" w14:textId="77777777" w:rsidR="0032545E" w:rsidRPr="0032545E" w:rsidRDefault="0032545E" w:rsidP="009E12C0">
            <w:pPr>
              <w:cnfStyle w:val="000000100000" w:firstRow="0" w:lastRow="0" w:firstColumn="0" w:lastColumn="0" w:oddVBand="0" w:evenVBand="0" w:oddHBand="1" w:evenHBand="0" w:firstRowFirstColumn="0" w:firstRowLastColumn="0" w:lastRowFirstColumn="0" w:lastRowLastColumn="0"/>
              <w:rPr>
                <w:sz w:val="20"/>
                <w:szCs w:val="20"/>
              </w:rPr>
            </w:pPr>
            <w:r w:rsidRPr="0032545E">
              <w:rPr>
                <w:sz w:val="20"/>
                <w:szCs w:val="20"/>
              </w:rPr>
              <w:t>25.0</w:t>
            </w:r>
          </w:p>
        </w:tc>
        <w:tc>
          <w:tcPr>
            <w:tcW w:w="1142" w:type="dxa"/>
          </w:tcPr>
          <w:p w14:paraId="68304416" w14:textId="77777777" w:rsidR="0032545E" w:rsidRPr="0032545E" w:rsidRDefault="0032545E" w:rsidP="009E12C0">
            <w:pPr>
              <w:cnfStyle w:val="000000100000" w:firstRow="0" w:lastRow="0" w:firstColumn="0" w:lastColumn="0" w:oddVBand="0" w:evenVBand="0" w:oddHBand="1" w:evenHBand="0" w:firstRowFirstColumn="0" w:firstRowLastColumn="0" w:lastRowFirstColumn="0" w:lastRowLastColumn="0"/>
              <w:rPr>
                <w:sz w:val="20"/>
                <w:szCs w:val="20"/>
              </w:rPr>
            </w:pPr>
            <w:r w:rsidRPr="0032545E">
              <w:rPr>
                <w:sz w:val="20"/>
                <w:szCs w:val="20"/>
              </w:rPr>
              <w:t>4532.651</w:t>
            </w:r>
          </w:p>
        </w:tc>
      </w:tr>
      <w:tr w:rsidR="0032545E" w:rsidRPr="0032545E" w14:paraId="51B3DE9D" w14:textId="77777777" w:rsidTr="0032545E">
        <w:tc>
          <w:tcPr>
            <w:cnfStyle w:val="001000000000" w:firstRow="0" w:lastRow="0" w:firstColumn="1" w:lastColumn="0" w:oddVBand="0" w:evenVBand="0" w:oddHBand="0" w:evenHBand="0" w:firstRowFirstColumn="0" w:firstRowLastColumn="0" w:lastRowFirstColumn="0" w:lastRowLastColumn="0"/>
            <w:tcW w:w="774" w:type="dxa"/>
          </w:tcPr>
          <w:p w14:paraId="05FFBFBF" w14:textId="77777777" w:rsidR="0032545E" w:rsidRPr="0032545E" w:rsidRDefault="0032545E" w:rsidP="009E12C0">
            <w:pPr>
              <w:rPr>
                <w:sz w:val="20"/>
                <w:szCs w:val="20"/>
              </w:rPr>
            </w:pPr>
            <w:r w:rsidRPr="0032545E">
              <w:rPr>
                <w:sz w:val="20"/>
                <w:szCs w:val="20"/>
              </w:rPr>
              <w:t>50%</w:t>
            </w:r>
          </w:p>
        </w:tc>
        <w:tc>
          <w:tcPr>
            <w:tcW w:w="983" w:type="dxa"/>
          </w:tcPr>
          <w:p w14:paraId="3F6BBD95" w14:textId="77777777" w:rsidR="0032545E" w:rsidRPr="0032545E" w:rsidRDefault="0032545E" w:rsidP="009E12C0">
            <w:pPr>
              <w:cnfStyle w:val="000000000000" w:firstRow="0" w:lastRow="0" w:firstColumn="0" w:lastColumn="0" w:oddVBand="0" w:evenVBand="0" w:oddHBand="0" w:evenHBand="0" w:firstRowFirstColumn="0" w:firstRowLastColumn="0" w:lastRowFirstColumn="0" w:lastRowLastColumn="0"/>
              <w:rPr>
                <w:sz w:val="20"/>
                <w:szCs w:val="20"/>
              </w:rPr>
            </w:pPr>
            <w:r w:rsidRPr="0032545E">
              <w:rPr>
                <w:sz w:val="20"/>
                <w:szCs w:val="20"/>
              </w:rPr>
              <w:t>0.074</w:t>
            </w:r>
          </w:p>
        </w:tc>
        <w:tc>
          <w:tcPr>
            <w:tcW w:w="903" w:type="dxa"/>
          </w:tcPr>
          <w:p w14:paraId="2354C3A3" w14:textId="77777777" w:rsidR="0032545E" w:rsidRPr="0032545E" w:rsidRDefault="0032545E" w:rsidP="009E12C0">
            <w:pPr>
              <w:cnfStyle w:val="000000000000" w:firstRow="0" w:lastRow="0" w:firstColumn="0" w:lastColumn="0" w:oddVBand="0" w:evenVBand="0" w:oddHBand="0" w:evenHBand="0" w:firstRowFirstColumn="0" w:firstRowLastColumn="0" w:lastRowFirstColumn="0" w:lastRowLastColumn="0"/>
              <w:rPr>
                <w:sz w:val="20"/>
                <w:szCs w:val="20"/>
              </w:rPr>
            </w:pPr>
            <w:r w:rsidRPr="0032545E">
              <w:rPr>
                <w:sz w:val="20"/>
                <w:szCs w:val="20"/>
              </w:rPr>
              <w:t>707672.407</w:t>
            </w:r>
          </w:p>
        </w:tc>
        <w:tc>
          <w:tcPr>
            <w:tcW w:w="1603" w:type="dxa"/>
          </w:tcPr>
          <w:p w14:paraId="05E21B23" w14:textId="77777777" w:rsidR="0032545E" w:rsidRPr="0032545E" w:rsidRDefault="0032545E" w:rsidP="009E12C0">
            <w:pPr>
              <w:cnfStyle w:val="000000000000" w:firstRow="0" w:lastRow="0" w:firstColumn="0" w:lastColumn="0" w:oddVBand="0" w:evenVBand="0" w:oddHBand="0" w:evenHBand="0" w:firstRowFirstColumn="0" w:firstRowLastColumn="0" w:lastRowFirstColumn="0" w:lastRowLastColumn="0"/>
              <w:rPr>
                <w:sz w:val="20"/>
                <w:szCs w:val="20"/>
              </w:rPr>
            </w:pPr>
            <w:r w:rsidRPr="0032545E">
              <w:rPr>
                <w:sz w:val="20"/>
                <w:szCs w:val="20"/>
              </w:rPr>
              <w:t>707366.741</w:t>
            </w:r>
          </w:p>
        </w:tc>
        <w:tc>
          <w:tcPr>
            <w:tcW w:w="1361" w:type="dxa"/>
          </w:tcPr>
          <w:p w14:paraId="4E37B5CD" w14:textId="77777777" w:rsidR="0032545E" w:rsidRPr="0032545E" w:rsidRDefault="0032545E" w:rsidP="009E12C0">
            <w:pPr>
              <w:cnfStyle w:val="000000000000" w:firstRow="0" w:lastRow="0" w:firstColumn="0" w:lastColumn="0" w:oddVBand="0" w:evenVBand="0" w:oddHBand="0" w:evenHBand="0" w:firstRowFirstColumn="0" w:firstRowLastColumn="0" w:lastRowFirstColumn="0" w:lastRowLastColumn="0"/>
              <w:rPr>
                <w:sz w:val="20"/>
                <w:szCs w:val="20"/>
              </w:rPr>
            </w:pPr>
            <w:r w:rsidRPr="0032545E">
              <w:rPr>
                <w:sz w:val="20"/>
                <w:szCs w:val="20"/>
              </w:rPr>
              <w:t>38.89</w:t>
            </w:r>
          </w:p>
        </w:tc>
        <w:tc>
          <w:tcPr>
            <w:tcW w:w="1108" w:type="dxa"/>
          </w:tcPr>
          <w:p w14:paraId="4A465A21" w14:textId="77777777" w:rsidR="0032545E" w:rsidRPr="0032545E" w:rsidRDefault="0032545E" w:rsidP="009E12C0">
            <w:pPr>
              <w:cnfStyle w:val="000000000000" w:firstRow="0" w:lastRow="0" w:firstColumn="0" w:lastColumn="0" w:oddVBand="0" w:evenVBand="0" w:oddHBand="0" w:evenHBand="0" w:firstRowFirstColumn="0" w:firstRowLastColumn="0" w:lastRowFirstColumn="0" w:lastRowLastColumn="0"/>
              <w:rPr>
                <w:sz w:val="20"/>
                <w:szCs w:val="20"/>
              </w:rPr>
            </w:pPr>
            <w:r w:rsidRPr="0032545E">
              <w:rPr>
                <w:sz w:val="20"/>
                <w:szCs w:val="20"/>
              </w:rPr>
              <w:t>48.21</w:t>
            </w:r>
          </w:p>
        </w:tc>
        <w:tc>
          <w:tcPr>
            <w:tcW w:w="982" w:type="dxa"/>
          </w:tcPr>
          <w:p w14:paraId="07FC89F8" w14:textId="77777777" w:rsidR="0032545E" w:rsidRPr="0032545E" w:rsidRDefault="0032545E" w:rsidP="009E12C0">
            <w:pPr>
              <w:cnfStyle w:val="000000000000" w:firstRow="0" w:lastRow="0" w:firstColumn="0" w:lastColumn="0" w:oddVBand="0" w:evenVBand="0" w:oddHBand="0" w:evenHBand="0" w:firstRowFirstColumn="0" w:firstRowLastColumn="0" w:lastRowFirstColumn="0" w:lastRowLastColumn="0"/>
              <w:rPr>
                <w:sz w:val="20"/>
                <w:szCs w:val="20"/>
              </w:rPr>
            </w:pPr>
            <w:r w:rsidRPr="0032545E">
              <w:rPr>
                <w:sz w:val="20"/>
                <w:szCs w:val="20"/>
              </w:rPr>
              <w:t>37.5</w:t>
            </w:r>
          </w:p>
        </w:tc>
        <w:tc>
          <w:tcPr>
            <w:tcW w:w="1142" w:type="dxa"/>
          </w:tcPr>
          <w:p w14:paraId="7E45AABC" w14:textId="77777777" w:rsidR="0032545E" w:rsidRPr="0032545E" w:rsidRDefault="0032545E" w:rsidP="009E12C0">
            <w:pPr>
              <w:cnfStyle w:val="000000000000" w:firstRow="0" w:lastRow="0" w:firstColumn="0" w:lastColumn="0" w:oddVBand="0" w:evenVBand="0" w:oddHBand="0" w:evenHBand="0" w:firstRowFirstColumn="0" w:firstRowLastColumn="0" w:lastRowFirstColumn="0" w:lastRowLastColumn="0"/>
              <w:rPr>
                <w:sz w:val="20"/>
                <w:szCs w:val="20"/>
              </w:rPr>
            </w:pPr>
            <w:r w:rsidRPr="0032545E">
              <w:rPr>
                <w:sz w:val="20"/>
                <w:szCs w:val="20"/>
              </w:rPr>
              <w:t>13170.577</w:t>
            </w:r>
          </w:p>
        </w:tc>
      </w:tr>
      <w:tr w:rsidR="0032545E" w:rsidRPr="0032545E" w14:paraId="36D39D18" w14:textId="77777777" w:rsidTr="00325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tcPr>
          <w:p w14:paraId="7C7011A9" w14:textId="77777777" w:rsidR="0032545E" w:rsidRPr="0032545E" w:rsidRDefault="0032545E" w:rsidP="009E12C0">
            <w:pPr>
              <w:rPr>
                <w:sz w:val="20"/>
                <w:szCs w:val="20"/>
              </w:rPr>
            </w:pPr>
            <w:r w:rsidRPr="0032545E">
              <w:rPr>
                <w:sz w:val="20"/>
                <w:szCs w:val="20"/>
              </w:rPr>
              <w:t>75%</w:t>
            </w:r>
          </w:p>
        </w:tc>
        <w:tc>
          <w:tcPr>
            <w:tcW w:w="983" w:type="dxa"/>
          </w:tcPr>
          <w:p w14:paraId="72627E6C" w14:textId="77777777" w:rsidR="0032545E" w:rsidRPr="0032545E" w:rsidRDefault="0032545E" w:rsidP="009E12C0">
            <w:pPr>
              <w:cnfStyle w:val="000000100000" w:firstRow="0" w:lastRow="0" w:firstColumn="0" w:lastColumn="0" w:oddVBand="0" w:evenVBand="0" w:oddHBand="1" w:evenHBand="0" w:firstRowFirstColumn="0" w:firstRowLastColumn="0" w:lastRowFirstColumn="0" w:lastRowLastColumn="0"/>
              <w:rPr>
                <w:sz w:val="20"/>
                <w:szCs w:val="20"/>
              </w:rPr>
            </w:pPr>
            <w:r w:rsidRPr="0032545E">
              <w:rPr>
                <w:sz w:val="20"/>
                <w:szCs w:val="20"/>
              </w:rPr>
              <w:t>0.138</w:t>
            </w:r>
          </w:p>
        </w:tc>
        <w:tc>
          <w:tcPr>
            <w:tcW w:w="903" w:type="dxa"/>
          </w:tcPr>
          <w:p w14:paraId="4798E301" w14:textId="77777777" w:rsidR="0032545E" w:rsidRPr="0032545E" w:rsidRDefault="0032545E" w:rsidP="009E12C0">
            <w:pPr>
              <w:cnfStyle w:val="000000100000" w:firstRow="0" w:lastRow="0" w:firstColumn="0" w:lastColumn="0" w:oddVBand="0" w:evenVBand="0" w:oddHBand="1" w:evenHBand="0" w:firstRowFirstColumn="0" w:firstRowLastColumn="0" w:lastRowFirstColumn="0" w:lastRowLastColumn="0"/>
              <w:rPr>
                <w:sz w:val="20"/>
                <w:szCs w:val="20"/>
              </w:rPr>
            </w:pPr>
            <w:r w:rsidRPr="0032545E">
              <w:rPr>
                <w:sz w:val="20"/>
                <w:szCs w:val="20"/>
              </w:rPr>
              <w:t>812822.455</w:t>
            </w:r>
          </w:p>
        </w:tc>
        <w:tc>
          <w:tcPr>
            <w:tcW w:w="1603" w:type="dxa"/>
          </w:tcPr>
          <w:p w14:paraId="4F497B3F" w14:textId="77777777" w:rsidR="0032545E" w:rsidRPr="0032545E" w:rsidRDefault="0032545E" w:rsidP="009E12C0">
            <w:pPr>
              <w:cnfStyle w:val="000000100000" w:firstRow="0" w:lastRow="0" w:firstColumn="0" w:lastColumn="0" w:oddVBand="0" w:evenVBand="0" w:oddHBand="1" w:evenHBand="0" w:firstRowFirstColumn="0" w:firstRowLastColumn="0" w:lastRowFirstColumn="0" w:lastRowLastColumn="0"/>
              <w:rPr>
                <w:sz w:val="20"/>
                <w:szCs w:val="20"/>
              </w:rPr>
            </w:pPr>
            <w:r w:rsidRPr="0032545E">
              <w:rPr>
                <w:sz w:val="20"/>
                <w:szCs w:val="20"/>
              </w:rPr>
              <w:t>799365.062</w:t>
            </w:r>
          </w:p>
        </w:tc>
        <w:tc>
          <w:tcPr>
            <w:tcW w:w="1361" w:type="dxa"/>
          </w:tcPr>
          <w:p w14:paraId="510A1094" w14:textId="77777777" w:rsidR="0032545E" w:rsidRPr="0032545E" w:rsidRDefault="0032545E" w:rsidP="009E12C0">
            <w:pPr>
              <w:cnfStyle w:val="000000100000" w:firstRow="0" w:lastRow="0" w:firstColumn="0" w:lastColumn="0" w:oddVBand="0" w:evenVBand="0" w:oddHBand="1" w:evenHBand="0" w:firstRowFirstColumn="0" w:firstRowLastColumn="0" w:lastRowFirstColumn="0" w:lastRowLastColumn="0"/>
              <w:rPr>
                <w:sz w:val="20"/>
                <w:szCs w:val="20"/>
              </w:rPr>
            </w:pPr>
            <w:r w:rsidRPr="0032545E">
              <w:rPr>
                <w:sz w:val="20"/>
                <w:szCs w:val="20"/>
              </w:rPr>
              <w:t>51.39</w:t>
            </w:r>
          </w:p>
        </w:tc>
        <w:tc>
          <w:tcPr>
            <w:tcW w:w="1108" w:type="dxa"/>
          </w:tcPr>
          <w:p w14:paraId="0A2ADECD" w14:textId="77777777" w:rsidR="0032545E" w:rsidRPr="0032545E" w:rsidRDefault="0032545E" w:rsidP="009E12C0">
            <w:pPr>
              <w:cnfStyle w:val="000000100000" w:firstRow="0" w:lastRow="0" w:firstColumn="0" w:lastColumn="0" w:oddVBand="0" w:evenVBand="0" w:oddHBand="1" w:evenHBand="0" w:firstRowFirstColumn="0" w:firstRowLastColumn="0" w:lastRowFirstColumn="0" w:lastRowLastColumn="0"/>
              <w:rPr>
                <w:sz w:val="20"/>
                <w:szCs w:val="20"/>
              </w:rPr>
            </w:pPr>
            <w:r w:rsidRPr="0032545E">
              <w:rPr>
                <w:sz w:val="20"/>
                <w:szCs w:val="20"/>
              </w:rPr>
              <w:t>54.69</w:t>
            </w:r>
          </w:p>
        </w:tc>
        <w:tc>
          <w:tcPr>
            <w:tcW w:w="982" w:type="dxa"/>
          </w:tcPr>
          <w:p w14:paraId="29B21A91" w14:textId="77777777" w:rsidR="0032545E" w:rsidRPr="0032545E" w:rsidRDefault="0032545E" w:rsidP="009E12C0">
            <w:pPr>
              <w:cnfStyle w:val="000000100000" w:firstRow="0" w:lastRow="0" w:firstColumn="0" w:lastColumn="0" w:oddVBand="0" w:evenVBand="0" w:oddHBand="1" w:evenHBand="0" w:firstRowFirstColumn="0" w:firstRowLastColumn="0" w:lastRowFirstColumn="0" w:lastRowLastColumn="0"/>
              <w:rPr>
                <w:sz w:val="20"/>
                <w:szCs w:val="20"/>
              </w:rPr>
            </w:pPr>
            <w:r w:rsidRPr="0032545E">
              <w:rPr>
                <w:sz w:val="20"/>
                <w:szCs w:val="20"/>
              </w:rPr>
              <w:t>50.0</w:t>
            </w:r>
          </w:p>
        </w:tc>
        <w:tc>
          <w:tcPr>
            <w:tcW w:w="1142" w:type="dxa"/>
          </w:tcPr>
          <w:p w14:paraId="30B1FA14" w14:textId="77777777" w:rsidR="0032545E" w:rsidRPr="0032545E" w:rsidRDefault="0032545E" w:rsidP="009E12C0">
            <w:pPr>
              <w:cnfStyle w:val="000000100000" w:firstRow="0" w:lastRow="0" w:firstColumn="0" w:lastColumn="0" w:oddVBand="0" w:evenVBand="0" w:oddHBand="1" w:evenHBand="0" w:firstRowFirstColumn="0" w:firstRowLastColumn="0" w:lastRowFirstColumn="0" w:lastRowLastColumn="0"/>
              <w:rPr>
                <w:sz w:val="20"/>
                <w:szCs w:val="20"/>
              </w:rPr>
            </w:pPr>
            <w:r w:rsidRPr="0032545E">
              <w:rPr>
                <w:sz w:val="20"/>
                <w:szCs w:val="20"/>
              </w:rPr>
              <w:t>25162.742</w:t>
            </w:r>
          </w:p>
        </w:tc>
      </w:tr>
      <w:tr w:rsidR="0032545E" w:rsidRPr="0032545E" w14:paraId="20EBA2F6" w14:textId="77777777" w:rsidTr="0032545E">
        <w:tc>
          <w:tcPr>
            <w:cnfStyle w:val="001000000000" w:firstRow="0" w:lastRow="0" w:firstColumn="1" w:lastColumn="0" w:oddVBand="0" w:evenVBand="0" w:oddHBand="0" w:evenHBand="0" w:firstRowFirstColumn="0" w:firstRowLastColumn="0" w:lastRowFirstColumn="0" w:lastRowLastColumn="0"/>
            <w:tcW w:w="774" w:type="dxa"/>
          </w:tcPr>
          <w:p w14:paraId="6F3E74A9" w14:textId="77777777" w:rsidR="0032545E" w:rsidRPr="0032545E" w:rsidRDefault="0032545E" w:rsidP="009E12C0">
            <w:pPr>
              <w:rPr>
                <w:sz w:val="20"/>
                <w:szCs w:val="20"/>
              </w:rPr>
            </w:pPr>
            <w:r w:rsidRPr="0032545E">
              <w:rPr>
                <w:sz w:val="20"/>
                <w:szCs w:val="20"/>
              </w:rPr>
              <w:t>Max</w:t>
            </w:r>
          </w:p>
        </w:tc>
        <w:tc>
          <w:tcPr>
            <w:tcW w:w="983" w:type="dxa"/>
          </w:tcPr>
          <w:p w14:paraId="4A0E7A85" w14:textId="77777777" w:rsidR="0032545E" w:rsidRPr="0032545E" w:rsidRDefault="0032545E" w:rsidP="009E12C0">
            <w:pPr>
              <w:cnfStyle w:val="000000000000" w:firstRow="0" w:lastRow="0" w:firstColumn="0" w:lastColumn="0" w:oddVBand="0" w:evenVBand="0" w:oddHBand="0" w:evenHBand="0" w:firstRowFirstColumn="0" w:firstRowLastColumn="0" w:lastRowFirstColumn="0" w:lastRowLastColumn="0"/>
              <w:rPr>
                <w:sz w:val="20"/>
                <w:szCs w:val="20"/>
              </w:rPr>
            </w:pPr>
            <w:r w:rsidRPr="0032545E">
              <w:rPr>
                <w:sz w:val="20"/>
                <w:szCs w:val="20"/>
              </w:rPr>
              <w:t>0.54</w:t>
            </w:r>
          </w:p>
        </w:tc>
        <w:tc>
          <w:tcPr>
            <w:tcW w:w="903" w:type="dxa"/>
          </w:tcPr>
          <w:p w14:paraId="287F1536" w14:textId="77777777" w:rsidR="0032545E" w:rsidRPr="0032545E" w:rsidRDefault="0032545E" w:rsidP="009E12C0">
            <w:pPr>
              <w:cnfStyle w:val="000000000000" w:firstRow="0" w:lastRow="0" w:firstColumn="0" w:lastColumn="0" w:oddVBand="0" w:evenVBand="0" w:oddHBand="0" w:evenHBand="0" w:firstRowFirstColumn="0" w:firstRowLastColumn="0" w:lastRowFirstColumn="0" w:lastRowLastColumn="0"/>
              <w:rPr>
                <w:sz w:val="20"/>
                <w:szCs w:val="20"/>
              </w:rPr>
            </w:pPr>
            <w:r w:rsidRPr="0032545E">
              <w:rPr>
                <w:sz w:val="20"/>
                <w:szCs w:val="20"/>
              </w:rPr>
              <w:t>4841437.0</w:t>
            </w:r>
          </w:p>
        </w:tc>
        <w:tc>
          <w:tcPr>
            <w:tcW w:w="1603" w:type="dxa"/>
          </w:tcPr>
          <w:p w14:paraId="2E5D8ABD" w14:textId="77777777" w:rsidR="0032545E" w:rsidRPr="0032545E" w:rsidRDefault="0032545E" w:rsidP="009E12C0">
            <w:pPr>
              <w:cnfStyle w:val="000000000000" w:firstRow="0" w:lastRow="0" w:firstColumn="0" w:lastColumn="0" w:oddVBand="0" w:evenVBand="0" w:oddHBand="0" w:evenHBand="0" w:firstRowFirstColumn="0" w:firstRowLastColumn="0" w:lastRowFirstColumn="0" w:lastRowLastColumn="0"/>
              <w:rPr>
                <w:sz w:val="20"/>
                <w:szCs w:val="20"/>
              </w:rPr>
            </w:pPr>
            <w:r w:rsidRPr="0032545E">
              <w:rPr>
                <w:sz w:val="20"/>
                <w:szCs w:val="20"/>
              </w:rPr>
              <w:t>4841598.0</w:t>
            </w:r>
          </w:p>
        </w:tc>
        <w:tc>
          <w:tcPr>
            <w:tcW w:w="1361" w:type="dxa"/>
          </w:tcPr>
          <w:p w14:paraId="55A0517F" w14:textId="77777777" w:rsidR="0032545E" w:rsidRPr="0032545E" w:rsidRDefault="0032545E" w:rsidP="009E12C0">
            <w:pPr>
              <w:cnfStyle w:val="000000000000" w:firstRow="0" w:lastRow="0" w:firstColumn="0" w:lastColumn="0" w:oddVBand="0" w:evenVBand="0" w:oddHBand="0" w:evenHBand="0" w:firstRowFirstColumn="0" w:firstRowLastColumn="0" w:lastRowFirstColumn="0" w:lastRowLastColumn="0"/>
              <w:rPr>
                <w:sz w:val="20"/>
                <w:szCs w:val="20"/>
              </w:rPr>
            </w:pPr>
            <w:r w:rsidRPr="0032545E">
              <w:rPr>
                <w:sz w:val="20"/>
                <w:szCs w:val="20"/>
              </w:rPr>
              <w:t>93.52</w:t>
            </w:r>
          </w:p>
        </w:tc>
        <w:tc>
          <w:tcPr>
            <w:tcW w:w="1108" w:type="dxa"/>
          </w:tcPr>
          <w:p w14:paraId="02635101" w14:textId="77777777" w:rsidR="0032545E" w:rsidRPr="0032545E" w:rsidRDefault="0032545E" w:rsidP="009E12C0">
            <w:pPr>
              <w:cnfStyle w:val="000000000000" w:firstRow="0" w:lastRow="0" w:firstColumn="0" w:lastColumn="0" w:oddVBand="0" w:evenVBand="0" w:oddHBand="0" w:evenHBand="0" w:firstRowFirstColumn="0" w:firstRowLastColumn="0" w:lastRowFirstColumn="0" w:lastRowLastColumn="0"/>
              <w:rPr>
                <w:sz w:val="20"/>
                <w:szCs w:val="20"/>
              </w:rPr>
            </w:pPr>
            <w:r w:rsidRPr="0032545E">
              <w:rPr>
                <w:sz w:val="20"/>
                <w:szCs w:val="20"/>
              </w:rPr>
              <w:t>80.21</w:t>
            </w:r>
          </w:p>
        </w:tc>
        <w:tc>
          <w:tcPr>
            <w:tcW w:w="982" w:type="dxa"/>
          </w:tcPr>
          <w:p w14:paraId="37273B00" w14:textId="77777777" w:rsidR="0032545E" w:rsidRPr="0032545E" w:rsidRDefault="0032545E" w:rsidP="009E12C0">
            <w:pPr>
              <w:cnfStyle w:val="000000000000" w:firstRow="0" w:lastRow="0" w:firstColumn="0" w:lastColumn="0" w:oddVBand="0" w:evenVBand="0" w:oddHBand="0" w:evenHBand="0" w:firstRowFirstColumn="0" w:firstRowLastColumn="0" w:lastRowFirstColumn="0" w:lastRowLastColumn="0"/>
              <w:rPr>
                <w:sz w:val="20"/>
                <w:szCs w:val="20"/>
              </w:rPr>
            </w:pPr>
            <w:r w:rsidRPr="0032545E">
              <w:rPr>
                <w:sz w:val="20"/>
                <w:szCs w:val="20"/>
              </w:rPr>
              <w:t>100.0</w:t>
            </w:r>
          </w:p>
        </w:tc>
        <w:tc>
          <w:tcPr>
            <w:tcW w:w="1142" w:type="dxa"/>
          </w:tcPr>
          <w:p w14:paraId="770F4C36" w14:textId="77777777" w:rsidR="0032545E" w:rsidRPr="0032545E" w:rsidRDefault="0032545E" w:rsidP="009E12C0">
            <w:pPr>
              <w:cnfStyle w:val="000000000000" w:firstRow="0" w:lastRow="0" w:firstColumn="0" w:lastColumn="0" w:oddVBand="0" w:evenVBand="0" w:oddHBand="0" w:evenHBand="0" w:firstRowFirstColumn="0" w:firstRowLastColumn="0" w:lastRowFirstColumn="0" w:lastRowLastColumn="0"/>
              <w:rPr>
                <w:sz w:val="20"/>
                <w:szCs w:val="20"/>
              </w:rPr>
            </w:pPr>
            <w:r w:rsidRPr="0032545E">
              <w:rPr>
                <w:sz w:val="20"/>
                <w:szCs w:val="20"/>
              </w:rPr>
              <w:t>58927.992</w:t>
            </w:r>
          </w:p>
        </w:tc>
      </w:tr>
    </w:tbl>
    <w:p w14:paraId="07825090" w14:textId="31185B33" w:rsidR="00D80A10" w:rsidRDefault="00D80A10">
      <w:pPr>
        <w:rPr>
          <w:color w:val="000000" w:themeColor="text1"/>
        </w:rPr>
      </w:pPr>
    </w:p>
    <w:p w14:paraId="5A3DB4A2" w14:textId="22D360F9" w:rsidR="0032545E" w:rsidRPr="0032545E" w:rsidRDefault="0032545E" w:rsidP="0032545E">
      <w:r w:rsidRPr="0032545E">
        <w:t>The summary statistics table</w:t>
      </w:r>
      <w:r>
        <w:t xml:space="preserve"> (Table 1)</w:t>
      </w:r>
      <w:r w:rsidRPr="0032545E">
        <w:t xml:space="preserve"> reveals that the dependent variable, spend all, indicates consumer spending, with an average increase of 7.4%. The mobility inflow and outflow variables show high averages around 707,000, with significant variation. The Stringency Index averages 39.3, reflecting diverse policy strictness across states. The Economic Support Index averages 38.7, while the Incident Rate averages 14,912 with considerable variation. Population stay-at-home behavior varies significantly, with an average of 80,661. The next step is subgroup analysis to examine how different policy stringency levels influenced mobility, spending, and health outcomes.</w:t>
      </w:r>
    </w:p>
    <w:p w14:paraId="6110BD5E" w14:textId="77777777" w:rsidR="0032545E" w:rsidRDefault="0032545E">
      <w:pPr>
        <w:rPr>
          <w:color w:val="000000" w:themeColor="text1"/>
        </w:rPr>
      </w:pPr>
    </w:p>
    <w:p w14:paraId="7A6C24C2" w14:textId="08B1BD4F" w:rsidR="007C0497" w:rsidRDefault="007C0497">
      <w:pPr>
        <w:rPr>
          <w:color w:val="000000" w:themeColor="text1"/>
        </w:rPr>
      </w:pPr>
      <w:r>
        <w:rPr>
          <w:noProof/>
          <w:color w:val="000000" w:themeColor="text1"/>
        </w:rPr>
        <w:drawing>
          <wp:inline distT="0" distB="0" distL="0" distR="0" wp14:anchorId="25B82A1C" wp14:editId="49F6C4F3">
            <wp:extent cx="5486400" cy="2717800"/>
            <wp:effectExtent l="0" t="0" r="0" b="0"/>
            <wp:docPr id="1831708185" name="Picture 1" descr="A graph showing the pric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08185" name="Picture 1" descr="A graph showing the price of a stock market&#10;&#10;Description automatically generated"/>
                    <pic:cNvPicPr/>
                  </pic:nvPicPr>
                  <pic:blipFill>
                    <a:blip r:embed="rId6"/>
                    <a:stretch>
                      <a:fillRect/>
                    </a:stretch>
                  </pic:blipFill>
                  <pic:spPr>
                    <a:xfrm>
                      <a:off x="0" y="0"/>
                      <a:ext cx="5486400" cy="2717800"/>
                    </a:xfrm>
                    <a:prstGeom prst="rect">
                      <a:avLst/>
                    </a:prstGeom>
                  </pic:spPr>
                </pic:pic>
              </a:graphicData>
            </a:graphic>
          </wp:inline>
        </w:drawing>
      </w:r>
    </w:p>
    <w:p w14:paraId="5A0BA028" w14:textId="77777777" w:rsidR="0032545E" w:rsidRPr="0032545E" w:rsidRDefault="0032545E" w:rsidP="0032545E">
      <w:pPr>
        <w:rPr>
          <w:color w:val="000000" w:themeColor="text1"/>
          <w:lang w:val="en-CA"/>
        </w:rPr>
      </w:pPr>
      <w:r w:rsidRPr="0032545E">
        <w:rPr>
          <w:color w:val="000000" w:themeColor="text1"/>
          <w:lang w:val="en-CA"/>
        </w:rPr>
        <w:t>Figure 1 illustrates how consumer spending evolved in response to major COVID-19 events and policy shifts. It shows a sharp initial decline, followed by gradual recovery. Key policy moments—lockdowns, stimulus packages, and variant surges—are marked to show their potential impact. Spending dropped early in the pandemic but rebounded as restrictions eased and aid was distributed. This suggests that both government policies and public health developments shaped economic behavior.</w:t>
      </w:r>
    </w:p>
    <w:p w14:paraId="0BAEBDC2" w14:textId="14316CDA" w:rsidR="0032545E" w:rsidRPr="0032545E" w:rsidRDefault="0032545E">
      <w:pPr>
        <w:rPr>
          <w:color w:val="000000" w:themeColor="text1"/>
          <w:lang w:val="en-CA"/>
        </w:rPr>
      </w:pPr>
      <w:r w:rsidRPr="0032545E">
        <w:rPr>
          <w:color w:val="000000" w:themeColor="text1"/>
          <w:lang w:val="en-CA"/>
        </w:rPr>
        <w:t xml:space="preserve">Economically, </w:t>
      </w:r>
      <w:r>
        <w:rPr>
          <w:color w:val="000000" w:themeColor="text1"/>
          <w:lang w:val="en-CA"/>
        </w:rPr>
        <w:t xml:space="preserve">the </w:t>
      </w:r>
      <w:r w:rsidRPr="0032545E">
        <w:rPr>
          <w:color w:val="000000" w:themeColor="text1"/>
          <w:lang w:val="en-CA"/>
        </w:rPr>
        <w:t>early decline reflects precautionary savings, as consumers reduced non-essential spending amid uncertainty. The recovery coincides with periods of lower stringency and targeted support, highlighting the role of timely interventions. This directly connects to the research question by illustrating how state-level stringency and support measures influenced spending trends over time.</w:t>
      </w:r>
    </w:p>
    <w:p w14:paraId="3CDBFAE0" w14:textId="11D8BE4A" w:rsidR="007C0497" w:rsidRDefault="007C0497">
      <w:pPr>
        <w:rPr>
          <w:color w:val="000000" w:themeColor="text1"/>
        </w:rPr>
      </w:pPr>
      <w:r>
        <w:rPr>
          <w:noProof/>
          <w:color w:val="000000" w:themeColor="text1"/>
        </w:rPr>
        <w:lastRenderedPageBreak/>
        <w:drawing>
          <wp:inline distT="0" distB="0" distL="0" distR="0" wp14:anchorId="4308D9E0" wp14:editId="3C08C264">
            <wp:extent cx="5486400" cy="2727325"/>
            <wp:effectExtent l="0" t="0" r="0" b="3175"/>
            <wp:docPr id="1917286289" name="Picture 2"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286289" name="Picture 2" descr="A graph of a number of people&#10;&#10;Description automatically generated with medium confidence"/>
                    <pic:cNvPicPr/>
                  </pic:nvPicPr>
                  <pic:blipFill>
                    <a:blip r:embed="rId7"/>
                    <a:stretch>
                      <a:fillRect/>
                    </a:stretch>
                  </pic:blipFill>
                  <pic:spPr>
                    <a:xfrm>
                      <a:off x="0" y="0"/>
                      <a:ext cx="5486400" cy="2727325"/>
                    </a:xfrm>
                    <a:prstGeom prst="rect">
                      <a:avLst/>
                    </a:prstGeom>
                  </pic:spPr>
                </pic:pic>
              </a:graphicData>
            </a:graphic>
          </wp:inline>
        </w:drawing>
      </w:r>
    </w:p>
    <w:p w14:paraId="5E88C0C1" w14:textId="53F5DE80" w:rsidR="0032545E" w:rsidRDefault="0032545E">
      <w:pPr>
        <w:rPr>
          <w:color w:val="000000" w:themeColor="text1"/>
        </w:rPr>
      </w:pPr>
      <w:r w:rsidRPr="002F7812">
        <w:rPr>
          <w:color w:val="000000" w:themeColor="text1"/>
        </w:rPr>
        <w:t>Figure 2 shows category-level consumer spending shifts relative to pre-pandemic levels. Essentials rose steadily, while non-essentials and services fluctuated more, reflecting elastic demand. Services</w:t>
      </w:r>
      <w:r w:rsidRPr="0032545E">
        <w:rPr>
          <w:color w:val="000000" w:themeColor="text1"/>
        </w:rPr>
        <w:t xml:space="preserve"> declined sharply in 2020 and recovered slowly. These trends highlight how mobility restrictions and stringency policies had uneven effects across spending categories, reinforcing our main research findings.</w:t>
      </w:r>
    </w:p>
    <w:p w14:paraId="21C66E2B" w14:textId="77777777" w:rsidR="0032545E" w:rsidRDefault="0032545E">
      <w:pPr>
        <w:rPr>
          <w:color w:val="000000" w:themeColor="text1"/>
        </w:rPr>
      </w:pPr>
    </w:p>
    <w:p w14:paraId="5A71067A" w14:textId="0596A42B" w:rsidR="007C0497" w:rsidRDefault="007C0497">
      <w:pPr>
        <w:rPr>
          <w:color w:val="000000" w:themeColor="text1"/>
        </w:rPr>
      </w:pPr>
      <w:r>
        <w:rPr>
          <w:noProof/>
          <w:color w:val="000000" w:themeColor="text1"/>
        </w:rPr>
        <w:drawing>
          <wp:inline distT="0" distB="0" distL="0" distR="0" wp14:anchorId="7F24C8FA" wp14:editId="6FFC6C4D">
            <wp:extent cx="5486400" cy="2717800"/>
            <wp:effectExtent l="0" t="0" r="0" b="0"/>
            <wp:docPr id="518458225" name="Picture 4" descr="A diagram of different colored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58225" name="Picture 4" descr="A diagram of different colored shapes&#10;&#10;Description automatically generated"/>
                    <pic:cNvPicPr/>
                  </pic:nvPicPr>
                  <pic:blipFill>
                    <a:blip r:embed="rId8"/>
                    <a:stretch>
                      <a:fillRect/>
                    </a:stretch>
                  </pic:blipFill>
                  <pic:spPr>
                    <a:xfrm>
                      <a:off x="0" y="0"/>
                      <a:ext cx="5486400" cy="2717800"/>
                    </a:xfrm>
                    <a:prstGeom prst="rect">
                      <a:avLst/>
                    </a:prstGeom>
                  </pic:spPr>
                </pic:pic>
              </a:graphicData>
            </a:graphic>
          </wp:inline>
        </w:drawing>
      </w:r>
    </w:p>
    <w:p w14:paraId="210F8EE6" w14:textId="1B1B2119" w:rsidR="0032545E" w:rsidRPr="0032545E" w:rsidRDefault="0032545E" w:rsidP="0032545E">
      <w:pPr>
        <w:rPr>
          <w:color w:val="000000" w:themeColor="text1"/>
          <w:lang w:val="en-CA"/>
        </w:rPr>
      </w:pPr>
      <w:r w:rsidRPr="0032545E">
        <w:rPr>
          <w:color w:val="000000" w:themeColor="text1"/>
          <w:lang w:val="en-CA"/>
        </w:rPr>
        <w:t xml:space="preserve">Figure 3 displays the distribution of key COVID-19 policy indices across U.S. states. The violin plots show that while some states adopted consistently strict measures, others were more moderate or variable. Economic support levels also differed. These disparities suggest that consumer spending responses were shaped by state-specific policy combinations. The </w:t>
      </w:r>
      <w:r w:rsidRPr="0032545E">
        <w:rPr>
          <w:color w:val="000000" w:themeColor="text1"/>
          <w:lang w:val="en-CA"/>
        </w:rPr>
        <w:lastRenderedPageBreak/>
        <w:t xml:space="preserve">figure </w:t>
      </w:r>
      <w:r>
        <w:rPr>
          <w:color w:val="000000" w:themeColor="text1"/>
          <w:lang w:val="en-CA"/>
        </w:rPr>
        <w:t>is also the foundation for</w:t>
      </w:r>
      <w:r w:rsidRPr="0032545E">
        <w:rPr>
          <w:color w:val="000000" w:themeColor="text1"/>
          <w:lang w:val="en-CA"/>
        </w:rPr>
        <w:t xml:space="preserve"> later analysis by illustrating how policy stringency and support varied, influencing economic behavior and recovery patterns.</w:t>
      </w:r>
    </w:p>
    <w:p w14:paraId="5413D982" w14:textId="77777777" w:rsidR="0032545E" w:rsidRPr="0032545E" w:rsidRDefault="0032545E">
      <w:pPr>
        <w:rPr>
          <w:color w:val="000000" w:themeColor="text1"/>
          <w:lang w:val="en-CA"/>
        </w:rPr>
      </w:pPr>
    </w:p>
    <w:p w14:paraId="713BE290" w14:textId="51705330" w:rsidR="007C0497" w:rsidRDefault="007C0497">
      <w:pPr>
        <w:rPr>
          <w:color w:val="000000" w:themeColor="text1"/>
        </w:rPr>
      </w:pPr>
      <w:r>
        <w:rPr>
          <w:noProof/>
          <w:color w:val="000000" w:themeColor="text1"/>
        </w:rPr>
        <w:drawing>
          <wp:inline distT="0" distB="0" distL="0" distR="0" wp14:anchorId="5D344695" wp14:editId="12D44465">
            <wp:extent cx="5486400" cy="2727325"/>
            <wp:effectExtent l="0" t="0" r="0" b="3175"/>
            <wp:docPr id="300807053" name="Picture 5" descr="A graph showing a line of different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7053" name="Picture 5" descr="A graph showing a line of different colored dots&#10;&#10;Description automatically generated with medium confidence"/>
                    <pic:cNvPicPr/>
                  </pic:nvPicPr>
                  <pic:blipFill>
                    <a:blip r:embed="rId9"/>
                    <a:stretch>
                      <a:fillRect/>
                    </a:stretch>
                  </pic:blipFill>
                  <pic:spPr>
                    <a:xfrm>
                      <a:off x="0" y="0"/>
                      <a:ext cx="5486400" cy="2727325"/>
                    </a:xfrm>
                    <a:prstGeom prst="rect">
                      <a:avLst/>
                    </a:prstGeom>
                  </pic:spPr>
                </pic:pic>
              </a:graphicData>
            </a:graphic>
          </wp:inline>
        </w:drawing>
      </w:r>
    </w:p>
    <w:p w14:paraId="7E9FF282" w14:textId="68065901" w:rsidR="0032545E" w:rsidRPr="0032545E" w:rsidRDefault="0032545E" w:rsidP="0032545E">
      <w:pPr>
        <w:rPr>
          <w:color w:val="000000" w:themeColor="text1"/>
        </w:rPr>
      </w:pPr>
      <w:r w:rsidRPr="0032545E">
        <w:rPr>
          <w:color w:val="000000" w:themeColor="text1"/>
        </w:rPr>
        <w:t>Figure 4 illustrates the relationship between policy stringency and consumer spending, segmented by incident rate quartiles. Across all groups, higher stringency levels are generally associated with lower consumer spending, reflecting the economic costs of stricter pandemic policies.</w:t>
      </w:r>
    </w:p>
    <w:p w14:paraId="33FFBFF3" w14:textId="592762CE" w:rsidR="0032545E" w:rsidRDefault="0032545E" w:rsidP="0032545E">
      <w:pPr>
        <w:rPr>
          <w:color w:val="000000" w:themeColor="text1"/>
        </w:rPr>
      </w:pPr>
      <w:r w:rsidRPr="0032545E">
        <w:rPr>
          <w:color w:val="000000" w:themeColor="text1"/>
        </w:rPr>
        <w:t>The negative slope of the overall trend line confirms that tighter restrictions reduced economic activity. Interestingly, the pattern varies by incident rate group. States in the “Low” and “Mid-Low” quartiles (lighter green and orange) show a wider spread in spending, suggesting that even moderate restrictions significantly influenced behavior in areas with fewer cases. In contrast, states with “High” incident rates (pink) exhibit tighter clustering at lower spending levels, likely reflecting both policy enforcement and public fear. This figure supports the research question by showing how both policy severity and pandemic intensity jointly shaped spending outcomes. It highlights that in lower-incidence states, even small changes in restrictions had visible economic effects.</w:t>
      </w:r>
    </w:p>
    <w:p w14:paraId="7538CFAB" w14:textId="77777777" w:rsidR="002F7812" w:rsidRPr="00E0392A" w:rsidRDefault="002F7812" w:rsidP="0032545E">
      <w:pPr>
        <w:rPr>
          <w:color w:val="000000" w:themeColor="text1"/>
        </w:rPr>
      </w:pPr>
    </w:p>
    <w:p w14:paraId="46AF9B92" w14:textId="54F4FB13" w:rsidR="00305E93" w:rsidRDefault="00000000" w:rsidP="00305E93">
      <w:pPr>
        <w:pStyle w:val="Heading2"/>
        <w:rPr>
          <w:color w:val="000000" w:themeColor="text1"/>
        </w:rPr>
      </w:pPr>
      <w:bookmarkStart w:id="0" w:name="OLE_LINK3"/>
      <w:bookmarkStart w:id="1" w:name="OLE_LINK4"/>
      <w:r w:rsidRPr="00E0392A">
        <w:rPr>
          <w:color w:val="000000" w:themeColor="text1"/>
        </w:rPr>
        <w:t xml:space="preserve">4. </w:t>
      </w:r>
      <w:r w:rsidR="007C0497">
        <w:rPr>
          <w:color w:val="000000" w:themeColor="text1"/>
        </w:rPr>
        <w:t>Results</w:t>
      </w:r>
    </w:p>
    <w:p w14:paraId="6CE4D806" w14:textId="0098FAD7" w:rsidR="002F7812" w:rsidRPr="002F7812" w:rsidRDefault="002F7812" w:rsidP="002F7812">
      <w:r w:rsidRPr="002F7812">
        <w:t>The results section presents key findings from visual trends, regression analysis, machine learning models, and web-scraped data. These methods reveal how policy stringency, mobility, and economic support influenced consumer spending during the pandemic, offering insight into the state-level variation in economic behavior and recovery across the United States</w:t>
      </w:r>
    </w:p>
    <w:bookmarkEnd w:id="0"/>
    <w:bookmarkEnd w:id="1"/>
    <w:p w14:paraId="6D173FB1" w14:textId="6AC11094" w:rsidR="00305E93" w:rsidRDefault="00305E93" w:rsidP="00305E93">
      <w:pPr>
        <w:pStyle w:val="Heading2"/>
        <w:rPr>
          <w:color w:val="000000" w:themeColor="text1"/>
        </w:rPr>
      </w:pPr>
      <w:r>
        <w:rPr>
          <w:color w:val="000000" w:themeColor="text1"/>
        </w:rPr>
        <w:lastRenderedPageBreak/>
        <w:t>4</w:t>
      </w:r>
      <w:r w:rsidRPr="00E0392A">
        <w:rPr>
          <w:color w:val="000000" w:themeColor="text1"/>
        </w:rPr>
        <w:t>.</w:t>
      </w:r>
      <w:r>
        <w:rPr>
          <w:color w:val="000000" w:themeColor="text1"/>
        </w:rPr>
        <w:t>1</w:t>
      </w:r>
      <w:r w:rsidRPr="00E0392A">
        <w:rPr>
          <w:color w:val="000000" w:themeColor="text1"/>
        </w:rPr>
        <w:t xml:space="preserve"> </w:t>
      </w:r>
      <w:r>
        <w:rPr>
          <w:color w:val="000000" w:themeColor="text1"/>
        </w:rPr>
        <w:t>Map</w:t>
      </w:r>
    </w:p>
    <w:p w14:paraId="05A00EA6" w14:textId="7388F405" w:rsidR="002F7812" w:rsidRPr="002F7812" w:rsidRDefault="002F7812" w:rsidP="002F7812">
      <w:pPr>
        <w:rPr>
          <w:lang w:val="en-CA"/>
        </w:rPr>
      </w:pPr>
      <w:r w:rsidRPr="002F7812">
        <w:rPr>
          <w:lang w:val="en-CA"/>
        </w:rPr>
        <w:t xml:space="preserve">This </w:t>
      </w:r>
      <w:r>
        <w:rPr>
          <w:lang w:val="en-CA"/>
        </w:rPr>
        <w:t xml:space="preserve">section is the </w:t>
      </w:r>
      <w:r w:rsidRPr="002F7812">
        <w:rPr>
          <w:lang w:val="en-CA"/>
        </w:rPr>
        <w:t>visualization</w:t>
      </w:r>
      <w:r>
        <w:rPr>
          <w:lang w:val="en-CA"/>
        </w:rPr>
        <w:t xml:space="preserve">s of three maps in state levels, which </w:t>
      </w:r>
      <w:r w:rsidRPr="002F7812">
        <w:rPr>
          <w:lang w:val="en-CA"/>
        </w:rPr>
        <w:t xml:space="preserve">highlights </w:t>
      </w:r>
      <w:r>
        <w:rPr>
          <w:lang w:val="en-CA"/>
        </w:rPr>
        <w:t xml:space="preserve">the </w:t>
      </w:r>
      <w:r w:rsidRPr="002F7812">
        <w:rPr>
          <w:lang w:val="en-CA"/>
        </w:rPr>
        <w:t xml:space="preserve">strict policies did not necessarily result in better public health outcomes. </w:t>
      </w:r>
    </w:p>
    <w:p w14:paraId="61474146" w14:textId="77777777" w:rsidR="002F7812" w:rsidRPr="002F7812" w:rsidRDefault="002F7812" w:rsidP="002F7812">
      <w:pPr>
        <w:rPr>
          <w:lang w:val="en-CA"/>
        </w:rPr>
      </w:pPr>
    </w:p>
    <w:p w14:paraId="3F42A10F" w14:textId="26B41ADC" w:rsidR="002F7812" w:rsidRPr="002F7812" w:rsidRDefault="002F7812" w:rsidP="002F7812">
      <w:r>
        <w:rPr>
          <w:noProof/>
        </w:rPr>
        <w:drawing>
          <wp:inline distT="0" distB="0" distL="0" distR="0" wp14:anchorId="66773E37" wp14:editId="18D68ADD">
            <wp:extent cx="5486400" cy="3874135"/>
            <wp:effectExtent l="0" t="0" r="0" b="0"/>
            <wp:docPr id="1553459570" name="Picture 12"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459570" name="Picture 12" descr="A map of the united states&#10;&#10;Description automatically generated"/>
                    <pic:cNvPicPr/>
                  </pic:nvPicPr>
                  <pic:blipFill>
                    <a:blip r:embed="rId10"/>
                    <a:stretch>
                      <a:fillRect/>
                    </a:stretch>
                  </pic:blipFill>
                  <pic:spPr>
                    <a:xfrm>
                      <a:off x="0" y="0"/>
                      <a:ext cx="5486400" cy="3874135"/>
                    </a:xfrm>
                    <a:prstGeom prst="rect">
                      <a:avLst/>
                    </a:prstGeom>
                  </pic:spPr>
                </pic:pic>
              </a:graphicData>
            </a:graphic>
          </wp:inline>
        </w:drawing>
      </w:r>
    </w:p>
    <w:p w14:paraId="7F83FC48" w14:textId="110A7560" w:rsidR="0091573B" w:rsidRPr="002F7812" w:rsidRDefault="002F7812" w:rsidP="0091573B">
      <w:pPr>
        <w:rPr>
          <w:lang w:val="en-CA"/>
        </w:rPr>
      </w:pPr>
      <w:r w:rsidRPr="002F7812">
        <w:rPr>
          <w:lang w:val="en-CA"/>
        </w:rPr>
        <w:t>This map 1 highlights the top five states with the highest COVID-19 incident rates while showing the average stringency index across all U.S. states. Darker shades represent states with stricter COVID-19 policies, while lighter shades indicate less restrictive measures. The five states with the highest incident rates.</w:t>
      </w:r>
      <w:r>
        <w:rPr>
          <w:lang w:val="en-CA"/>
        </w:rPr>
        <w:t xml:space="preserve"> </w:t>
      </w:r>
      <w:r w:rsidRPr="002F7812">
        <w:rPr>
          <w:lang w:val="en-CA"/>
        </w:rPr>
        <w:t>The map reveals that high infection rates do not always correspond with stricter policies. Some high-incident states had moderate stringency levels, suggesting that other factors, such as public compliance, health infrastructure, and economic activity, may have influenced outcomes.</w:t>
      </w:r>
    </w:p>
    <w:p w14:paraId="62BDDB1F" w14:textId="77777777" w:rsidR="00305E93" w:rsidRDefault="007C0497" w:rsidP="007C0497">
      <w:r>
        <w:rPr>
          <w:noProof/>
        </w:rPr>
        <w:lastRenderedPageBreak/>
        <w:drawing>
          <wp:inline distT="0" distB="0" distL="0" distR="0" wp14:anchorId="6DDCEEBD" wp14:editId="46F6E057">
            <wp:extent cx="5486400" cy="3874135"/>
            <wp:effectExtent l="0" t="0" r="0" b="0"/>
            <wp:docPr id="678616037" name="Picture 7"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616037" name="Picture 7" descr="A map of the united states&#10;&#10;Description automatically generated"/>
                    <pic:cNvPicPr/>
                  </pic:nvPicPr>
                  <pic:blipFill>
                    <a:blip r:embed="rId11"/>
                    <a:stretch>
                      <a:fillRect/>
                    </a:stretch>
                  </pic:blipFill>
                  <pic:spPr>
                    <a:xfrm>
                      <a:off x="0" y="0"/>
                      <a:ext cx="5486400" cy="3874135"/>
                    </a:xfrm>
                    <a:prstGeom prst="rect">
                      <a:avLst/>
                    </a:prstGeom>
                  </pic:spPr>
                </pic:pic>
              </a:graphicData>
            </a:graphic>
          </wp:inline>
        </w:drawing>
      </w:r>
    </w:p>
    <w:p w14:paraId="1C5DAA8C" w14:textId="77777777" w:rsidR="00305E93" w:rsidRPr="00305E93" w:rsidRDefault="00305E93" w:rsidP="00305E93">
      <w:pPr>
        <w:rPr>
          <w:lang w:val="en-CA"/>
        </w:rPr>
      </w:pPr>
      <w:r w:rsidRPr="00305E93">
        <w:rPr>
          <w:lang w:val="en-CA"/>
        </w:rPr>
        <w:t>This map 2 shows the average stay-at-home behavior relative to COVID-19 cases by state, highlighting the top five states with the lowest incident rates. States like Vermont, Maine, and Maryland had fewer COVID-19 cases but still maintained moderate or high stay-at-home activity. This suggests that strong public compliance or early preventive behavior may have contributed to lower infection rates in these regions. This supports the idea that mobility reduction played a key role in shaping health outcomes during the pandemic. Even without strict policies, voluntary behavioral changes may influence case numbers. The variation across states highlights that not only policy stringency, but also public response, shaped the trade-off between economic activity and health outcomes.</w:t>
      </w:r>
    </w:p>
    <w:p w14:paraId="3A2D6E48" w14:textId="77777777" w:rsidR="00305E93" w:rsidRPr="00305E93" w:rsidRDefault="00305E93" w:rsidP="00305E93">
      <w:pPr>
        <w:rPr>
          <w:lang w:val="en-CA"/>
        </w:rPr>
      </w:pPr>
    </w:p>
    <w:p w14:paraId="20BAFBFA" w14:textId="77777777" w:rsidR="00305E93" w:rsidRDefault="00305E93" w:rsidP="007C0497"/>
    <w:p w14:paraId="516F7E2E" w14:textId="02F74279" w:rsidR="007C0497" w:rsidRDefault="007C0497" w:rsidP="007C0497">
      <w:r>
        <w:rPr>
          <w:noProof/>
        </w:rPr>
        <w:lastRenderedPageBreak/>
        <w:drawing>
          <wp:inline distT="0" distB="0" distL="0" distR="0" wp14:anchorId="425AF9CC" wp14:editId="4F64D2D1">
            <wp:extent cx="5486400" cy="3752850"/>
            <wp:effectExtent l="0" t="0" r="0" b="6350"/>
            <wp:docPr id="1626144432" name="Picture 8"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44432" name="Picture 8" descr="A map of the united states&#10;&#10;Description automatically generated"/>
                    <pic:cNvPicPr/>
                  </pic:nvPicPr>
                  <pic:blipFill>
                    <a:blip r:embed="rId12"/>
                    <a:stretch>
                      <a:fillRect/>
                    </a:stretch>
                  </pic:blipFill>
                  <pic:spPr>
                    <a:xfrm>
                      <a:off x="0" y="0"/>
                      <a:ext cx="5486400" cy="3752850"/>
                    </a:xfrm>
                    <a:prstGeom prst="rect">
                      <a:avLst/>
                    </a:prstGeom>
                  </pic:spPr>
                </pic:pic>
              </a:graphicData>
            </a:graphic>
          </wp:inline>
        </w:drawing>
      </w:r>
    </w:p>
    <w:p w14:paraId="65D4B80C" w14:textId="054CECE4" w:rsidR="00305E93" w:rsidRPr="007C0497" w:rsidRDefault="00305E93" w:rsidP="007C0497">
      <w:r w:rsidRPr="00305E93">
        <w:t>This map 3 displays the average ratio of mobility inflow to outflow by state, with the top five states having the highest ratios labeled. A higher ratio indicates more people entering than leaving, which may reflect relative economic attractiveness or less restrictive mobility policies. From a research perspective, this helps explain observed differences in consumer spending across states. In states with high inflow, the added presence of non-residents may contribute to higher local spending—even if resident activity is lower. This also aligns with regression findings in the follow sub-section, which is showing mobility outflow positively linked to spending, suggesting that economic activity can shift geographically rather than disappear.</w:t>
      </w:r>
    </w:p>
    <w:p w14:paraId="7E3AE3F6" w14:textId="79A5696B" w:rsidR="00D80A10" w:rsidRDefault="007C0497">
      <w:pPr>
        <w:pStyle w:val="Heading2"/>
        <w:rPr>
          <w:color w:val="000000" w:themeColor="text1"/>
        </w:rPr>
      </w:pPr>
      <w:r>
        <w:rPr>
          <w:color w:val="000000" w:themeColor="text1"/>
        </w:rPr>
        <w:t>4</w:t>
      </w:r>
      <w:r w:rsidRPr="00E0392A">
        <w:rPr>
          <w:color w:val="000000" w:themeColor="text1"/>
        </w:rPr>
        <w:t>.</w:t>
      </w:r>
      <w:r w:rsidR="00305E93">
        <w:rPr>
          <w:color w:val="000000" w:themeColor="text1"/>
        </w:rPr>
        <w:t>2</w:t>
      </w:r>
      <w:r w:rsidRPr="00E0392A">
        <w:rPr>
          <w:color w:val="000000" w:themeColor="text1"/>
        </w:rPr>
        <w:t xml:space="preserve"> Regression Analysis</w:t>
      </w:r>
    </w:p>
    <w:p w14:paraId="404C0A19" w14:textId="79B58C73" w:rsidR="00F97403" w:rsidRPr="00F97403" w:rsidRDefault="00F97403" w:rsidP="00F97403">
      <w:pPr>
        <w:rPr>
          <w:color w:val="000000" w:themeColor="text1"/>
          <w:lang w:val="en-CA"/>
        </w:rPr>
      </w:pPr>
      <w:r>
        <w:rPr>
          <w:color w:val="000000" w:themeColor="text1"/>
          <w:lang w:val="en-CA"/>
        </w:rPr>
        <w:t>In this section, t</w:t>
      </w:r>
      <w:r w:rsidRPr="00F97403">
        <w:rPr>
          <w:color w:val="000000" w:themeColor="text1"/>
          <w:lang w:val="en-CA"/>
        </w:rPr>
        <w:t>he regression results provide insights into how state-level COVID-19 policies shaped consumer spending and public health outcomes.</w:t>
      </w:r>
    </w:p>
    <w:p w14:paraId="7A5BBADF" w14:textId="44A95A84" w:rsidR="00F97403" w:rsidRPr="00F97403" w:rsidRDefault="00F97403" w:rsidP="00F97403">
      <w:pPr>
        <w:pStyle w:val="Caption"/>
        <w:keepNext/>
        <w:rPr>
          <w:color w:val="000000" w:themeColor="text1"/>
        </w:rPr>
      </w:pPr>
      <w:r w:rsidRPr="00F97403">
        <w:rPr>
          <w:color w:val="000000" w:themeColor="text1"/>
        </w:rPr>
        <w:t xml:space="preserve">Table </w:t>
      </w:r>
      <w:r w:rsidRPr="00F97403">
        <w:rPr>
          <w:color w:val="000000" w:themeColor="text1"/>
        </w:rPr>
        <w:fldChar w:fldCharType="begin"/>
      </w:r>
      <w:r w:rsidRPr="00F97403">
        <w:rPr>
          <w:color w:val="000000" w:themeColor="text1"/>
        </w:rPr>
        <w:instrText xml:space="preserve"> SEQ Table \* ARABIC </w:instrText>
      </w:r>
      <w:r w:rsidRPr="00F97403">
        <w:rPr>
          <w:color w:val="000000" w:themeColor="text1"/>
        </w:rPr>
        <w:fldChar w:fldCharType="separate"/>
      </w:r>
      <w:r w:rsidRPr="00F97403">
        <w:rPr>
          <w:noProof/>
          <w:color w:val="000000" w:themeColor="text1"/>
        </w:rPr>
        <w:t>2</w:t>
      </w:r>
      <w:r w:rsidRPr="00F97403">
        <w:rPr>
          <w:color w:val="000000" w:themeColor="text1"/>
        </w:rPr>
        <w:fldChar w:fldCharType="end"/>
      </w:r>
    </w:p>
    <w:tbl>
      <w:tblPr>
        <w:tblStyle w:val="TableGrid"/>
        <w:tblW w:w="0" w:type="auto"/>
        <w:tblLook w:val="04A0" w:firstRow="1" w:lastRow="0" w:firstColumn="1" w:lastColumn="0" w:noHBand="0" w:noVBand="1"/>
      </w:tblPr>
      <w:tblGrid>
        <w:gridCol w:w="1074"/>
        <w:gridCol w:w="767"/>
        <w:gridCol w:w="824"/>
        <w:gridCol w:w="767"/>
        <w:gridCol w:w="767"/>
        <w:gridCol w:w="653"/>
        <w:gridCol w:w="767"/>
        <w:gridCol w:w="767"/>
        <w:gridCol w:w="710"/>
        <w:gridCol w:w="767"/>
        <w:gridCol w:w="767"/>
      </w:tblGrid>
      <w:tr w:rsidR="00F97403" w:rsidRPr="00F97403" w14:paraId="31851D3E" w14:textId="77777777" w:rsidTr="00F97403">
        <w:tc>
          <w:tcPr>
            <w:tcW w:w="1104" w:type="dxa"/>
          </w:tcPr>
          <w:p w14:paraId="11510243" w14:textId="77777777" w:rsidR="00F97403" w:rsidRPr="00F97403" w:rsidRDefault="00F97403" w:rsidP="009E12C0">
            <w:pPr>
              <w:rPr>
                <w:sz w:val="16"/>
                <w:szCs w:val="16"/>
              </w:rPr>
            </w:pPr>
            <w:r w:rsidRPr="00F97403">
              <w:rPr>
                <w:sz w:val="16"/>
                <w:szCs w:val="16"/>
              </w:rPr>
              <w:t>Variable</w:t>
            </w:r>
          </w:p>
        </w:tc>
        <w:tc>
          <w:tcPr>
            <w:tcW w:w="787" w:type="dxa"/>
          </w:tcPr>
          <w:p w14:paraId="6BD07664" w14:textId="77777777" w:rsidR="00F97403" w:rsidRPr="00F97403" w:rsidRDefault="00F97403" w:rsidP="009E12C0">
            <w:pPr>
              <w:rPr>
                <w:sz w:val="16"/>
                <w:szCs w:val="16"/>
              </w:rPr>
            </w:pPr>
            <w:r w:rsidRPr="00F97403">
              <w:rPr>
                <w:sz w:val="16"/>
                <w:szCs w:val="16"/>
              </w:rPr>
              <w:t>Model 1</w:t>
            </w:r>
          </w:p>
        </w:tc>
        <w:tc>
          <w:tcPr>
            <w:tcW w:w="846" w:type="dxa"/>
          </w:tcPr>
          <w:p w14:paraId="375AC10E" w14:textId="77777777" w:rsidR="00F97403" w:rsidRPr="00F97403" w:rsidRDefault="00F97403" w:rsidP="009E12C0">
            <w:pPr>
              <w:rPr>
                <w:sz w:val="16"/>
                <w:szCs w:val="16"/>
              </w:rPr>
            </w:pPr>
            <w:r w:rsidRPr="00F97403">
              <w:rPr>
                <w:sz w:val="16"/>
                <w:szCs w:val="16"/>
              </w:rPr>
              <w:t>Model 2</w:t>
            </w:r>
          </w:p>
        </w:tc>
        <w:tc>
          <w:tcPr>
            <w:tcW w:w="787" w:type="dxa"/>
          </w:tcPr>
          <w:p w14:paraId="2FAD1120" w14:textId="77777777" w:rsidR="00F97403" w:rsidRPr="00F97403" w:rsidRDefault="00F97403" w:rsidP="009E12C0">
            <w:pPr>
              <w:rPr>
                <w:sz w:val="16"/>
                <w:szCs w:val="16"/>
              </w:rPr>
            </w:pPr>
            <w:r w:rsidRPr="00F97403">
              <w:rPr>
                <w:sz w:val="16"/>
                <w:szCs w:val="16"/>
              </w:rPr>
              <w:t>Model 3</w:t>
            </w:r>
          </w:p>
        </w:tc>
        <w:tc>
          <w:tcPr>
            <w:tcW w:w="787" w:type="dxa"/>
          </w:tcPr>
          <w:p w14:paraId="1D76C6B4" w14:textId="77777777" w:rsidR="00F97403" w:rsidRPr="00F97403" w:rsidRDefault="00F97403" w:rsidP="009E12C0">
            <w:pPr>
              <w:rPr>
                <w:sz w:val="16"/>
                <w:szCs w:val="16"/>
              </w:rPr>
            </w:pPr>
            <w:r w:rsidRPr="00F97403">
              <w:rPr>
                <w:sz w:val="16"/>
                <w:szCs w:val="16"/>
              </w:rPr>
              <w:t>Model 4</w:t>
            </w:r>
          </w:p>
        </w:tc>
        <w:tc>
          <w:tcPr>
            <w:tcW w:w="669" w:type="dxa"/>
          </w:tcPr>
          <w:p w14:paraId="70B1A534" w14:textId="77777777" w:rsidR="00F97403" w:rsidRPr="00F97403" w:rsidRDefault="00F97403" w:rsidP="009E12C0">
            <w:pPr>
              <w:rPr>
                <w:sz w:val="16"/>
                <w:szCs w:val="16"/>
              </w:rPr>
            </w:pPr>
            <w:r w:rsidRPr="00F97403">
              <w:rPr>
                <w:sz w:val="16"/>
                <w:szCs w:val="16"/>
              </w:rPr>
              <w:t>Model5</w:t>
            </w:r>
          </w:p>
        </w:tc>
        <w:tc>
          <w:tcPr>
            <w:tcW w:w="787" w:type="dxa"/>
          </w:tcPr>
          <w:p w14:paraId="6A1BB679" w14:textId="77777777" w:rsidR="00F97403" w:rsidRPr="00F97403" w:rsidRDefault="00F97403" w:rsidP="009E12C0">
            <w:pPr>
              <w:rPr>
                <w:sz w:val="16"/>
                <w:szCs w:val="16"/>
              </w:rPr>
            </w:pPr>
            <w:r w:rsidRPr="00F97403">
              <w:rPr>
                <w:sz w:val="16"/>
                <w:szCs w:val="16"/>
              </w:rPr>
              <w:t>Model 6</w:t>
            </w:r>
          </w:p>
        </w:tc>
        <w:tc>
          <w:tcPr>
            <w:tcW w:w="787" w:type="dxa"/>
          </w:tcPr>
          <w:p w14:paraId="44342017" w14:textId="77777777" w:rsidR="00F97403" w:rsidRPr="00F97403" w:rsidRDefault="00F97403" w:rsidP="009E12C0">
            <w:pPr>
              <w:rPr>
                <w:sz w:val="16"/>
                <w:szCs w:val="16"/>
              </w:rPr>
            </w:pPr>
            <w:r w:rsidRPr="00F97403">
              <w:rPr>
                <w:sz w:val="16"/>
                <w:szCs w:val="16"/>
              </w:rPr>
              <w:t>Model 7</w:t>
            </w:r>
          </w:p>
        </w:tc>
        <w:tc>
          <w:tcPr>
            <w:tcW w:w="728" w:type="dxa"/>
          </w:tcPr>
          <w:p w14:paraId="1EBFEDEC" w14:textId="77777777" w:rsidR="00F97403" w:rsidRPr="00F97403" w:rsidRDefault="00F97403" w:rsidP="009E12C0">
            <w:pPr>
              <w:rPr>
                <w:sz w:val="16"/>
                <w:szCs w:val="16"/>
              </w:rPr>
            </w:pPr>
            <w:r w:rsidRPr="00F97403">
              <w:rPr>
                <w:sz w:val="16"/>
                <w:szCs w:val="16"/>
              </w:rPr>
              <w:t>Model 8</w:t>
            </w:r>
          </w:p>
        </w:tc>
        <w:tc>
          <w:tcPr>
            <w:tcW w:w="787" w:type="dxa"/>
          </w:tcPr>
          <w:p w14:paraId="441728DD" w14:textId="77777777" w:rsidR="00F97403" w:rsidRPr="00F97403" w:rsidRDefault="00F97403" w:rsidP="009E12C0">
            <w:pPr>
              <w:rPr>
                <w:sz w:val="16"/>
                <w:szCs w:val="16"/>
              </w:rPr>
            </w:pPr>
            <w:r w:rsidRPr="00F97403">
              <w:rPr>
                <w:sz w:val="16"/>
                <w:szCs w:val="16"/>
              </w:rPr>
              <w:t>Model 9</w:t>
            </w:r>
          </w:p>
        </w:tc>
        <w:tc>
          <w:tcPr>
            <w:tcW w:w="787" w:type="dxa"/>
          </w:tcPr>
          <w:p w14:paraId="47876D9E" w14:textId="77777777" w:rsidR="00F97403" w:rsidRPr="00F97403" w:rsidRDefault="00F97403" w:rsidP="009E12C0">
            <w:pPr>
              <w:rPr>
                <w:sz w:val="16"/>
                <w:szCs w:val="16"/>
              </w:rPr>
            </w:pPr>
            <w:r w:rsidRPr="00F97403">
              <w:rPr>
                <w:sz w:val="16"/>
                <w:szCs w:val="16"/>
              </w:rPr>
              <w:t>Model 10</w:t>
            </w:r>
          </w:p>
        </w:tc>
      </w:tr>
      <w:tr w:rsidR="00F97403" w:rsidRPr="00F97403" w14:paraId="5794D554" w14:textId="77777777" w:rsidTr="00F97403">
        <w:tc>
          <w:tcPr>
            <w:tcW w:w="1104" w:type="dxa"/>
          </w:tcPr>
          <w:p w14:paraId="0332B375" w14:textId="77777777" w:rsidR="00F97403" w:rsidRDefault="00F97403" w:rsidP="009E12C0">
            <w:pPr>
              <w:rPr>
                <w:sz w:val="16"/>
                <w:szCs w:val="16"/>
              </w:rPr>
            </w:pPr>
            <w:proofErr w:type="spellStart"/>
            <w:r w:rsidRPr="00F97403">
              <w:rPr>
                <w:sz w:val="16"/>
                <w:szCs w:val="16"/>
              </w:rPr>
              <w:t>ContainmentHealth</w:t>
            </w:r>
            <w:proofErr w:type="spellEnd"/>
          </w:p>
          <w:p w14:paraId="03AA5A25" w14:textId="4AF063D5" w:rsidR="00F97403" w:rsidRPr="00F97403" w:rsidRDefault="00F97403" w:rsidP="009E12C0">
            <w:pPr>
              <w:rPr>
                <w:sz w:val="16"/>
                <w:szCs w:val="16"/>
              </w:rPr>
            </w:pPr>
            <w:r w:rsidRPr="00F97403">
              <w:rPr>
                <w:sz w:val="16"/>
                <w:szCs w:val="16"/>
              </w:rPr>
              <w:t>Index</w:t>
            </w:r>
          </w:p>
          <w:p w14:paraId="3950FCAE" w14:textId="77777777" w:rsidR="00F97403" w:rsidRPr="00F97403" w:rsidRDefault="00F97403" w:rsidP="009E12C0">
            <w:pPr>
              <w:rPr>
                <w:sz w:val="16"/>
                <w:szCs w:val="16"/>
              </w:rPr>
            </w:pPr>
            <w:r w:rsidRPr="00F97403">
              <w:rPr>
                <w:sz w:val="16"/>
                <w:szCs w:val="16"/>
              </w:rPr>
              <w:t>Average</w:t>
            </w:r>
          </w:p>
        </w:tc>
        <w:tc>
          <w:tcPr>
            <w:tcW w:w="787" w:type="dxa"/>
          </w:tcPr>
          <w:p w14:paraId="72FA84BC" w14:textId="77777777" w:rsidR="00F97403" w:rsidRPr="00F97403" w:rsidRDefault="00F97403" w:rsidP="009E12C0">
            <w:pPr>
              <w:rPr>
                <w:sz w:val="16"/>
                <w:szCs w:val="16"/>
              </w:rPr>
            </w:pPr>
            <w:r w:rsidRPr="00F97403">
              <w:rPr>
                <w:sz w:val="16"/>
                <w:szCs w:val="16"/>
              </w:rPr>
              <w:t>0.548***</w:t>
            </w:r>
          </w:p>
        </w:tc>
        <w:tc>
          <w:tcPr>
            <w:tcW w:w="846" w:type="dxa"/>
          </w:tcPr>
          <w:p w14:paraId="0FC32539" w14:textId="77777777" w:rsidR="00F97403" w:rsidRPr="00F97403" w:rsidRDefault="00F97403" w:rsidP="009E12C0">
            <w:pPr>
              <w:rPr>
                <w:sz w:val="16"/>
                <w:szCs w:val="16"/>
              </w:rPr>
            </w:pPr>
            <w:r w:rsidRPr="00F97403">
              <w:rPr>
                <w:sz w:val="16"/>
                <w:szCs w:val="16"/>
              </w:rPr>
              <w:t>0.524***</w:t>
            </w:r>
          </w:p>
        </w:tc>
        <w:tc>
          <w:tcPr>
            <w:tcW w:w="787" w:type="dxa"/>
          </w:tcPr>
          <w:p w14:paraId="4C77B806" w14:textId="77777777" w:rsidR="00F97403" w:rsidRPr="00F97403" w:rsidRDefault="00F97403" w:rsidP="009E12C0">
            <w:pPr>
              <w:rPr>
                <w:sz w:val="16"/>
                <w:szCs w:val="16"/>
              </w:rPr>
            </w:pPr>
            <w:r w:rsidRPr="00F97403">
              <w:rPr>
                <w:sz w:val="16"/>
                <w:szCs w:val="16"/>
              </w:rPr>
              <w:t>0.614***</w:t>
            </w:r>
          </w:p>
        </w:tc>
        <w:tc>
          <w:tcPr>
            <w:tcW w:w="787" w:type="dxa"/>
          </w:tcPr>
          <w:p w14:paraId="27DBA07D" w14:textId="77777777" w:rsidR="00F97403" w:rsidRPr="00F97403" w:rsidRDefault="00F97403" w:rsidP="009E12C0">
            <w:pPr>
              <w:rPr>
                <w:sz w:val="16"/>
                <w:szCs w:val="16"/>
              </w:rPr>
            </w:pPr>
            <w:r w:rsidRPr="00F97403">
              <w:rPr>
                <w:sz w:val="16"/>
                <w:szCs w:val="16"/>
              </w:rPr>
              <w:t>0.614***</w:t>
            </w:r>
          </w:p>
        </w:tc>
        <w:tc>
          <w:tcPr>
            <w:tcW w:w="669" w:type="dxa"/>
          </w:tcPr>
          <w:p w14:paraId="2FA89AE0" w14:textId="77777777" w:rsidR="00F97403" w:rsidRPr="00F97403" w:rsidRDefault="00F97403" w:rsidP="009E12C0">
            <w:pPr>
              <w:rPr>
                <w:sz w:val="16"/>
                <w:szCs w:val="16"/>
              </w:rPr>
            </w:pPr>
            <w:r w:rsidRPr="00F97403">
              <w:rPr>
                <w:sz w:val="16"/>
                <w:szCs w:val="16"/>
              </w:rPr>
              <w:t>0.018*</w:t>
            </w:r>
          </w:p>
        </w:tc>
        <w:tc>
          <w:tcPr>
            <w:tcW w:w="787" w:type="dxa"/>
          </w:tcPr>
          <w:p w14:paraId="724A5771" w14:textId="77777777" w:rsidR="00F97403" w:rsidRPr="00F97403" w:rsidRDefault="00F97403" w:rsidP="009E12C0">
            <w:pPr>
              <w:rPr>
                <w:sz w:val="16"/>
                <w:szCs w:val="16"/>
              </w:rPr>
            </w:pPr>
            <w:r w:rsidRPr="00F97403">
              <w:rPr>
                <w:sz w:val="16"/>
                <w:szCs w:val="16"/>
              </w:rPr>
              <w:t>0.628***</w:t>
            </w:r>
          </w:p>
        </w:tc>
        <w:tc>
          <w:tcPr>
            <w:tcW w:w="787" w:type="dxa"/>
          </w:tcPr>
          <w:p w14:paraId="2909829D" w14:textId="77777777" w:rsidR="00F97403" w:rsidRPr="00F97403" w:rsidRDefault="00F97403" w:rsidP="009E12C0">
            <w:pPr>
              <w:rPr>
                <w:sz w:val="16"/>
                <w:szCs w:val="16"/>
              </w:rPr>
            </w:pPr>
            <w:r w:rsidRPr="00F97403">
              <w:rPr>
                <w:sz w:val="16"/>
                <w:szCs w:val="16"/>
              </w:rPr>
              <w:t>0.632***</w:t>
            </w:r>
          </w:p>
        </w:tc>
        <w:tc>
          <w:tcPr>
            <w:tcW w:w="728" w:type="dxa"/>
          </w:tcPr>
          <w:p w14:paraId="6CE47E8D" w14:textId="77777777" w:rsidR="00F97403" w:rsidRPr="00F97403" w:rsidRDefault="00F97403" w:rsidP="009E12C0">
            <w:pPr>
              <w:rPr>
                <w:sz w:val="16"/>
                <w:szCs w:val="16"/>
              </w:rPr>
            </w:pPr>
            <w:r w:rsidRPr="00F97403">
              <w:rPr>
                <w:sz w:val="16"/>
                <w:szCs w:val="16"/>
              </w:rPr>
              <w:t>0.479***</w:t>
            </w:r>
          </w:p>
        </w:tc>
        <w:tc>
          <w:tcPr>
            <w:tcW w:w="787" w:type="dxa"/>
          </w:tcPr>
          <w:p w14:paraId="14D7C5EF" w14:textId="77777777" w:rsidR="00F97403" w:rsidRPr="00F97403" w:rsidRDefault="00F97403" w:rsidP="009E12C0">
            <w:pPr>
              <w:rPr>
                <w:sz w:val="16"/>
                <w:szCs w:val="16"/>
              </w:rPr>
            </w:pPr>
            <w:r w:rsidRPr="00F97403">
              <w:rPr>
                <w:sz w:val="16"/>
                <w:szCs w:val="16"/>
              </w:rPr>
              <w:t>0.550***</w:t>
            </w:r>
          </w:p>
        </w:tc>
        <w:tc>
          <w:tcPr>
            <w:tcW w:w="787" w:type="dxa"/>
          </w:tcPr>
          <w:p w14:paraId="34D12C14" w14:textId="77777777" w:rsidR="00F97403" w:rsidRPr="00F97403" w:rsidRDefault="00F97403" w:rsidP="009E12C0">
            <w:pPr>
              <w:rPr>
                <w:sz w:val="16"/>
                <w:szCs w:val="16"/>
              </w:rPr>
            </w:pPr>
          </w:p>
        </w:tc>
      </w:tr>
      <w:tr w:rsidR="00F97403" w:rsidRPr="00F97403" w14:paraId="27B56951" w14:textId="77777777" w:rsidTr="00F97403">
        <w:tc>
          <w:tcPr>
            <w:tcW w:w="1104" w:type="dxa"/>
          </w:tcPr>
          <w:p w14:paraId="03C8DE19" w14:textId="77777777" w:rsidR="00F97403" w:rsidRPr="00F97403" w:rsidRDefault="00F97403" w:rsidP="009E12C0">
            <w:pPr>
              <w:rPr>
                <w:sz w:val="16"/>
                <w:szCs w:val="16"/>
              </w:rPr>
            </w:pPr>
            <w:r w:rsidRPr="00F97403">
              <w:rPr>
                <w:sz w:val="16"/>
                <w:szCs w:val="16"/>
              </w:rPr>
              <w:t>Economic</w:t>
            </w:r>
          </w:p>
          <w:p w14:paraId="4BFD0BBF" w14:textId="77777777" w:rsidR="00F97403" w:rsidRPr="00F97403" w:rsidRDefault="00F97403" w:rsidP="009E12C0">
            <w:pPr>
              <w:rPr>
                <w:sz w:val="16"/>
                <w:szCs w:val="16"/>
              </w:rPr>
            </w:pPr>
            <w:r w:rsidRPr="00F97403">
              <w:rPr>
                <w:sz w:val="16"/>
                <w:szCs w:val="16"/>
              </w:rPr>
              <w:t>Support</w:t>
            </w:r>
          </w:p>
          <w:p w14:paraId="45B86DBC" w14:textId="77777777" w:rsidR="00F97403" w:rsidRPr="00F97403" w:rsidRDefault="00F97403" w:rsidP="009E12C0">
            <w:pPr>
              <w:rPr>
                <w:sz w:val="16"/>
                <w:szCs w:val="16"/>
              </w:rPr>
            </w:pPr>
            <w:r w:rsidRPr="00F97403">
              <w:rPr>
                <w:sz w:val="16"/>
                <w:szCs w:val="16"/>
              </w:rPr>
              <w:t>Index</w:t>
            </w:r>
          </w:p>
        </w:tc>
        <w:tc>
          <w:tcPr>
            <w:tcW w:w="787" w:type="dxa"/>
          </w:tcPr>
          <w:p w14:paraId="4F56ACD9" w14:textId="77777777" w:rsidR="00F97403" w:rsidRPr="00F97403" w:rsidRDefault="00F97403" w:rsidP="009E12C0">
            <w:pPr>
              <w:rPr>
                <w:sz w:val="16"/>
                <w:szCs w:val="16"/>
              </w:rPr>
            </w:pPr>
            <w:r w:rsidRPr="00F97403">
              <w:rPr>
                <w:sz w:val="16"/>
                <w:szCs w:val="16"/>
              </w:rPr>
              <w:t>0.076***</w:t>
            </w:r>
          </w:p>
        </w:tc>
        <w:tc>
          <w:tcPr>
            <w:tcW w:w="846" w:type="dxa"/>
          </w:tcPr>
          <w:p w14:paraId="4B31DBB8" w14:textId="77777777" w:rsidR="00F97403" w:rsidRPr="00F97403" w:rsidRDefault="00F97403" w:rsidP="009E12C0">
            <w:pPr>
              <w:rPr>
                <w:sz w:val="16"/>
                <w:szCs w:val="16"/>
              </w:rPr>
            </w:pPr>
            <w:r w:rsidRPr="00F97403">
              <w:rPr>
                <w:sz w:val="16"/>
                <w:szCs w:val="16"/>
              </w:rPr>
              <w:t>0.073***</w:t>
            </w:r>
          </w:p>
        </w:tc>
        <w:tc>
          <w:tcPr>
            <w:tcW w:w="787" w:type="dxa"/>
          </w:tcPr>
          <w:p w14:paraId="52C70858" w14:textId="77777777" w:rsidR="00F97403" w:rsidRPr="00F97403" w:rsidRDefault="00F97403" w:rsidP="009E12C0">
            <w:pPr>
              <w:rPr>
                <w:sz w:val="16"/>
                <w:szCs w:val="16"/>
              </w:rPr>
            </w:pPr>
            <w:r w:rsidRPr="00F97403">
              <w:rPr>
                <w:sz w:val="16"/>
                <w:szCs w:val="16"/>
              </w:rPr>
              <w:t>0.086***</w:t>
            </w:r>
          </w:p>
        </w:tc>
        <w:tc>
          <w:tcPr>
            <w:tcW w:w="787" w:type="dxa"/>
          </w:tcPr>
          <w:p w14:paraId="38980464" w14:textId="77777777" w:rsidR="00F97403" w:rsidRPr="00F97403" w:rsidRDefault="00F97403" w:rsidP="009E12C0">
            <w:pPr>
              <w:rPr>
                <w:sz w:val="16"/>
                <w:szCs w:val="16"/>
              </w:rPr>
            </w:pPr>
            <w:r w:rsidRPr="00F97403">
              <w:rPr>
                <w:sz w:val="16"/>
                <w:szCs w:val="16"/>
              </w:rPr>
              <w:t>0.086***</w:t>
            </w:r>
          </w:p>
        </w:tc>
        <w:tc>
          <w:tcPr>
            <w:tcW w:w="669" w:type="dxa"/>
          </w:tcPr>
          <w:p w14:paraId="3AED43CD" w14:textId="77777777" w:rsidR="00F97403" w:rsidRPr="00F97403" w:rsidRDefault="00F97403" w:rsidP="009E12C0">
            <w:pPr>
              <w:rPr>
                <w:sz w:val="16"/>
                <w:szCs w:val="16"/>
              </w:rPr>
            </w:pPr>
          </w:p>
        </w:tc>
        <w:tc>
          <w:tcPr>
            <w:tcW w:w="787" w:type="dxa"/>
          </w:tcPr>
          <w:p w14:paraId="3B4ED049" w14:textId="77777777" w:rsidR="00F97403" w:rsidRPr="00F97403" w:rsidRDefault="00F97403" w:rsidP="009E12C0">
            <w:pPr>
              <w:rPr>
                <w:sz w:val="16"/>
                <w:szCs w:val="16"/>
              </w:rPr>
            </w:pPr>
            <w:r w:rsidRPr="00F97403">
              <w:rPr>
                <w:sz w:val="16"/>
                <w:szCs w:val="16"/>
              </w:rPr>
              <w:t>0.089***</w:t>
            </w:r>
          </w:p>
        </w:tc>
        <w:tc>
          <w:tcPr>
            <w:tcW w:w="787" w:type="dxa"/>
          </w:tcPr>
          <w:p w14:paraId="59995EEE" w14:textId="77777777" w:rsidR="00F97403" w:rsidRPr="00F97403" w:rsidRDefault="00F97403" w:rsidP="009E12C0">
            <w:pPr>
              <w:rPr>
                <w:sz w:val="16"/>
                <w:szCs w:val="16"/>
              </w:rPr>
            </w:pPr>
            <w:r w:rsidRPr="00F97403">
              <w:rPr>
                <w:sz w:val="16"/>
                <w:szCs w:val="16"/>
              </w:rPr>
              <w:t>0.089***</w:t>
            </w:r>
          </w:p>
        </w:tc>
        <w:tc>
          <w:tcPr>
            <w:tcW w:w="728" w:type="dxa"/>
          </w:tcPr>
          <w:p w14:paraId="6BDBA534" w14:textId="77777777" w:rsidR="00F97403" w:rsidRPr="00F97403" w:rsidRDefault="00F97403" w:rsidP="009E12C0">
            <w:pPr>
              <w:rPr>
                <w:sz w:val="16"/>
                <w:szCs w:val="16"/>
              </w:rPr>
            </w:pPr>
            <w:r w:rsidRPr="00F97403">
              <w:rPr>
                <w:sz w:val="16"/>
                <w:szCs w:val="16"/>
              </w:rPr>
              <w:t>0.066***</w:t>
            </w:r>
          </w:p>
        </w:tc>
        <w:tc>
          <w:tcPr>
            <w:tcW w:w="787" w:type="dxa"/>
          </w:tcPr>
          <w:p w14:paraId="645DA670" w14:textId="77777777" w:rsidR="00F97403" w:rsidRPr="00F97403" w:rsidRDefault="00F97403" w:rsidP="009E12C0">
            <w:pPr>
              <w:rPr>
                <w:sz w:val="16"/>
                <w:szCs w:val="16"/>
              </w:rPr>
            </w:pPr>
            <w:r w:rsidRPr="00F97403">
              <w:rPr>
                <w:sz w:val="16"/>
                <w:szCs w:val="16"/>
              </w:rPr>
              <w:t>0.076***</w:t>
            </w:r>
          </w:p>
        </w:tc>
        <w:tc>
          <w:tcPr>
            <w:tcW w:w="787" w:type="dxa"/>
          </w:tcPr>
          <w:p w14:paraId="77C6FBC3" w14:textId="77777777" w:rsidR="00F97403" w:rsidRPr="00F97403" w:rsidRDefault="00F97403" w:rsidP="009E12C0">
            <w:pPr>
              <w:rPr>
                <w:sz w:val="16"/>
                <w:szCs w:val="16"/>
              </w:rPr>
            </w:pPr>
          </w:p>
        </w:tc>
      </w:tr>
      <w:tr w:rsidR="00F97403" w:rsidRPr="00F97403" w14:paraId="0C7726A3" w14:textId="77777777" w:rsidTr="00F97403">
        <w:tc>
          <w:tcPr>
            <w:tcW w:w="1104" w:type="dxa"/>
          </w:tcPr>
          <w:p w14:paraId="75961D77" w14:textId="77777777" w:rsidR="00F97403" w:rsidRPr="00F97403" w:rsidRDefault="00F97403" w:rsidP="009E12C0">
            <w:pPr>
              <w:rPr>
                <w:sz w:val="16"/>
                <w:szCs w:val="16"/>
              </w:rPr>
            </w:pPr>
            <w:r w:rsidRPr="00F97403">
              <w:rPr>
                <w:sz w:val="16"/>
                <w:szCs w:val="16"/>
              </w:rPr>
              <w:t>Government Response Index</w:t>
            </w:r>
          </w:p>
          <w:p w14:paraId="1AF564A8" w14:textId="77777777" w:rsidR="00F97403" w:rsidRPr="00F97403" w:rsidRDefault="00F97403" w:rsidP="009E12C0">
            <w:pPr>
              <w:rPr>
                <w:sz w:val="16"/>
                <w:szCs w:val="16"/>
              </w:rPr>
            </w:pPr>
            <w:r w:rsidRPr="00F97403">
              <w:rPr>
                <w:sz w:val="16"/>
                <w:szCs w:val="16"/>
              </w:rPr>
              <w:lastRenderedPageBreak/>
              <w:t>Average</w:t>
            </w:r>
          </w:p>
        </w:tc>
        <w:tc>
          <w:tcPr>
            <w:tcW w:w="787" w:type="dxa"/>
          </w:tcPr>
          <w:p w14:paraId="53232F43" w14:textId="77777777" w:rsidR="00F97403" w:rsidRPr="00F97403" w:rsidRDefault="00F97403" w:rsidP="009E12C0">
            <w:pPr>
              <w:rPr>
                <w:sz w:val="16"/>
                <w:szCs w:val="16"/>
              </w:rPr>
            </w:pPr>
            <w:r w:rsidRPr="00F97403">
              <w:rPr>
                <w:sz w:val="16"/>
                <w:szCs w:val="16"/>
              </w:rPr>
              <w:lastRenderedPageBreak/>
              <w:t>-0.615***</w:t>
            </w:r>
          </w:p>
        </w:tc>
        <w:tc>
          <w:tcPr>
            <w:tcW w:w="846" w:type="dxa"/>
          </w:tcPr>
          <w:p w14:paraId="07D8F9F4" w14:textId="77777777" w:rsidR="00F97403" w:rsidRPr="00F97403" w:rsidRDefault="00F97403" w:rsidP="009E12C0">
            <w:pPr>
              <w:rPr>
                <w:sz w:val="16"/>
                <w:szCs w:val="16"/>
              </w:rPr>
            </w:pPr>
            <w:r w:rsidRPr="00F97403">
              <w:rPr>
                <w:sz w:val="16"/>
                <w:szCs w:val="16"/>
              </w:rPr>
              <w:t>-0.587***</w:t>
            </w:r>
          </w:p>
        </w:tc>
        <w:tc>
          <w:tcPr>
            <w:tcW w:w="787" w:type="dxa"/>
          </w:tcPr>
          <w:p w14:paraId="29F9CC99" w14:textId="77777777" w:rsidR="00F97403" w:rsidRPr="00F97403" w:rsidRDefault="00F97403" w:rsidP="009E12C0">
            <w:pPr>
              <w:rPr>
                <w:sz w:val="16"/>
                <w:szCs w:val="16"/>
              </w:rPr>
            </w:pPr>
            <w:r w:rsidRPr="00F97403">
              <w:rPr>
                <w:sz w:val="16"/>
                <w:szCs w:val="16"/>
              </w:rPr>
              <w:t>-0.691***</w:t>
            </w:r>
          </w:p>
        </w:tc>
        <w:tc>
          <w:tcPr>
            <w:tcW w:w="787" w:type="dxa"/>
          </w:tcPr>
          <w:p w14:paraId="6F2AE3F1" w14:textId="77777777" w:rsidR="00F97403" w:rsidRPr="00F97403" w:rsidRDefault="00F97403" w:rsidP="009E12C0">
            <w:pPr>
              <w:rPr>
                <w:sz w:val="16"/>
                <w:szCs w:val="16"/>
              </w:rPr>
            </w:pPr>
            <w:r w:rsidRPr="00F97403">
              <w:rPr>
                <w:sz w:val="16"/>
                <w:szCs w:val="16"/>
              </w:rPr>
              <w:t>-0.690***</w:t>
            </w:r>
          </w:p>
        </w:tc>
        <w:tc>
          <w:tcPr>
            <w:tcW w:w="669" w:type="dxa"/>
          </w:tcPr>
          <w:p w14:paraId="5B779700" w14:textId="77777777" w:rsidR="00F97403" w:rsidRPr="00F97403" w:rsidRDefault="00F97403" w:rsidP="009E12C0">
            <w:pPr>
              <w:rPr>
                <w:sz w:val="16"/>
                <w:szCs w:val="16"/>
              </w:rPr>
            </w:pPr>
            <w:r w:rsidRPr="00F97403">
              <w:rPr>
                <w:sz w:val="16"/>
                <w:szCs w:val="16"/>
              </w:rPr>
              <w:t>-0.009***</w:t>
            </w:r>
          </w:p>
        </w:tc>
        <w:tc>
          <w:tcPr>
            <w:tcW w:w="787" w:type="dxa"/>
          </w:tcPr>
          <w:p w14:paraId="15E8BDFC" w14:textId="77777777" w:rsidR="00F97403" w:rsidRPr="00F97403" w:rsidRDefault="00F97403" w:rsidP="009E12C0">
            <w:pPr>
              <w:rPr>
                <w:sz w:val="16"/>
                <w:szCs w:val="16"/>
              </w:rPr>
            </w:pPr>
            <w:r w:rsidRPr="00F97403">
              <w:rPr>
                <w:sz w:val="16"/>
                <w:szCs w:val="16"/>
              </w:rPr>
              <w:t>-0.719***</w:t>
            </w:r>
          </w:p>
        </w:tc>
        <w:tc>
          <w:tcPr>
            <w:tcW w:w="787" w:type="dxa"/>
          </w:tcPr>
          <w:p w14:paraId="1CCD1E01" w14:textId="77777777" w:rsidR="00F97403" w:rsidRPr="00F97403" w:rsidRDefault="00F97403" w:rsidP="009E12C0">
            <w:pPr>
              <w:rPr>
                <w:sz w:val="16"/>
                <w:szCs w:val="16"/>
              </w:rPr>
            </w:pPr>
            <w:r w:rsidRPr="00F97403">
              <w:rPr>
                <w:sz w:val="16"/>
                <w:szCs w:val="16"/>
              </w:rPr>
              <w:t>-0.716***</w:t>
            </w:r>
          </w:p>
        </w:tc>
        <w:tc>
          <w:tcPr>
            <w:tcW w:w="728" w:type="dxa"/>
          </w:tcPr>
          <w:p w14:paraId="0404BB59" w14:textId="77777777" w:rsidR="00F97403" w:rsidRPr="00F97403" w:rsidRDefault="00F97403" w:rsidP="009E12C0">
            <w:pPr>
              <w:rPr>
                <w:sz w:val="16"/>
                <w:szCs w:val="16"/>
              </w:rPr>
            </w:pPr>
            <w:r w:rsidRPr="00F97403">
              <w:rPr>
                <w:sz w:val="16"/>
                <w:szCs w:val="16"/>
              </w:rPr>
              <w:t>-0.534***</w:t>
            </w:r>
          </w:p>
        </w:tc>
        <w:tc>
          <w:tcPr>
            <w:tcW w:w="787" w:type="dxa"/>
          </w:tcPr>
          <w:p w14:paraId="4493F489" w14:textId="77777777" w:rsidR="00F97403" w:rsidRPr="00F97403" w:rsidRDefault="00F97403" w:rsidP="009E12C0">
            <w:pPr>
              <w:rPr>
                <w:sz w:val="16"/>
                <w:szCs w:val="16"/>
              </w:rPr>
            </w:pPr>
            <w:r w:rsidRPr="00F97403">
              <w:rPr>
                <w:sz w:val="16"/>
                <w:szCs w:val="16"/>
              </w:rPr>
              <w:t>-0.617***</w:t>
            </w:r>
          </w:p>
        </w:tc>
        <w:tc>
          <w:tcPr>
            <w:tcW w:w="787" w:type="dxa"/>
          </w:tcPr>
          <w:p w14:paraId="7B19163D" w14:textId="77777777" w:rsidR="00F97403" w:rsidRPr="00F97403" w:rsidRDefault="00F97403" w:rsidP="009E12C0">
            <w:pPr>
              <w:rPr>
                <w:sz w:val="16"/>
                <w:szCs w:val="16"/>
              </w:rPr>
            </w:pPr>
          </w:p>
        </w:tc>
      </w:tr>
      <w:tr w:rsidR="00F97403" w:rsidRPr="00F97403" w14:paraId="1B8A8E8A" w14:textId="77777777" w:rsidTr="00F97403">
        <w:tc>
          <w:tcPr>
            <w:tcW w:w="1104" w:type="dxa"/>
          </w:tcPr>
          <w:p w14:paraId="5211F416" w14:textId="77777777" w:rsidR="00F97403" w:rsidRPr="00F97403" w:rsidRDefault="00F97403" w:rsidP="009E12C0">
            <w:pPr>
              <w:rPr>
                <w:sz w:val="16"/>
                <w:szCs w:val="16"/>
              </w:rPr>
            </w:pPr>
            <w:r w:rsidRPr="00F97403">
              <w:rPr>
                <w:sz w:val="16"/>
                <w:szCs w:val="16"/>
              </w:rPr>
              <w:t>High Stringency</w:t>
            </w:r>
          </w:p>
        </w:tc>
        <w:tc>
          <w:tcPr>
            <w:tcW w:w="787" w:type="dxa"/>
          </w:tcPr>
          <w:p w14:paraId="15CDC4AA" w14:textId="77777777" w:rsidR="00F97403" w:rsidRPr="00F97403" w:rsidRDefault="00F97403" w:rsidP="009E12C0">
            <w:pPr>
              <w:rPr>
                <w:sz w:val="16"/>
                <w:szCs w:val="16"/>
              </w:rPr>
            </w:pPr>
          </w:p>
        </w:tc>
        <w:tc>
          <w:tcPr>
            <w:tcW w:w="846" w:type="dxa"/>
          </w:tcPr>
          <w:p w14:paraId="11FE6AFA" w14:textId="77777777" w:rsidR="00F97403" w:rsidRPr="00F97403" w:rsidRDefault="00F97403" w:rsidP="009E12C0">
            <w:pPr>
              <w:rPr>
                <w:sz w:val="16"/>
                <w:szCs w:val="16"/>
              </w:rPr>
            </w:pPr>
          </w:p>
        </w:tc>
        <w:tc>
          <w:tcPr>
            <w:tcW w:w="787" w:type="dxa"/>
          </w:tcPr>
          <w:p w14:paraId="685ABBA7" w14:textId="77777777" w:rsidR="00F97403" w:rsidRPr="00F97403" w:rsidRDefault="00F97403" w:rsidP="009E12C0">
            <w:pPr>
              <w:rPr>
                <w:sz w:val="16"/>
                <w:szCs w:val="16"/>
              </w:rPr>
            </w:pPr>
          </w:p>
        </w:tc>
        <w:tc>
          <w:tcPr>
            <w:tcW w:w="787" w:type="dxa"/>
          </w:tcPr>
          <w:p w14:paraId="7BDDF6C4" w14:textId="77777777" w:rsidR="00F97403" w:rsidRPr="00F97403" w:rsidRDefault="00F97403" w:rsidP="009E12C0">
            <w:pPr>
              <w:rPr>
                <w:sz w:val="16"/>
                <w:szCs w:val="16"/>
              </w:rPr>
            </w:pPr>
          </w:p>
        </w:tc>
        <w:tc>
          <w:tcPr>
            <w:tcW w:w="669" w:type="dxa"/>
          </w:tcPr>
          <w:p w14:paraId="0D50BC23" w14:textId="77777777" w:rsidR="00F97403" w:rsidRPr="00F97403" w:rsidRDefault="00F97403" w:rsidP="009E12C0">
            <w:pPr>
              <w:rPr>
                <w:sz w:val="16"/>
                <w:szCs w:val="16"/>
              </w:rPr>
            </w:pPr>
          </w:p>
        </w:tc>
        <w:tc>
          <w:tcPr>
            <w:tcW w:w="787" w:type="dxa"/>
          </w:tcPr>
          <w:p w14:paraId="6D4E32A6" w14:textId="77777777" w:rsidR="00F97403" w:rsidRPr="00F97403" w:rsidRDefault="00F97403" w:rsidP="009E12C0">
            <w:pPr>
              <w:rPr>
                <w:sz w:val="16"/>
                <w:szCs w:val="16"/>
              </w:rPr>
            </w:pPr>
          </w:p>
        </w:tc>
        <w:tc>
          <w:tcPr>
            <w:tcW w:w="787" w:type="dxa"/>
          </w:tcPr>
          <w:p w14:paraId="6BFA0363" w14:textId="77777777" w:rsidR="00F97403" w:rsidRPr="00F97403" w:rsidRDefault="00F97403" w:rsidP="009E12C0">
            <w:pPr>
              <w:rPr>
                <w:sz w:val="16"/>
                <w:szCs w:val="16"/>
              </w:rPr>
            </w:pPr>
          </w:p>
        </w:tc>
        <w:tc>
          <w:tcPr>
            <w:tcW w:w="728" w:type="dxa"/>
          </w:tcPr>
          <w:p w14:paraId="7160DB2F" w14:textId="77777777" w:rsidR="00F97403" w:rsidRPr="00F97403" w:rsidRDefault="00F97403" w:rsidP="009E12C0">
            <w:pPr>
              <w:rPr>
                <w:sz w:val="16"/>
                <w:szCs w:val="16"/>
              </w:rPr>
            </w:pPr>
            <w:r w:rsidRPr="00F97403">
              <w:rPr>
                <w:sz w:val="16"/>
                <w:szCs w:val="16"/>
              </w:rPr>
              <w:t>-0.054**</w:t>
            </w:r>
          </w:p>
        </w:tc>
        <w:tc>
          <w:tcPr>
            <w:tcW w:w="787" w:type="dxa"/>
          </w:tcPr>
          <w:p w14:paraId="2BC57B68" w14:textId="77777777" w:rsidR="00F97403" w:rsidRPr="00F97403" w:rsidRDefault="00F97403" w:rsidP="009E12C0">
            <w:pPr>
              <w:rPr>
                <w:sz w:val="16"/>
                <w:szCs w:val="16"/>
              </w:rPr>
            </w:pPr>
          </w:p>
        </w:tc>
        <w:tc>
          <w:tcPr>
            <w:tcW w:w="787" w:type="dxa"/>
          </w:tcPr>
          <w:p w14:paraId="521C1CD2" w14:textId="77777777" w:rsidR="00F97403" w:rsidRPr="00F97403" w:rsidRDefault="00F97403" w:rsidP="009E12C0">
            <w:pPr>
              <w:rPr>
                <w:sz w:val="16"/>
                <w:szCs w:val="16"/>
              </w:rPr>
            </w:pPr>
          </w:p>
        </w:tc>
      </w:tr>
      <w:tr w:rsidR="00F97403" w:rsidRPr="00F97403" w14:paraId="1AEF0FF6" w14:textId="77777777" w:rsidTr="00F97403">
        <w:tc>
          <w:tcPr>
            <w:tcW w:w="1104" w:type="dxa"/>
          </w:tcPr>
          <w:p w14:paraId="2D8B0D57" w14:textId="77777777" w:rsidR="00F97403" w:rsidRPr="00F97403" w:rsidRDefault="00F97403" w:rsidP="009E12C0">
            <w:pPr>
              <w:rPr>
                <w:sz w:val="16"/>
                <w:szCs w:val="16"/>
              </w:rPr>
            </w:pPr>
            <w:r w:rsidRPr="00F97403">
              <w:rPr>
                <w:sz w:val="16"/>
                <w:szCs w:val="16"/>
              </w:rPr>
              <w:t>Log Economic</w:t>
            </w:r>
          </w:p>
          <w:p w14:paraId="4A8B87D7" w14:textId="77777777" w:rsidR="00F97403" w:rsidRPr="00F97403" w:rsidRDefault="00F97403" w:rsidP="009E12C0">
            <w:pPr>
              <w:rPr>
                <w:sz w:val="16"/>
                <w:szCs w:val="16"/>
              </w:rPr>
            </w:pPr>
            <w:r w:rsidRPr="00F97403">
              <w:rPr>
                <w:sz w:val="16"/>
                <w:szCs w:val="16"/>
              </w:rPr>
              <w:t>Support</w:t>
            </w:r>
          </w:p>
        </w:tc>
        <w:tc>
          <w:tcPr>
            <w:tcW w:w="787" w:type="dxa"/>
          </w:tcPr>
          <w:p w14:paraId="65E716A6" w14:textId="77777777" w:rsidR="00F97403" w:rsidRPr="00F97403" w:rsidRDefault="00F97403" w:rsidP="009E12C0">
            <w:pPr>
              <w:rPr>
                <w:sz w:val="16"/>
                <w:szCs w:val="16"/>
              </w:rPr>
            </w:pPr>
          </w:p>
        </w:tc>
        <w:tc>
          <w:tcPr>
            <w:tcW w:w="846" w:type="dxa"/>
          </w:tcPr>
          <w:p w14:paraId="6D5CCC72" w14:textId="77777777" w:rsidR="00F97403" w:rsidRPr="00F97403" w:rsidRDefault="00F97403" w:rsidP="009E12C0">
            <w:pPr>
              <w:rPr>
                <w:sz w:val="16"/>
                <w:szCs w:val="16"/>
              </w:rPr>
            </w:pPr>
          </w:p>
        </w:tc>
        <w:tc>
          <w:tcPr>
            <w:tcW w:w="787" w:type="dxa"/>
          </w:tcPr>
          <w:p w14:paraId="1C1C3212" w14:textId="77777777" w:rsidR="00F97403" w:rsidRPr="00F97403" w:rsidRDefault="00F97403" w:rsidP="009E12C0">
            <w:pPr>
              <w:rPr>
                <w:sz w:val="16"/>
                <w:szCs w:val="16"/>
              </w:rPr>
            </w:pPr>
          </w:p>
        </w:tc>
        <w:tc>
          <w:tcPr>
            <w:tcW w:w="787" w:type="dxa"/>
          </w:tcPr>
          <w:p w14:paraId="00B98B60" w14:textId="77777777" w:rsidR="00F97403" w:rsidRPr="00F97403" w:rsidRDefault="00F97403" w:rsidP="009E12C0">
            <w:pPr>
              <w:rPr>
                <w:sz w:val="16"/>
                <w:szCs w:val="16"/>
              </w:rPr>
            </w:pPr>
          </w:p>
        </w:tc>
        <w:tc>
          <w:tcPr>
            <w:tcW w:w="669" w:type="dxa"/>
          </w:tcPr>
          <w:p w14:paraId="69248324" w14:textId="77777777" w:rsidR="00F97403" w:rsidRPr="00F97403" w:rsidRDefault="00F97403" w:rsidP="009E12C0">
            <w:pPr>
              <w:rPr>
                <w:sz w:val="16"/>
                <w:szCs w:val="16"/>
              </w:rPr>
            </w:pPr>
            <w:r w:rsidRPr="00F97403">
              <w:rPr>
                <w:sz w:val="16"/>
                <w:szCs w:val="16"/>
              </w:rPr>
              <w:t>0.010***</w:t>
            </w:r>
          </w:p>
        </w:tc>
        <w:tc>
          <w:tcPr>
            <w:tcW w:w="787" w:type="dxa"/>
          </w:tcPr>
          <w:p w14:paraId="38C7EECC" w14:textId="77777777" w:rsidR="00F97403" w:rsidRPr="00F97403" w:rsidRDefault="00F97403" w:rsidP="009E12C0">
            <w:pPr>
              <w:rPr>
                <w:sz w:val="16"/>
                <w:szCs w:val="16"/>
              </w:rPr>
            </w:pPr>
          </w:p>
        </w:tc>
        <w:tc>
          <w:tcPr>
            <w:tcW w:w="787" w:type="dxa"/>
          </w:tcPr>
          <w:p w14:paraId="6920CA92" w14:textId="77777777" w:rsidR="00F97403" w:rsidRPr="00F97403" w:rsidRDefault="00F97403" w:rsidP="009E12C0">
            <w:pPr>
              <w:rPr>
                <w:sz w:val="16"/>
                <w:szCs w:val="16"/>
              </w:rPr>
            </w:pPr>
          </w:p>
        </w:tc>
        <w:tc>
          <w:tcPr>
            <w:tcW w:w="728" w:type="dxa"/>
          </w:tcPr>
          <w:p w14:paraId="2A08214D" w14:textId="77777777" w:rsidR="00F97403" w:rsidRPr="00F97403" w:rsidRDefault="00F97403" w:rsidP="009E12C0">
            <w:pPr>
              <w:rPr>
                <w:sz w:val="16"/>
                <w:szCs w:val="16"/>
              </w:rPr>
            </w:pPr>
          </w:p>
        </w:tc>
        <w:tc>
          <w:tcPr>
            <w:tcW w:w="787" w:type="dxa"/>
          </w:tcPr>
          <w:p w14:paraId="14F24DC8" w14:textId="77777777" w:rsidR="00F97403" w:rsidRPr="00F97403" w:rsidRDefault="00F97403" w:rsidP="009E12C0">
            <w:pPr>
              <w:rPr>
                <w:sz w:val="16"/>
                <w:szCs w:val="16"/>
              </w:rPr>
            </w:pPr>
          </w:p>
        </w:tc>
        <w:tc>
          <w:tcPr>
            <w:tcW w:w="787" w:type="dxa"/>
          </w:tcPr>
          <w:p w14:paraId="2E9EBE16" w14:textId="77777777" w:rsidR="00F97403" w:rsidRPr="00F97403" w:rsidRDefault="00F97403" w:rsidP="009E12C0">
            <w:pPr>
              <w:rPr>
                <w:sz w:val="16"/>
                <w:szCs w:val="16"/>
              </w:rPr>
            </w:pPr>
          </w:p>
        </w:tc>
      </w:tr>
      <w:tr w:rsidR="00F97403" w:rsidRPr="00F97403" w14:paraId="22DCF29F" w14:textId="77777777" w:rsidTr="00F97403">
        <w:tc>
          <w:tcPr>
            <w:tcW w:w="1104" w:type="dxa"/>
          </w:tcPr>
          <w:p w14:paraId="60440C29" w14:textId="77777777" w:rsidR="00F97403" w:rsidRPr="00F97403" w:rsidRDefault="00F97403" w:rsidP="009E12C0">
            <w:pPr>
              <w:rPr>
                <w:sz w:val="16"/>
                <w:szCs w:val="16"/>
              </w:rPr>
            </w:pPr>
            <w:r w:rsidRPr="00F97403">
              <w:rPr>
                <w:sz w:val="16"/>
                <w:szCs w:val="16"/>
              </w:rPr>
              <w:t>Mobility</w:t>
            </w:r>
          </w:p>
          <w:p w14:paraId="2D9358C9" w14:textId="77777777" w:rsidR="00F97403" w:rsidRPr="00F97403" w:rsidRDefault="00F97403" w:rsidP="009E12C0">
            <w:pPr>
              <w:rPr>
                <w:sz w:val="16"/>
                <w:szCs w:val="16"/>
              </w:rPr>
            </w:pPr>
            <w:r w:rsidRPr="00F97403">
              <w:rPr>
                <w:sz w:val="16"/>
                <w:szCs w:val="16"/>
              </w:rPr>
              <w:t>Stringency</w:t>
            </w:r>
          </w:p>
          <w:p w14:paraId="08C1F356" w14:textId="77777777" w:rsidR="00F97403" w:rsidRPr="00F97403" w:rsidRDefault="00F97403" w:rsidP="009E12C0">
            <w:pPr>
              <w:rPr>
                <w:sz w:val="16"/>
                <w:szCs w:val="16"/>
              </w:rPr>
            </w:pPr>
            <w:r w:rsidRPr="00F97403">
              <w:rPr>
                <w:sz w:val="16"/>
                <w:szCs w:val="16"/>
              </w:rPr>
              <w:t>Interaction</w:t>
            </w:r>
          </w:p>
        </w:tc>
        <w:tc>
          <w:tcPr>
            <w:tcW w:w="787" w:type="dxa"/>
          </w:tcPr>
          <w:p w14:paraId="13A0D554" w14:textId="77777777" w:rsidR="00F97403" w:rsidRPr="00F97403" w:rsidRDefault="00F97403" w:rsidP="009E12C0">
            <w:pPr>
              <w:rPr>
                <w:sz w:val="16"/>
                <w:szCs w:val="16"/>
              </w:rPr>
            </w:pPr>
          </w:p>
        </w:tc>
        <w:tc>
          <w:tcPr>
            <w:tcW w:w="846" w:type="dxa"/>
          </w:tcPr>
          <w:p w14:paraId="1C24BC01" w14:textId="77777777" w:rsidR="00F97403" w:rsidRPr="00F97403" w:rsidRDefault="00F97403" w:rsidP="009E12C0">
            <w:pPr>
              <w:rPr>
                <w:sz w:val="16"/>
                <w:szCs w:val="16"/>
              </w:rPr>
            </w:pPr>
          </w:p>
        </w:tc>
        <w:tc>
          <w:tcPr>
            <w:tcW w:w="787" w:type="dxa"/>
          </w:tcPr>
          <w:p w14:paraId="484D2697" w14:textId="77777777" w:rsidR="00F97403" w:rsidRPr="00F97403" w:rsidRDefault="00F97403" w:rsidP="009E12C0">
            <w:pPr>
              <w:rPr>
                <w:sz w:val="16"/>
                <w:szCs w:val="16"/>
              </w:rPr>
            </w:pPr>
          </w:p>
        </w:tc>
        <w:tc>
          <w:tcPr>
            <w:tcW w:w="787" w:type="dxa"/>
          </w:tcPr>
          <w:p w14:paraId="52CE397C" w14:textId="77777777" w:rsidR="00F97403" w:rsidRPr="00F97403" w:rsidRDefault="00F97403" w:rsidP="009E12C0">
            <w:pPr>
              <w:rPr>
                <w:sz w:val="16"/>
                <w:szCs w:val="16"/>
              </w:rPr>
            </w:pPr>
          </w:p>
        </w:tc>
        <w:tc>
          <w:tcPr>
            <w:tcW w:w="669" w:type="dxa"/>
          </w:tcPr>
          <w:p w14:paraId="4C802097" w14:textId="77777777" w:rsidR="00F97403" w:rsidRPr="00F97403" w:rsidRDefault="00F97403" w:rsidP="009E12C0">
            <w:pPr>
              <w:rPr>
                <w:sz w:val="16"/>
                <w:szCs w:val="16"/>
              </w:rPr>
            </w:pPr>
          </w:p>
        </w:tc>
        <w:tc>
          <w:tcPr>
            <w:tcW w:w="787" w:type="dxa"/>
          </w:tcPr>
          <w:p w14:paraId="6A6F12D3" w14:textId="77777777" w:rsidR="00F97403" w:rsidRPr="00F97403" w:rsidRDefault="00F97403" w:rsidP="009E12C0">
            <w:pPr>
              <w:rPr>
                <w:sz w:val="16"/>
                <w:szCs w:val="16"/>
              </w:rPr>
            </w:pPr>
          </w:p>
        </w:tc>
        <w:tc>
          <w:tcPr>
            <w:tcW w:w="787" w:type="dxa"/>
          </w:tcPr>
          <w:p w14:paraId="42321DEA" w14:textId="77777777" w:rsidR="00F97403" w:rsidRPr="00F97403" w:rsidRDefault="00F97403" w:rsidP="009E12C0">
            <w:pPr>
              <w:rPr>
                <w:sz w:val="16"/>
                <w:szCs w:val="16"/>
              </w:rPr>
            </w:pPr>
          </w:p>
        </w:tc>
        <w:tc>
          <w:tcPr>
            <w:tcW w:w="728" w:type="dxa"/>
          </w:tcPr>
          <w:p w14:paraId="17B27E1D" w14:textId="77777777" w:rsidR="00F97403" w:rsidRPr="00F97403" w:rsidRDefault="00F97403" w:rsidP="009E12C0">
            <w:pPr>
              <w:rPr>
                <w:sz w:val="16"/>
                <w:szCs w:val="16"/>
              </w:rPr>
            </w:pPr>
          </w:p>
        </w:tc>
        <w:tc>
          <w:tcPr>
            <w:tcW w:w="787" w:type="dxa"/>
          </w:tcPr>
          <w:p w14:paraId="359CEBCA" w14:textId="77777777" w:rsidR="00F97403" w:rsidRPr="00F97403" w:rsidRDefault="00F97403" w:rsidP="009E12C0">
            <w:pPr>
              <w:rPr>
                <w:sz w:val="16"/>
                <w:szCs w:val="16"/>
              </w:rPr>
            </w:pPr>
            <w:r w:rsidRPr="00F97403">
              <w:rPr>
                <w:sz w:val="16"/>
                <w:szCs w:val="16"/>
              </w:rPr>
              <w:t>-0.000***</w:t>
            </w:r>
          </w:p>
        </w:tc>
        <w:tc>
          <w:tcPr>
            <w:tcW w:w="787" w:type="dxa"/>
          </w:tcPr>
          <w:p w14:paraId="600E6246" w14:textId="77777777" w:rsidR="00F97403" w:rsidRPr="00F97403" w:rsidRDefault="00F97403" w:rsidP="009E12C0">
            <w:pPr>
              <w:rPr>
                <w:sz w:val="16"/>
                <w:szCs w:val="16"/>
              </w:rPr>
            </w:pPr>
          </w:p>
        </w:tc>
      </w:tr>
      <w:tr w:rsidR="00F97403" w:rsidRPr="00F97403" w14:paraId="0F3C10D8" w14:textId="77777777" w:rsidTr="00F97403">
        <w:tc>
          <w:tcPr>
            <w:tcW w:w="1104" w:type="dxa"/>
          </w:tcPr>
          <w:p w14:paraId="1154736A" w14:textId="77777777" w:rsidR="00F97403" w:rsidRPr="00F97403" w:rsidRDefault="00F97403" w:rsidP="009E12C0">
            <w:pPr>
              <w:rPr>
                <w:sz w:val="16"/>
                <w:szCs w:val="16"/>
              </w:rPr>
            </w:pPr>
            <w:r w:rsidRPr="00F97403">
              <w:rPr>
                <w:sz w:val="16"/>
                <w:szCs w:val="16"/>
              </w:rPr>
              <w:t>Stringency Index</w:t>
            </w:r>
          </w:p>
          <w:p w14:paraId="6FDC5F14" w14:textId="77777777" w:rsidR="00F97403" w:rsidRPr="00F97403" w:rsidRDefault="00F97403" w:rsidP="009E12C0">
            <w:pPr>
              <w:rPr>
                <w:sz w:val="16"/>
                <w:szCs w:val="16"/>
              </w:rPr>
            </w:pPr>
            <w:r w:rsidRPr="00F97403">
              <w:rPr>
                <w:sz w:val="16"/>
                <w:szCs w:val="16"/>
              </w:rPr>
              <w:t>Average</w:t>
            </w:r>
          </w:p>
        </w:tc>
        <w:tc>
          <w:tcPr>
            <w:tcW w:w="787" w:type="dxa"/>
          </w:tcPr>
          <w:p w14:paraId="74387D98" w14:textId="77777777" w:rsidR="00F97403" w:rsidRPr="00F97403" w:rsidRDefault="00F97403" w:rsidP="009E12C0">
            <w:pPr>
              <w:rPr>
                <w:sz w:val="16"/>
                <w:szCs w:val="16"/>
              </w:rPr>
            </w:pPr>
            <w:r w:rsidRPr="00F97403">
              <w:rPr>
                <w:sz w:val="16"/>
                <w:szCs w:val="16"/>
              </w:rPr>
              <w:t>-0.009***</w:t>
            </w:r>
          </w:p>
        </w:tc>
        <w:tc>
          <w:tcPr>
            <w:tcW w:w="846" w:type="dxa"/>
          </w:tcPr>
          <w:p w14:paraId="36372FAC" w14:textId="77777777" w:rsidR="00F97403" w:rsidRPr="00F97403" w:rsidRDefault="00F97403" w:rsidP="009E12C0">
            <w:pPr>
              <w:rPr>
                <w:sz w:val="16"/>
                <w:szCs w:val="16"/>
              </w:rPr>
            </w:pPr>
            <w:r w:rsidRPr="00F97403">
              <w:rPr>
                <w:sz w:val="16"/>
                <w:szCs w:val="16"/>
              </w:rPr>
              <w:t>-0.009***</w:t>
            </w:r>
          </w:p>
        </w:tc>
        <w:tc>
          <w:tcPr>
            <w:tcW w:w="787" w:type="dxa"/>
          </w:tcPr>
          <w:p w14:paraId="7E2CB245" w14:textId="77777777" w:rsidR="00F97403" w:rsidRPr="00F97403" w:rsidRDefault="00F97403" w:rsidP="009E12C0">
            <w:pPr>
              <w:rPr>
                <w:sz w:val="16"/>
                <w:szCs w:val="16"/>
              </w:rPr>
            </w:pPr>
            <w:r w:rsidRPr="00F97403">
              <w:rPr>
                <w:sz w:val="16"/>
                <w:szCs w:val="16"/>
              </w:rPr>
              <w:t>-0.008***</w:t>
            </w:r>
          </w:p>
        </w:tc>
        <w:tc>
          <w:tcPr>
            <w:tcW w:w="787" w:type="dxa"/>
          </w:tcPr>
          <w:p w14:paraId="13C00AA3" w14:textId="77777777" w:rsidR="00F97403" w:rsidRPr="00F97403" w:rsidRDefault="00F97403" w:rsidP="009E12C0">
            <w:pPr>
              <w:rPr>
                <w:sz w:val="16"/>
                <w:szCs w:val="16"/>
              </w:rPr>
            </w:pPr>
            <w:r w:rsidRPr="00F97403">
              <w:rPr>
                <w:sz w:val="16"/>
                <w:szCs w:val="16"/>
              </w:rPr>
              <w:t>-0.007***</w:t>
            </w:r>
          </w:p>
        </w:tc>
        <w:tc>
          <w:tcPr>
            <w:tcW w:w="669" w:type="dxa"/>
          </w:tcPr>
          <w:p w14:paraId="4964D592" w14:textId="77777777" w:rsidR="00F97403" w:rsidRPr="00F97403" w:rsidRDefault="00F97403" w:rsidP="009E12C0">
            <w:pPr>
              <w:rPr>
                <w:sz w:val="16"/>
                <w:szCs w:val="16"/>
              </w:rPr>
            </w:pPr>
            <w:r w:rsidRPr="00F97403">
              <w:rPr>
                <w:sz w:val="16"/>
                <w:szCs w:val="16"/>
              </w:rPr>
              <w:t>-0.009***</w:t>
            </w:r>
          </w:p>
        </w:tc>
        <w:tc>
          <w:tcPr>
            <w:tcW w:w="787" w:type="dxa"/>
          </w:tcPr>
          <w:p w14:paraId="3C623162" w14:textId="77777777" w:rsidR="00F97403" w:rsidRPr="00F97403" w:rsidRDefault="00F97403" w:rsidP="009E12C0">
            <w:pPr>
              <w:rPr>
                <w:sz w:val="16"/>
                <w:szCs w:val="16"/>
              </w:rPr>
            </w:pPr>
          </w:p>
        </w:tc>
        <w:tc>
          <w:tcPr>
            <w:tcW w:w="787" w:type="dxa"/>
          </w:tcPr>
          <w:p w14:paraId="1E0D534C" w14:textId="77777777" w:rsidR="00F97403" w:rsidRPr="00F97403" w:rsidRDefault="00F97403" w:rsidP="009E12C0">
            <w:pPr>
              <w:rPr>
                <w:sz w:val="16"/>
                <w:szCs w:val="16"/>
              </w:rPr>
            </w:pPr>
            <w:r w:rsidRPr="00F97403">
              <w:rPr>
                <w:sz w:val="16"/>
                <w:szCs w:val="16"/>
              </w:rPr>
              <w:t>-0.005***</w:t>
            </w:r>
          </w:p>
        </w:tc>
        <w:tc>
          <w:tcPr>
            <w:tcW w:w="728" w:type="dxa"/>
          </w:tcPr>
          <w:p w14:paraId="00414429" w14:textId="77777777" w:rsidR="00F97403" w:rsidRPr="00F97403" w:rsidRDefault="00F97403" w:rsidP="009E12C0">
            <w:pPr>
              <w:rPr>
                <w:sz w:val="16"/>
                <w:szCs w:val="16"/>
              </w:rPr>
            </w:pPr>
            <w:r w:rsidRPr="00F97403">
              <w:rPr>
                <w:sz w:val="16"/>
                <w:szCs w:val="16"/>
              </w:rPr>
              <w:t>-0.010***</w:t>
            </w:r>
          </w:p>
        </w:tc>
        <w:tc>
          <w:tcPr>
            <w:tcW w:w="787" w:type="dxa"/>
          </w:tcPr>
          <w:p w14:paraId="62E07930" w14:textId="77777777" w:rsidR="00F97403" w:rsidRPr="00F97403" w:rsidRDefault="00F97403" w:rsidP="009E12C0">
            <w:pPr>
              <w:rPr>
                <w:sz w:val="16"/>
                <w:szCs w:val="16"/>
              </w:rPr>
            </w:pPr>
            <w:r w:rsidRPr="00F97403">
              <w:rPr>
                <w:sz w:val="16"/>
                <w:szCs w:val="16"/>
              </w:rPr>
              <w:t>-0.009***</w:t>
            </w:r>
          </w:p>
        </w:tc>
        <w:tc>
          <w:tcPr>
            <w:tcW w:w="787" w:type="dxa"/>
          </w:tcPr>
          <w:p w14:paraId="58960B4B" w14:textId="77777777" w:rsidR="00F97403" w:rsidRPr="00F97403" w:rsidRDefault="00F97403" w:rsidP="009E12C0">
            <w:pPr>
              <w:rPr>
                <w:sz w:val="16"/>
                <w:szCs w:val="16"/>
              </w:rPr>
            </w:pPr>
          </w:p>
        </w:tc>
      </w:tr>
      <w:tr w:rsidR="00F97403" w:rsidRPr="00F97403" w14:paraId="4C23BF22" w14:textId="77777777" w:rsidTr="00F97403">
        <w:tc>
          <w:tcPr>
            <w:tcW w:w="1104" w:type="dxa"/>
          </w:tcPr>
          <w:p w14:paraId="0E5EE4B8" w14:textId="77777777" w:rsidR="00F97403" w:rsidRPr="00F97403" w:rsidRDefault="00F97403" w:rsidP="009E12C0">
            <w:pPr>
              <w:rPr>
                <w:sz w:val="16"/>
                <w:szCs w:val="16"/>
              </w:rPr>
            </w:pPr>
            <w:r w:rsidRPr="00F97403">
              <w:rPr>
                <w:sz w:val="16"/>
                <w:szCs w:val="16"/>
              </w:rPr>
              <w:t>Stringency</w:t>
            </w:r>
          </w:p>
          <w:p w14:paraId="69792DCC" w14:textId="77777777" w:rsidR="00F97403" w:rsidRPr="00F97403" w:rsidRDefault="00F97403" w:rsidP="009E12C0">
            <w:pPr>
              <w:rPr>
                <w:sz w:val="16"/>
                <w:szCs w:val="16"/>
              </w:rPr>
            </w:pPr>
            <w:r w:rsidRPr="00F97403">
              <w:rPr>
                <w:sz w:val="16"/>
                <w:szCs w:val="16"/>
              </w:rPr>
              <w:t>Economic</w:t>
            </w:r>
          </w:p>
          <w:p w14:paraId="68DEEBD6" w14:textId="77777777" w:rsidR="00F97403" w:rsidRPr="00F97403" w:rsidRDefault="00F97403" w:rsidP="009E12C0">
            <w:pPr>
              <w:rPr>
                <w:sz w:val="16"/>
                <w:szCs w:val="16"/>
              </w:rPr>
            </w:pPr>
            <w:r w:rsidRPr="00F97403">
              <w:rPr>
                <w:sz w:val="16"/>
                <w:szCs w:val="16"/>
              </w:rPr>
              <w:t>Interaction</w:t>
            </w:r>
          </w:p>
        </w:tc>
        <w:tc>
          <w:tcPr>
            <w:tcW w:w="787" w:type="dxa"/>
          </w:tcPr>
          <w:p w14:paraId="4B0A4CD4" w14:textId="77777777" w:rsidR="00F97403" w:rsidRPr="00F97403" w:rsidRDefault="00F97403" w:rsidP="009E12C0">
            <w:pPr>
              <w:rPr>
                <w:sz w:val="16"/>
                <w:szCs w:val="16"/>
              </w:rPr>
            </w:pPr>
          </w:p>
        </w:tc>
        <w:tc>
          <w:tcPr>
            <w:tcW w:w="846" w:type="dxa"/>
          </w:tcPr>
          <w:p w14:paraId="653243EB" w14:textId="77777777" w:rsidR="00F97403" w:rsidRPr="00F97403" w:rsidRDefault="00F97403" w:rsidP="009E12C0">
            <w:pPr>
              <w:rPr>
                <w:sz w:val="16"/>
                <w:szCs w:val="16"/>
              </w:rPr>
            </w:pPr>
          </w:p>
        </w:tc>
        <w:tc>
          <w:tcPr>
            <w:tcW w:w="787" w:type="dxa"/>
          </w:tcPr>
          <w:p w14:paraId="54648595" w14:textId="77777777" w:rsidR="00F97403" w:rsidRPr="00F97403" w:rsidRDefault="00F97403" w:rsidP="009E12C0">
            <w:pPr>
              <w:rPr>
                <w:sz w:val="16"/>
                <w:szCs w:val="16"/>
              </w:rPr>
            </w:pPr>
            <w:r w:rsidRPr="00F97403">
              <w:rPr>
                <w:sz w:val="16"/>
                <w:szCs w:val="16"/>
              </w:rPr>
              <w:t>-0.000***</w:t>
            </w:r>
          </w:p>
        </w:tc>
        <w:tc>
          <w:tcPr>
            <w:tcW w:w="787" w:type="dxa"/>
          </w:tcPr>
          <w:p w14:paraId="2F657E98" w14:textId="77777777" w:rsidR="00F97403" w:rsidRPr="00F97403" w:rsidRDefault="00F97403" w:rsidP="009E12C0">
            <w:pPr>
              <w:rPr>
                <w:sz w:val="16"/>
                <w:szCs w:val="16"/>
              </w:rPr>
            </w:pPr>
          </w:p>
        </w:tc>
        <w:tc>
          <w:tcPr>
            <w:tcW w:w="669" w:type="dxa"/>
          </w:tcPr>
          <w:p w14:paraId="63B66269" w14:textId="77777777" w:rsidR="00F97403" w:rsidRPr="00F97403" w:rsidRDefault="00F97403" w:rsidP="009E12C0">
            <w:pPr>
              <w:rPr>
                <w:sz w:val="16"/>
                <w:szCs w:val="16"/>
              </w:rPr>
            </w:pPr>
          </w:p>
        </w:tc>
        <w:tc>
          <w:tcPr>
            <w:tcW w:w="787" w:type="dxa"/>
          </w:tcPr>
          <w:p w14:paraId="66EA4423" w14:textId="77777777" w:rsidR="00F97403" w:rsidRPr="00F97403" w:rsidRDefault="00F97403" w:rsidP="009E12C0">
            <w:pPr>
              <w:rPr>
                <w:sz w:val="16"/>
                <w:szCs w:val="16"/>
              </w:rPr>
            </w:pPr>
          </w:p>
        </w:tc>
        <w:tc>
          <w:tcPr>
            <w:tcW w:w="787" w:type="dxa"/>
          </w:tcPr>
          <w:p w14:paraId="4444E56E" w14:textId="77777777" w:rsidR="00F97403" w:rsidRPr="00F97403" w:rsidRDefault="00F97403" w:rsidP="009E12C0">
            <w:pPr>
              <w:rPr>
                <w:sz w:val="16"/>
                <w:szCs w:val="16"/>
              </w:rPr>
            </w:pPr>
          </w:p>
        </w:tc>
        <w:tc>
          <w:tcPr>
            <w:tcW w:w="728" w:type="dxa"/>
          </w:tcPr>
          <w:p w14:paraId="22228A53" w14:textId="77777777" w:rsidR="00F97403" w:rsidRPr="00F97403" w:rsidRDefault="00F97403" w:rsidP="009E12C0">
            <w:pPr>
              <w:rPr>
                <w:sz w:val="16"/>
                <w:szCs w:val="16"/>
              </w:rPr>
            </w:pPr>
          </w:p>
        </w:tc>
        <w:tc>
          <w:tcPr>
            <w:tcW w:w="787" w:type="dxa"/>
          </w:tcPr>
          <w:p w14:paraId="22215211" w14:textId="77777777" w:rsidR="00F97403" w:rsidRPr="00F97403" w:rsidRDefault="00F97403" w:rsidP="009E12C0">
            <w:pPr>
              <w:rPr>
                <w:sz w:val="16"/>
                <w:szCs w:val="16"/>
              </w:rPr>
            </w:pPr>
          </w:p>
        </w:tc>
        <w:tc>
          <w:tcPr>
            <w:tcW w:w="787" w:type="dxa"/>
          </w:tcPr>
          <w:p w14:paraId="73562DB0" w14:textId="77777777" w:rsidR="00F97403" w:rsidRPr="00F97403" w:rsidRDefault="00F97403" w:rsidP="009E12C0">
            <w:pPr>
              <w:rPr>
                <w:sz w:val="16"/>
                <w:szCs w:val="16"/>
              </w:rPr>
            </w:pPr>
          </w:p>
        </w:tc>
      </w:tr>
      <w:tr w:rsidR="00F97403" w:rsidRPr="00F97403" w14:paraId="71AA83DE" w14:textId="77777777" w:rsidTr="00F97403">
        <w:tc>
          <w:tcPr>
            <w:tcW w:w="1104" w:type="dxa"/>
          </w:tcPr>
          <w:p w14:paraId="1268617B" w14:textId="77777777" w:rsidR="00F97403" w:rsidRPr="00F97403" w:rsidRDefault="00F97403" w:rsidP="009E12C0">
            <w:pPr>
              <w:rPr>
                <w:sz w:val="16"/>
                <w:szCs w:val="16"/>
              </w:rPr>
            </w:pPr>
            <w:r w:rsidRPr="00F97403">
              <w:rPr>
                <w:sz w:val="16"/>
                <w:szCs w:val="16"/>
              </w:rPr>
              <w:t>Stringency</w:t>
            </w:r>
          </w:p>
          <w:p w14:paraId="49707543" w14:textId="77777777" w:rsidR="00F97403" w:rsidRPr="00F97403" w:rsidRDefault="00F97403" w:rsidP="009E12C0">
            <w:pPr>
              <w:rPr>
                <w:sz w:val="16"/>
                <w:szCs w:val="16"/>
              </w:rPr>
            </w:pPr>
            <w:r w:rsidRPr="00F97403">
              <w:rPr>
                <w:sz w:val="16"/>
                <w:szCs w:val="16"/>
              </w:rPr>
              <w:t>Squared</w:t>
            </w:r>
          </w:p>
        </w:tc>
        <w:tc>
          <w:tcPr>
            <w:tcW w:w="787" w:type="dxa"/>
          </w:tcPr>
          <w:p w14:paraId="7A4F7369" w14:textId="77777777" w:rsidR="00F97403" w:rsidRPr="00F97403" w:rsidRDefault="00F97403" w:rsidP="009E12C0">
            <w:pPr>
              <w:rPr>
                <w:sz w:val="16"/>
                <w:szCs w:val="16"/>
              </w:rPr>
            </w:pPr>
          </w:p>
        </w:tc>
        <w:tc>
          <w:tcPr>
            <w:tcW w:w="846" w:type="dxa"/>
          </w:tcPr>
          <w:p w14:paraId="550B8ECF" w14:textId="77777777" w:rsidR="00F97403" w:rsidRPr="00F97403" w:rsidRDefault="00F97403" w:rsidP="009E12C0">
            <w:pPr>
              <w:rPr>
                <w:sz w:val="16"/>
                <w:szCs w:val="16"/>
              </w:rPr>
            </w:pPr>
          </w:p>
        </w:tc>
        <w:tc>
          <w:tcPr>
            <w:tcW w:w="787" w:type="dxa"/>
          </w:tcPr>
          <w:p w14:paraId="37728B38" w14:textId="77777777" w:rsidR="00F97403" w:rsidRPr="00F97403" w:rsidRDefault="00F97403" w:rsidP="009E12C0">
            <w:pPr>
              <w:rPr>
                <w:sz w:val="16"/>
                <w:szCs w:val="16"/>
              </w:rPr>
            </w:pPr>
          </w:p>
        </w:tc>
        <w:tc>
          <w:tcPr>
            <w:tcW w:w="787" w:type="dxa"/>
          </w:tcPr>
          <w:p w14:paraId="4053AC06" w14:textId="77777777" w:rsidR="00F97403" w:rsidRPr="00F97403" w:rsidRDefault="00F97403" w:rsidP="009E12C0">
            <w:pPr>
              <w:rPr>
                <w:sz w:val="16"/>
                <w:szCs w:val="16"/>
              </w:rPr>
            </w:pPr>
            <w:r w:rsidRPr="00F97403">
              <w:rPr>
                <w:sz w:val="16"/>
                <w:szCs w:val="16"/>
              </w:rPr>
              <w:t>-0.000***</w:t>
            </w:r>
          </w:p>
        </w:tc>
        <w:tc>
          <w:tcPr>
            <w:tcW w:w="669" w:type="dxa"/>
          </w:tcPr>
          <w:p w14:paraId="64FB435C" w14:textId="77777777" w:rsidR="00F97403" w:rsidRPr="00F97403" w:rsidRDefault="00F97403" w:rsidP="009E12C0">
            <w:pPr>
              <w:rPr>
                <w:sz w:val="16"/>
                <w:szCs w:val="16"/>
              </w:rPr>
            </w:pPr>
          </w:p>
        </w:tc>
        <w:tc>
          <w:tcPr>
            <w:tcW w:w="787" w:type="dxa"/>
          </w:tcPr>
          <w:p w14:paraId="165410D1" w14:textId="77777777" w:rsidR="00F97403" w:rsidRPr="00F97403" w:rsidRDefault="00F97403" w:rsidP="009E12C0">
            <w:pPr>
              <w:rPr>
                <w:sz w:val="16"/>
                <w:szCs w:val="16"/>
              </w:rPr>
            </w:pPr>
          </w:p>
        </w:tc>
        <w:tc>
          <w:tcPr>
            <w:tcW w:w="787" w:type="dxa"/>
          </w:tcPr>
          <w:p w14:paraId="3215E716" w14:textId="77777777" w:rsidR="00F97403" w:rsidRPr="00F97403" w:rsidRDefault="00F97403" w:rsidP="009E12C0">
            <w:pPr>
              <w:rPr>
                <w:sz w:val="16"/>
                <w:szCs w:val="16"/>
              </w:rPr>
            </w:pPr>
          </w:p>
        </w:tc>
        <w:tc>
          <w:tcPr>
            <w:tcW w:w="728" w:type="dxa"/>
          </w:tcPr>
          <w:p w14:paraId="0D4F0393" w14:textId="77777777" w:rsidR="00F97403" w:rsidRPr="00F97403" w:rsidRDefault="00F97403" w:rsidP="009E12C0">
            <w:pPr>
              <w:rPr>
                <w:sz w:val="16"/>
                <w:szCs w:val="16"/>
              </w:rPr>
            </w:pPr>
          </w:p>
        </w:tc>
        <w:tc>
          <w:tcPr>
            <w:tcW w:w="787" w:type="dxa"/>
          </w:tcPr>
          <w:p w14:paraId="2B48C3F1" w14:textId="77777777" w:rsidR="00F97403" w:rsidRPr="00F97403" w:rsidRDefault="00F97403" w:rsidP="009E12C0">
            <w:pPr>
              <w:rPr>
                <w:sz w:val="16"/>
                <w:szCs w:val="16"/>
              </w:rPr>
            </w:pPr>
          </w:p>
        </w:tc>
        <w:tc>
          <w:tcPr>
            <w:tcW w:w="787" w:type="dxa"/>
          </w:tcPr>
          <w:p w14:paraId="2191CE78" w14:textId="77777777" w:rsidR="00F97403" w:rsidRPr="00F97403" w:rsidRDefault="00F97403" w:rsidP="009E12C0">
            <w:pPr>
              <w:rPr>
                <w:sz w:val="16"/>
                <w:szCs w:val="16"/>
              </w:rPr>
            </w:pPr>
          </w:p>
        </w:tc>
      </w:tr>
      <w:tr w:rsidR="00F97403" w:rsidRPr="00F97403" w14:paraId="0BEB8782" w14:textId="77777777" w:rsidTr="00F97403">
        <w:tc>
          <w:tcPr>
            <w:tcW w:w="1104" w:type="dxa"/>
          </w:tcPr>
          <w:p w14:paraId="3591D748" w14:textId="77777777" w:rsidR="00F97403" w:rsidRPr="00F97403" w:rsidRDefault="00F97403" w:rsidP="009E12C0">
            <w:pPr>
              <w:rPr>
                <w:sz w:val="16"/>
                <w:szCs w:val="16"/>
              </w:rPr>
            </w:pPr>
            <w:r w:rsidRPr="00F97403">
              <w:rPr>
                <w:sz w:val="16"/>
                <w:szCs w:val="16"/>
              </w:rPr>
              <w:t>Constant</w:t>
            </w:r>
          </w:p>
        </w:tc>
        <w:tc>
          <w:tcPr>
            <w:tcW w:w="787" w:type="dxa"/>
          </w:tcPr>
          <w:p w14:paraId="36FCB3C2" w14:textId="77777777" w:rsidR="00F97403" w:rsidRPr="00F97403" w:rsidRDefault="00F97403" w:rsidP="009E12C0">
            <w:pPr>
              <w:rPr>
                <w:sz w:val="16"/>
                <w:szCs w:val="16"/>
              </w:rPr>
            </w:pPr>
            <w:r w:rsidRPr="00F97403">
              <w:rPr>
                <w:sz w:val="16"/>
                <w:szCs w:val="16"/>
              </w:rPr>
              <w:t>-0.050***</w:t>
            </w:r>
          </w:p>
        </w:tc>
        <w:tc>
          <w:tcPr>
            <w:tcW w:w="846" w:type="dxa"/>
          </w:tcPr>
          <w:p w14:paraId="1788E1B6" w14:textId="77777777" w:rsidR="00F97403" w:rsidRPr="00F97403" w:rsidRDefault="00F97403" w:rsidP="009E12C0">
            <w:pPr>
              <w:rPr>
                <w:sz w:val="16"/>
                <w:szCs w:val="16"/>
              </w:rPr>
            </w:pPr>
            <w:r w:rsidRPr="00F97403">
              <w:rPr>
                <w:sz w:val="16"/>
                <w:szCs w:val="16"/>
              </w:rPr>
              <w:t>-0.056***</w:t>
            </w:r>
          </w:p>
        </w:tc>
        <w:tc>
          <w:tcPr>
            <w:tcW w:w="787" w:type="dxa"/>
          </w:tcPr>
          <w:p w14:paraId="7947BA7C" w14:textId="77777777" w:rsidR="00F97403" w:rsidRPr="00F97403" w:rsidRDefault="00F97403" w:rsidP="009E12C0">
            <w:pPr>
              <w:rPr>
                <w:sz w:val="16"/>
                <w:szCs w:val="16"/>
              </w:rPr>
            </w:pPr>
            <w:r w:rsidRPr="00F97403">
              <w:rPr>
                <w:sz w:val="16"/>
                <w:szCs w:val="16"/>
              </w:rPr>
              <w:t>-0.071***</w:t>
            </w:r>
          </w:p>
        </w:tc>
        <w:tc>
          <w:tcPr>
            <w:tcW w:w="787" w:type="dxa"/>
          </w:tcPr>
          <w:p w14:paraId="4FCA302A" w14:textId="77777777" w:rsidR="00F97403" w:rsidRPr="00F97403" w:rsidRDefault="00F97403" w:rsidP="009E12C0">
            <w:pPr>
              <w:rPr>
                <w:sz w:val="16"/>
                <w:szCs w:val="16"/>
              </w:rPr>
            </w:pPr>
            <w:r w:rsidRPr="00F97403">
              <w:rPr>
                <w:sz w:val="16"/>
                <w:szCs w:val="16"/>
              </w:rPr>
              <w:t>-0.077***</w:t>
            </w:r>
          </w:p>
        </w:tc>
        <w:tc>
          <w:tcPr>
            <w:tcW w:w="669" w:type="dxa"/>
          </w:tcPr>
          <w:p w14:paraId="1AA6A489" w14:textId="77777777" w:rsidR="00F97403" w:rsidRPr="00F97403" w:rsidRDefault="00F97403" w:rsidP="009E12C0">
            <w:pPr>
              <w:rPr>
                <w:sz w:val="16"/>
                <w:szCs w:val="16"/>
              </w:rPr>
            </w:pPr>
            <w:r w:rsidRPr="00F97403">
              <w:rPr>
                <w:sz w:val="16"/>
                <w:szCs w:val="16"/>
              </w:rPr>
              <w:t>0.075***</w:t>
            </w:r>
          </w:p>
        </w:tc>
        <w:tc>
          <w:tcPr>
            <w:tcW w:w="787" w:type="dxa"/>
          </w:tcPr>
          <w:p w14:paraId="0602D71E" w14:textId="77777777" w:rsidR="00F97403" w:rsidRPr="00F97403" w:rsidRDefault="00F97403" w:rsidP="009E12C0">
            <w:pPr>
              <w:rPr>
                <w:sz w:val="16"/>
                <w:szCs w:val="16"/>
              </w:rPr>
            </w:pPr>
            <w:r w:rsidRPr="00F97403">
              <w:rPr>
                <w:sz w:val="16"/>
                <w:szCs w:val="16"/>
              </w:rPr>
              <w:t>-0.067***</w:t>
            </w:r>
          </w:p>
        </w:tc>
        <w:tc>
          <w:tcPr>
            <w:tcW w:w="787" w:type="dxa"/>
          </w:tcPr>
          <w:p w14:paraId="360347FB" w14:textId="77777777" w:rsidR="00F97403" w:rsidRPr="00F97403" w:rsidRDefault="00F97403" w:rsidP="009E12C0">
            <w:pPr>
              <w:rPr>
                <w:sz w:val="16"/>
                <w:szCs w:val="16"/>
              </w:rPr>
            </w:pPr>
            <w:r w:rsidRPr="00F97403">
              <w:rPr>
                <w:sz w:val="16"/>
                <w:szCs w:val="16"/>
              </w:rPr>
              <w:t>0.213***</w:t>
            </w:r>
          </w:p>
        </w:tc>
        <w:tc>
          <w:tcPr>
            <w:tcW w:w="728" w:type="dxa"/>
          </w:tcPr>
          <w:p w14:paraId="36ED36DC" w14:textId="77777777" w:rsidR="00F97403" w:rsidRPr="00F97403" w:rsidRDefault="00F97403" w:rsidP="009E12C0">
            <w:pPr>
              <w:rPr>
                <w:sz w:val="16"/>
                <w:szCs w:val="16"/>
              </w:rPr>
            </w:pPr>
            <w:r w:rsidRPr="00F97403">
              <w:rPr>
                <w:sz w:val="16"/>
                <w:szCs w:val="16"/>
              </w:rPr>
              <w:t>0.040***</w:t>
            </w:r>
          </w:p>
        </w:tc>
        <w:tc>
          <w:tcPr>
            <w:tcW w:w="787" w:type="dxa"/>
          </w:tcPr>
          <w:p w14:paraId="455E651F" w14:textId="77777777" w:rsidR="00F97403" w:rsidRPr="00F97403" w:rsidRDefault="00F97403" w:rsidP="009E12C0">
            <w:pPr>
              <w:rPr>
                <w:sz w:val="16"/>
                <w:szCs w:val="16"/>
              </w:rPr>
            </w:pPr>
            <w:r w:rsidRPr="00F97403">
              <w:rPr>
                <w:sz w:val="16"/>
                <w:szCs w:val="16"/>
              </w:rPr>
              <w:t>-0.094***</w:t>
            </w:r>
          </w:p>
        </w:tc>
        <w:tc>
          <w:tcPr>
            <w:tcW w:w="787" w:type="dxa"/>
          </w:tcPr>
          <w:p w14:paraId="515A2FE0" w14:textId="77777777" w:rsidR="00F97403" w:rsidRPr="00F97403" w:rsidRDefault="00F97403" w:rsidP="009E12C0">
            <w:pPr>
              <w:rPr>
                <w:sz w:val="16"/>
                <w:szCs w:val="16"/>
              </w:rPr>
            </w:pPr>
            <w:r w:rsidRPr="00F97403">
              <w:rPr>
                <w:sz w:val="16"/>
                <w:szCs w:val="16"/>
              </w:rPr>
              <w:t>-0.053***</w:t>
            </w:r>
          </w:p>
        </w:tc>
      </w:tr>
      <w:tr w:rsidR="00F97403" w:rsidRPr="00F97403" w14:paraId="75820B3B" w14:textId="77777777" w:rsidTr="00F97403">
        <w:tc>
          <w:tcPr>
            <w:tcW w:w="1104" w:type="dxa"/>
          </w:tcPr>
          <w:p w14:paraId="65BA459D" w14:textId="77777777" w:rsidR="00F97403" w:rsidRPr="00F97403" w:rsidRDefault="00F97403" w:rsidP="009E12C0">
            <w:pPr>
              <w:rPr>
                <w:sz w:val="16"/>
                <w:szCs w:val="16"/>
              </w:rPr>
            </w:pPr>
            <w:r w:rsidRPr="00F97403">
              <w:rPr>
                <w:sz w:val="16"/>
                <w:szCs w:val="16"/>
              </w:rPr>
              <w:t>Mobility</w:t>
            </w:r>
          </w:p>
          <w:p w14:paraId="360D8B80" w14:textId="77777777" w:rsidR="00F97403" w:rsidRPr="00F97403" w:rsidRDefault="00F97403" w:rsidP="009E12C0">
            <w:pPr>
              <w:rPr>
                <w:sz w:val="16"/>
                <w:szCs w:val="16"/>
              </w:rPr>
            </w:pPr>
            <w:r w:rsidRPr="00F97403">
              <w:rPr>
                <w:sz w:val="16"/>
                <w:szCs w:val="16"/>
              </w:rPr>
              <w:t>inflow</w:t>
            </w:r>
          </w:p>
        </w:tc>
        <w:tc>
          <w:tcPr>
            <w:tcW w:w="787" w:type="dxa"/>
          </w:tcPr>
          <w:p w14:paraId="40AD83D1" w14:textId="77777777" w:rsidR="00F97403" w:rsidRPr="00F97403" w:rsidRDefault="00F97403" w:rsidP="009E12C0">
            <w:pPr>
              <w:rPr>
                <w:sz w:val="16"/>
                <w:szCs w:val="16"/>
              </w:rPr>
            </w:pPr>
            <w:r w:rsidRPr="00F97403">
              <w:rPr>
                <w:sz w:val="16"/>
                <w:szCs w:val="16"/>
              </w:rPr>
              <w:t>-0.000***</w:t>
            </w:r>
          </w:p>
        </w:tc>
        <w:tc>
          <w:tcPr>
            <w:tcW w:w="846" w:type="dxa"/>
          </w:tcPr>
          <w:p w14:paraId="5BA6CC5B" w14:textId="77777777" w:rsidR="00F97403" w:rsidRPr="00F97403" w:rsidRDefault="00F97403" w:rsidP="009E12C0">
            <w:pPr>
              <w:rPr>
                <w:sz w:val="16"/>
                <w:szCs w:val="16"/>
              </w:rPr>
            </w:pPr>
            <w:r w:rsidRPr="00F97403">
              <w:rPr>
                <w:sz w:val="16"/>
                <w:szCs w:val="16"/>
              </w:rPr>
              <w:t>-0.000***</w:t>
            </w:r>
          </w:p>
        </w:tc>
        <w:tc>
          <w:tcPr>
            <w:tcW w:w="787" w:type="dxa"/>
          </w:tcPr>
          <w:p w14:paraId="28FA9A53" w14:textId="77777777" w:rsidR="00F97403" w:rsidRPr="00F97403" w:rsidRDefault="00F97403" w:rsidP="009E12C0">
            <w:pPr>
              <w:rPr>
                <w:sz w:val="16"/>
                <w:szCs w:val="16"/>
              </w:rPr>
            </w:pPr>
            <w:r w:rsidRPr="00F97403">
              <w:rPr>
                <w:sz w:val="16"/>
                <w:szCs w:val="16"/>
              </w:rPr>
              <w:t>-0.000***</w:t>
            </w:r>
          </w:p>
        </w:tc>
        <w:tc>
          <w:tcPr>
            <w:tcW w:w="787" w:type="dxa"/>
          </w:tcPr>
          <w:p w14:paraId="30FF1EC5" w14:textId="77777777" w:rsidR="00F97403" w:rsidRPr="00F97403" w:rsidRDefault="00F97403" w:rsidP="009E12C0">
            <w:pPr>
              <w:rPr>
                <w:sz w:val="16"/>
                <w:szCs w:val="16"/>
              </w:rPr>
            </w:pPr>
            <w:r w:rsidRPr="00F97403">
              <w:rPr>
                <w:sz w:val="16"/>
                <w:szCs w:val="16"/>
              </w:rPr>
              <w:t>-0.000***</w:t>
            </w:r>
          </w:p>
        </w:tc>
        <w:tc>
          <w:tcPr>
            <w:tcW w:w="669" w:type="dxa"/>
          </w:tcPr>
          <w:p w14:paraId="464C4362" w14:textId="77777777" w:rsidR="00F97403" w:rsidRPr="00F97403" w:rsidRDefault="00F97403" w:rsidP="009E12C0">
            <w:pPr>
              <w:rPr>
                <w:sz w:val="16"/>
                <w:szCs w:val="16"/>
              </w:rPr>
            </w:pPr>
          </w:p>
        </w:tc>
        <w:tc>
          <w:tcPr>
            <w:tcW w:w="787" w:type="dxa"/>
          </w:tcPr>
          <w:p w14:paraId="76C1DBF1" w14:textId="77777777" w:rsidR="00F97403" w:rsidRPr="00F97403" w:rsidRDefault="00F97403" w:rsidP="009E12C0">
            <w:pPr>
              <w:rPr>
                <w:sz w:val="16"/>
                <w:szCs w:val="16"/>
              </w:rPr>
            </w:pPr>
            <w:r w:rsidRPr="00F97403">
              <w:rPr>
                <w:sz w:val="16"/>
                <w:szCs w:val="16"/>
              </w:rPr>
              <w:t>-0.000***</w:t>
            </w:r>
          </w:p>
        </w:tc>
        <w:tc>
          <w:tcPr>
            <w:tcW w:w="787" w:type="dxa"/>
          </w:tcPr>
          <w:p w14:paraId="061FA87C" w14:textId="77777777" w:rsidR="00F97403" w:rsidRPr="00F97403" w:rsidRDefault="00F97403" w:rsidP="009E12C0">
            <w:pPr>
              <w:rPr>
                <w:sz w:val="16"/>
                <w:szCs w:val="16"/>
              </w:rPr>
            </w:pPr>
            <w:r w:rsidRPr="00F97403">
              <w:rPr>
                <w:sz w:val="16"/>
                <w:szCs w:val="16"/>
              </w:rPr>
              <w:t>-0.000***</w:t>
            </w:r>
          </w:p>
        </w:tc>
        <w:tc>
          <w:tcPr>
            <w:tcW w:w="728" w:type="dxa"/>
          </w:tcPr>
          <w:p w14:paraId="078F6129" w14:textId="77777777" w:rsidR="00F97403" w:rsidRPr="00F97403" w:rsidRDefault="00F97403" w:rsidP="009E12C0">
            <w:pPr>
              <w:rPr>
                <w:sz w:val="16"/>
                <w:szCs w:val="16"/>
              </w:rPr>
            </w:pPr>
            <w:r w:rsidRPr="00F97403">
              <w:rPr>
                <w:sz w:val="16"/>
                <w:szCs w:val="16"/>
              </w:rPr>
              <w:t>-0.000***</w:t>
            </w:r>
          </w:p>
        </w:tc>
        <w:tc>
          <w:tcPr>
            <w:tcW w:w="787" w:type="dxa"/>
          </w:tcPr>
          <w:p w14:paraId="228F19A5" w14:textId="77777777" w:rsidR="00F97403" w:rsidRPr="00F97403" w:rsidRDefault="00F97403" w:rsidP="009E12C0">
            <w:pPr>
              <w:rPr>
                <w:sz w:val="16"/>
                <w:szCs w:val="16"/>
              </w:rPr>
            </w:pPr>
            <w:r w:rsidRPr="00F97403">
              <w:rPr>
                <w:sz w:val="16"/>
                <w:szCs w:val="16"/>
              </w:rPr>
              <w:t>-0.000***</w:t>
            </w:r>
          </w:p>
        </w:tc>
        <w:tc>
          <w:tcPr>
            <w:tcW w:w="787" w:type="dxa"/>
          </w:tcPr>
          <w:p w14:paraId="66D787CF" w14:textId="77777777" w:rsidR="00F97403" w:rsidRPr="00F97403" w:rsidRDefault="00F97403" w:rsidP="009E12C0">
            <w:pPr>
              <w:rPr>
                <w:sz w:val="16"/>
                <w:szCs w:val="16"/>
              </w:rPr>
            </w:pPr>
          </w:p>
        </w:tc>
      </w:tr>
      <w:tr w:rsidR="00F97403" w:rsidRPr="00F97403" w14:paraId="4F576522" w14:textId="77777777" w:rsidTr="00F97403">
        <w:tc>
          <w:tcPr>
            <w:tcW w:w="1104" w:type="dxa"/>
          </w:tcPr>
          <w:p w14:paraId="18F5BA04" w14:textId="77777777" w:rsidR="00F97403" w:rsidRPr="00F97403" w:rsidRDefault="00F97403" w:rsidP="009E12C0">
            <w:pPr>
              <w:rPr>
                <w:sz w:val="16"/>
                <w:szCs w:val="16"/>
              </w:rPr>
            </w:pPr>
            <w:r w:rsidRPr="00F97403">
              <w:rPr>
                <w:sz w:val="16"/>
                <w:szCs w:val="16"/>
              </w:rPr>
              <w:t>Mobility</w:t>
            </w:r>
          </w:p>
          <w:p w14:paraId="25EDEE5E" w14:textId="77777777" w:rsidR="00F97403" w:rsidRPr="00F97403" w:rsidRDefault="00F97403" w:rsidP="009E12C0">
            <w:pPr>
              <w:rPr>
                <w:sz w:val="16"/>
                <w:szCs w:val="16"/>
              </w:rPr>
            </w:pPr>
            <w:r w:rsidRPr="00F97403">
              <w:rPr>
                <w:sz w:val="16"/>
                <w:szCs w:val="16"/>
              </w:rPr>
              <w:t>outflow</w:t>
            </w:r>
          </w:p>
        </w:tc>
        <w:tc>
          <w:tcPr>
            <w:tcW w:w="787" w:type="dxa"/>
          </w:tcPr>
          <w:p w14:paraId="33DE477E" w14:textId="77777777" w:rsidR="00F97403" w:rsidRPr="00F97403" w:rsidRDefault="00F97403" w:rsidP="009E12C0">
            <w:pPr>
              <w:rPr>
                <w:sz w:val="16"/>
                <w:szCs w:val="16"/>
              </w:rPr>
            </w:pPr>
            <w:r w:rsidRPr="00F97403">
              <w:rPr>
                <w:sz w:val="16"/>
                <w:szCs w:val="16"/>
              </w:rPr>
              <w:t>0.000***</w:t>
            </w:r>
          </w:p>
        </w:tc>
        <w:tc>
          <w:tcPr>
            <w:tcW w:w="846" w:type="dxa"/>
          </w:tcPr>
          <w:p w14:paraId="71698137" w14:textId="77777777" w:rsidR="00F97403" w:rsidRPr="00F97403" w:rsidRDefault="00F97403" w:rsidP="009E12C0">
            <w:pPr>
              <w:rPr>
                <w:sz w:val="16"/>
                <w:szCs w:val="16"/>
              </w:rPr>
            </w:pPr>
            <w:r w:rsidRPr="00F97403">
              <w:rPr>
                <w:sz w:val="16"/>
                <w:szCs w:val="16"/>
              </w:rPr>
              <w:t>0.000***</w:t>
            </w:r>
          </w:p>
        </w:tc>
        <w:tc>
          <w:tcPr>
            <w:tcW w:w="787" w:type="dxa"/>
          </w:tcPr>
          <w:p w14:paraId="778F1004" w14:textId="77777777" w:rsidR="00F97403" w:rsidRPr="00F97403" w:rsidRDefault="00F97403" w:rsidP="009E12C0">
            <w:pPr>
              <w:rPr>
                <w:sz w:val="16"/>
                <w:szCs w:val="16"/>
              </w:rPr>
            </w:pPr>
            <w:r w:rsidRPr="00F97403">
              <w:rPr>
                <w:sz w:val="16"/>
                <w:szCs w:val="16"/>
              </w:rPr>
              <w:t>0.000***</w:t>
            </w:r>
          </w:p>
        </w:tc>
        <w:tc>
          <w:tcPr>
            <w:tcW w:w="787" w:type="dxa"/>
          </w:tcPr>
          <w:p w14:paraId="46665F04" w14:textId="77777777" w:rsidR="00F97403" w:rsidRPr="00F97403" w:rsidRDefault="00F97403" w:rsidP="009E12C0">
            <w:pPr>
              <w:rPr>
                <w:sz w:val="16"/>
                <w:szCs w:val="16"/>
              </w:rPr>
            </w:pPr>
            <w:r w:rsidRPr="00F97403">
              <w:rPr>
                <w:sz w:val="16"/>
                <w:szCs w:val="16"/>
              </w:rPr>
              <w:t>0.000***</w:t>
            </w:r>
          </w:p>
        </w:tc>
        <w:tc>
          <w:tcPr>
            <w:tcW w:w="669" w:type="dxa"/>
          </w:tcPr>
          <w:p w14:paraId="6057F624" w14:textId="77777777" w:rsidR="00F97403" w:rsidRPr="00F97403" w:rsidRDefault="00F97403" w:rsidP="009E12C0">
            <w:pPr>
              <w:rPr>
                <w:sz w:val="16"/>
                <w:szCs w:val="16"/>
              </w:rPr>
            </w:pPr>
          </w:p>
        </w:tc>
        <w:tc>
          <w:tcPr>
            <w:tcW w:w="787" w:type="dxa"/>
          </w:tcPr>
          <w:p w14:paraId="298AAD2E" w14:textId="77777777" w:rsidR="00F97403" w:rsidRPr="00F97403" w:rsidRDefault="00F97403" w:rsidP="009E12C0">
            <w:pPr>
              <w:rPr>
                <w:sz w:val="16"/>
                <w:szCs w:val="16"/>
              </w:rPr>
            </w:pPr>
            <w:r w:rsidRPr="00F97403">
              <w:rPr>
                <w:sz w:val="16"/>
                <w:szCs w:val="16"/>
              </w:rPr>
              <w:t>0.000***</w:t>
            </w:r>
          </w:p>
        </w:tc>
        <w:tc>
          <w:tcPr>
            <w:tcW w:w="787" w:type="dxa"/>
          </w:tcPr>
          <w:p w14:paraId="482278FB" w14:textId="77777777" w:rsidR="00F97403" w:rsidRPr="00F97403" w:rsidRDefault="00F97403" w:rsidP="009E12C0">
            <w:pPr>
              <w:rPr>
                <w:sz w:val="16"/>
                <w:szCs w:val="16"/>
              </w:rPr>
            </w:pPr>
            <w:r w:rsidRPr="00F97403">
              <w:rPr>
                <w:sz w:val="16"/>
                <w:szCs w:val="16"/>
              </w:rPr>
              <w:t>0.000***</w:t>
            </w:r>
          </w:p>
        </w:tc>
        <w:tc>
          <w:tcPr>
            <w:tcW w:w="728" w:type="dxa"/>
          </w:tcPr>
          <w:p w14:paraId="6D8802A8" w14:textId="77777777" w:rsidR="00F97403" w:rsidRPr="00F97403" w:rsidRDefault="00F97403" w:rsidP="009E12C0">
            <w:pPr>
              <w:rPr>
                <w:sz w:val="16"/>
                <w:szCs w:val="16"/>
              </w:rPr>
            </w:pPr>
            <w:r w:rsidRPr="00F97403">
              <w:rPr>
                <w:sz w:val="16"/>
                <w:szCs w:val="16"/>
              </w:rPr>
              <w:t>0.000***</w:t>
            </w:r>
          </w:p>
        </w:tc>
        <w:tc>
          <w:tcPr>
            <w:tcW w:w="787" w:type="dxa"/>
          </w:tcPr>
          <w:p w14:paraId="15DAE031" w14:textId="77777777" w:rsidR="00F97403" w:rsidRPr="00F97403" w:rsidRDefault="00F97403" w:rsidP="009E12C0">
            <w:pPr>
              <w:rPr>
                <w:sz w:val="16"/>
                <w:szCs w:val="16"/>
              </w:rPr>
            </w:pPr>
            <w:r w:rsidRPr="00F97403">
              <w:rPr>
                <w:sz w:val="16"/>
                <w:szCs w:val="16"/>
              </w:rPr>
              <w:t>0.000***</w:t>
            </w:r>
          </w:p>
        </w:tc>
        <w:tc>
          <w:tcPr>
            <w:tcW w:w="787" w:type="dxa"/>
          </w:tcPr>
          <w:p w14:paraId="08D786B4" w14:textId="77777777" w:rsidR="00F97403" w:rsidRPr="00F97403" w:rsidRDefault="00F97403" w:rsidP="009E12C0">
            <w:pPr>
              <w:rPr>
                <w:sz w:val="16"/>
                <w:szCs w:val="16"/>
              </w:rPr>
            </w:pPr>
          </w:p>
        </w:tc>
      </w:tr>
      <w:tr w:rsidR="00F97403" w:rsidRPr="00F97403" w14:paraId="57119F35" w14:textId="77777777" w:rsidTr="00F97403">
        <w:tc>
          <w:tcPr>
            <w:tcW w:w="1104" w:type="dxa"/>
          </w:tcPr>
          <w:p w14:paraId="66CF969A" w14:textId="77777777" w:rsidR="00F97403" w:rsidRPr="00F97403" w:rsidRDefault="00F97403" w:rsidP="009E12C0">
            <w:pPr>
              <w:rPr>
                <w:sz w:val="16"/>
                <w:szCs w:val="16"/>
              </w:rPr>
            </w:pPr>
            <w:proofErr w:type="spellStart"/>
            <w:r w:rsidRPr="00F97403">
              <w:rPr>
                <w:sz w:val="16"/>
                <w:szCs w:val="16"/>
              </w:rPr>
              <w:t>Observa-tions</w:t>
            </w:r>
            <w:proofErr w:type="spellEnd"/>
          </w:p>
        </w:tc>
        <w:tc>
          <w:tcPr>
            <w:tcW w:w="787" w:type="dxa"/>
          </w:tcPr>
          <w:p w14:paraId="44D17633" w14:textId="77777777" w:rsidR="00F97403" w:rsidRPr="00F97403" w:rsidRDefault="00F97403" w:rsidP="009E12C0">
            <w:pPr>
              <w:rPr>
                <w:sz w:val="16"/>
                <w:szCs w:val="16"/>
              </w:rPr>
            </w:pPr>
            <w:r w:rsidRPr="00F97403">
              <w:rPr>
                <w:sz w:val="16"/>
                <w:szCs w:val="16"/>
              </w:rPr>
              <w:t>61614</w:t>
            </w:r>
          </w:p>
        </w:tc>
        <w:tc>
          <w:tcPr>
            <w:tcW w:w="846" w:type="dxa"/>
          </w:tcPr>
          <w:p w14:paraId="32B05DB7" w14:textId="77777777" w:rsidR="00F97403" w:rsidRPr="00F97403" w:rsidRDefault="00F97403" w:rsidP="009E12C0">
            <w:pPr>
              <w:rPr>
                <w:sz w:val="16"/>
                <w:szCs w:val="16"/>
              </w:rPr>
            </w:pPr>
            <w:r w:rsidRPr="00F97403">
              <w:rPr>
                <w:sz w:val="16"/>
                <w:szCs w:val="16"/>
              </w:rPr>
              <w:t>61614</w:t>
            </w:r>
          </w:p>
        </w:tc>
        <w:tc>
          <w:tcPr>
            <w:tcW w:w="787" w:type="dxa"/>
          </w:tcPr>
          <w:p w14:paraId="3308117E" w14:textId="77777777" w:rsidR="00F97403" w:rsidRPr="00F97403" w:rsidRDefault="00F97403" w:rsidP="009E12C0">
            <w:pPr>
              <w:rPr>
                <w:sz w:val="16"/>
                <w:szCs w:val="16"/>
              </w:rPr>
            </w:pPr>
            <w:r w:rsidRPr="00F97403">
              <w:rPr>
                <w:sz w:val="16"/>
                <w:szCs w:val="16"/>
              </w:rPr>
              <w:t>61614</w:t>
            </w:r>
          </w:p>
        </w:tc>
        <w:tc>
          <w:tcPr>
            <w:tcW w:w="787" w:type="dxa"/>
          </w:tcPr>
          <w:p w14:paraId="5793EAB6" w14:textId="77777777" w:rsidR="00F97403" w:rsidRPr="00F97403" w:rsidRDefault="00F97403" w:rsidP="009E12C0">
            <w:pPr>
              <w:rPr>
                <w:sz w:val="16"/>
                <w:szCs w:val="16"/>
              </w:rPr>
            </w:pPr>
            <w:r w:rsidRPr="00F97403">
              <w:rPr>
                <w:sz w:val="16"/>
                <w:szCs w:val="16"/>
              </w:rPr>
              <w:t>61614</w:t>
            </w:r>
          </w:p>
        </w:tc>
        <w:tc>
          <w:tcPr>
            <w:tcW w:w="669" w:type="dxa"/>
          </w:tcPr>
          <w:p w14:paraId="60A01D16" w14:textId="77777777" w:rsidR="00F97403" w:rsidRPr="00F97403" w:rsidRDefault="00F97403" w:rsidP="009E12C0">
            <w:pPr>
              <w:rPr>
                <w:sz w:val="16"/>
                <w:szCs w:val="16"/>
              </w:rPr>
            </w:pPr>
            <w:r w:rsidRPr="00F97403">
              <w:rPr>
                <w:sz w:val="16"/>
                <w:szCs w:val="16"/>
              </w:rPr>
              <w:t>61614</w:t>
            </w:r>
          </w:p>
        </w:tc>
        <w:tc>
          <w:tcPr>
            <w:tcW w:w="787" w:type="dxa"/>
          </w:tcPr>
          <w:p w14:paraId="7988AE14" w14:textId="77777777" w:rsidR="00F97403" w:rsidRPr="00F97403" w:rsidRDefault="00F97403" w:rsidP="009E12C0">
            <w:pPr>
              <w:rPr>
                <w:sz w:val="16"/>
                <w:szCs w:val="16"/>
              </w:rPr>
            </w:pPr>
            <w:r w:rsidRPr="00F97403">
              <w:rPr>
                <w:sz w:val="16"/>
                <w:szCs w:val="16"/>
              </w:rPr>
              <w:t>61614</w:t>
            </w:r>
          </w:p>
        </w:tc>
        <w:tc>
          <w:tcPr>
            <w:tcW w:w="787" w:type="dxa"/>
          </w:tcPr>
          <w:p w14:paraId="0B8B3459" w14:textId="77777777" w:rsidR="00F97403" w:rsidRPr="00F97403" w:rsidRDefault="00F97403" w:rsidP="009E12C0">
            <w:pPr>
              <w:rPr>
                <w:sz w:val="16"/>
                <w:szCs w:val="16"/>
              </w:rPr>
            </w:pPr>
            <w:r w:rsidRPr="00F97403">
              <w:rPr>
                <w:sz w:val="16"/>
                <w:szCs w:val="16"/>
              </w:rPr>
              <w:t>30807</w:t>
            </w:r>
          </w:p>
        </w:tc>
        <w:tc>
          <w:tcPr>
            <w:tcW w:w="728" w:type="dxa"/>
          </w:tcPr>
          <w:p w14:paraId="7663F034" w14:textId="77777777" w:rsidR="00F97403" w:rsidRPr="00F97403" w:rsidRDefault="00F97403" w:rsidP="009E12C0">
            <w:pPr>
              <w:rPr>
                <w:sz w:val="16"/>
                <w:szCs w:val="16"/>
              </w:rPr>
            </w:pPr>
            <w:r w:rsidRPr="00F97403">
              <w:rPr>
                <w:sz w:val="16"/>
                <w:szCs w:val="16"/>
              </w:rPr>
              <w:t>30807</w:t>
            </w:r>
          </w:p>
        </w:tc>
        <w:tc>
          <w:tcPr>
            <w:tcW w:w="787" w:type="dxa"/>
          </w:tcPr>
          <w:p w14:paraId="7302EBBB" w14:textId="77777777" w:rsidR="00F97403" w:rsidRPr="00F97403" w:rsidRDefault="00F97403" w:rsidP="009E12C0">
            <w:pPr>
              <w:rPr>
                <w:sz w:val="16"/>
                <w:szCs w:val="16"/>
              </w:rPr>
            </w:pPr>
            <w:r w:rsidRPr="00F97403">
              <w:rPr>
                <w:sz w:val="16"/>
                <w:szCs w:val="16"/>
              </w:rPr>
              <w:t>61614</w:t>
            </w:r>
          </w:p>
        </w:tc>
        <w:tc>
          <w:tcPr>
            <w:tcW w:w="787" w:type="dxa"/>
          </w:tcPr>
          <w:p w14:paraId="521A53E7" w14:textId="77777777" w:rsidR="00F97403" w:rsidRPr="00F97403" w:rsidRDefault="00F97403" w:rsidP="009E12C0">
            <w:pPr>
              <w:rPr>
                <w:sz w:val="16"/>
                <w:szCs w:val="16"/>
              </w:rPr>
            </w:pPr>
          </w:p>
        </w:tc>
      </w:tr>
      <w:tr w:rsidR="00F97403" w:rsidRPr="00F97403" w14:paraId="476BE1D5" w14:textId="77777777" w:rsidTr="00F97403">
        <w:tc>
          <w:tcPr>
            <w:tcW w:w="1104" w:type="dxa"/>
          </w:tcPr>
          <w:p w14:paraId="5A15895F" w14:textId="77777777" w:rsidR="00F97403" w:rsidRPr="00F97403" w:rsidRDefault="00F97403" w:rsidP="009E12C0">
            <w:pPr>
              <w:rPr>
                <w:sz w:val="16"/>
                <w:szCs w:val="16"/>
              </w:rPr>
            </w:pPr>
            <w:r w:rsidRPr="00F97403">
              <w:rPr>
                <w:sz w:val="16"/>
                <w:szCs w:val="16"/>
              </w:rPr>
              <w:t>R²</w:t>
            </w:r>
          </w:p>
        </w:tc>
        <w:tc>
          <w:tcPr>
            <w:tcW w:w="787" w:type="dxa"/>
          </w:tcPr>
          <w:p w14:paraId="0743E88B" w14:textId="77777777" w:rsidR="00F97403" w:rsidRPr="00F97403" w:rsidRDefault="00F97403" w:rsidP="009E12C0">
            <w:pPr>
              <w:rPr>
                <w:sz w:val="16"/>
                <w:szCs w:val="16"/>
              </w:rPr>
            </w:pPr>
            <w:r w:rsidRPr="00F97403">
              <w:rPr>
                <w:sz w:val="16"/>
                <w:szCs w:val="16"/>
              </w:rPr>
              <w:t>0.464</w:t>
            </w:r>
          </w:p>
        </w:tc>
        <w:tc>
          <w:tcPr>
            <w:tcW w:w="846" w:type="dxa"/>
          </w:tcPr>
          <w:p w14:paraId="533CC69B" w14:textId="77777777" w:rsidR="00F97403" w:rsidRPr="00F97403" w:rsidRDefault="00F97403" w:rsidP="009E12C0">
            <w:pPr>
              <w:rPr>
                <w:sz w:val="16"/>
                <w:szCs w:val="16"/>
              </w:rPr>
            </w:pPr>
            <w:r w:rsidRPr="00F97403">
              <w:rPr>
                <w:sz w:val="16"/>
                <w:szCs w:val="16"/>
              </w:rPr>
              <w:t>0.463</w:t>
            </w:r>
          </w:p>
        </w:tc>
        <w:tc>
          <w:tcPr>
            <w:tcW w:w="787" w:type="dxa"/>
          </w:tcPr>
          <w:p w14:paraId="5D9C054B" w14:textId="77777777" w:rsidR="00F97403" w:rsidRPr="00F97403" w:rsidRDefault="00F97403" w:rsidP="009E12C0">
            <w:pPr>
              <w:rPr>
                <w:sz w:val="16"/>
                <w:szCs w:val="16"/>
              </w:rPr>
            </w:pPr>
            <w:r w:rsidRPr="00F97403">
              <w:rPr>
                <w:sz w:val="16"/>
                <w:szCs w:val="16"/>
              </w:rPr>
              <w:t>0.468</w:t>
            </w:r>
          </w:p>
        </w:tc>
        <w:tc>
          <w:tcPr>
            <w:tcW w:w="787" w:type="dxa"/>
          </w:tcPr>
          <w:p w14:paraId="4583F80B" w14:textId="77777777" w:rsidR="00F97403" w:rsidRPr="00F97403" w:rsidRDefault="00F97403" w:rsidP="009E12C0">
            <w:pPr>
              <w:rPr>
                <w:sz w:val="16"/>
                <w:szCs w:val="16"/>
              </w:rPr>
            </w:pPr>
            <w:r w:rsidRPr="00F97403">
              <w:rPr>
                <w:sz w:val="16"/>
                <w:szCs w:val="16"/>
              </w:rPr>
              <w:t>0.467</w:t>
            </w:r>
          </w:p>
        </w:tc>
        <w:tc>
          <w:tcPr>
            <w:tcW w:w="669" w:type="dxa"/>
          </w:tcPr>
          <w:p w14:paraId="72CFAA1D" w14:textId="77777777" w:rsidR="00F97403" w:rsidRPr="00F97403" w:rsidRDefault="00F97403" w:rsidP="009E12C0">
            <w:pPr>
              <w:rPr>
                <w:sz w:val="16"/>
                <w:szCs w:val="16"/>
              </w:rPr>
            </w:pPr>
            <w:r w:rsidRPr="00F97403">
              <w:rPr>
                <w:sz w:val="16"/>
                <w:szCs w:val="16"/>
              </w:rPr>
              <w:t>0.002</w:t>
            </w:r>
          </w:p>
        </w:tc>
        <w:tc>
          <w:tcPr>
            <w:tcW w:w="787" w:type="dxa"/>
          </w:tcPr>
          <w:p w14:paraId="23BE1EDC" w14:textId="77777777" w:rsidR="00F97403" w:rsidRPr="00F97403" w:rsidRDefault="00F97403" w:rsidP="009E12C0">
            <w:pPr>
              <w:rPr>
                <w:sz w:val="16"/>
                <w:szCs w:val="16"/>
              </w:rPr>
            </w:pPr>
            <w:r w:rsidRPr="00F97403">
              <w:rPr>
                <w:sz w:val="16"/>
                <w:szCs w:val="16"/>
              </w:rPr>
              <w:t>0.467</w:t>
            </w:r>
          </w:p>
        </w:tc>
        <w:tc>
          <w:tcPr>
            <w:tcW w:w="787" w:type="dxa"/>
          </w:tcPr>
          <w:p w14:paraId="4FB2AF38" w14:textId="77777777" w:rsidR="00F97403" w:rsidRPr="00F97403" w:rsidRDefault="00F97403" w:rsidP="009E12C0">
            <w:pPr>
              <w:rPr>
                <w:sz w:val="16"/>
                <w:szCs w:val="16"/>
              </w:rPr>
            </w:pPr>
            <w:r w:rsidRPr="00F97403">
              <w:rPr>
                <w:sz w:val="16"/>
                <w:szCs w:val="16"/>
              </w:rPr>
              <w:t>0.295</w:t>
            </w:r>
          </w:p>
        </w:tc>
        <w:tc>
          <w:tcPr>
            <w:tcW w:w="728" w:type="dxa"/>
          </w:tcPr>
          <w:p w14:paraId="14F8D442" w14:textId="77777777" w:rsidR="00F97403" w:rsidRPr="00F97403" w:rsidRDefault="00F97403" w:rsidP="009E12C0">
            <w:pPr>
              <w:rPr>
                <w:sz w:val="16"/>
                <w:szCs w:val="16"/>
              </w:rPr>
            </w:pPr>
            <w:r w:rsidRPr="00F97403">
              <w:rPr>
                <w:sz w:val="16"/>
                <w:szCs w:val="16"/>
              </w:rPr>
              <w:t>0.069</w:t>
            </w:r>
          </w:p>
        </w:tc>
        <w:tc>
          <w:tcPr>
            <w:tcW w:w="787" w:type="dxa"/>
          </w:tcPr>
          <w:p w14:paraId="28F3A472" w14:textId="77777777" w:rsidR="00F97403" w:rsidRPr="00F97403" w:rsidRDefault="00F97403" w:rsidP="009E12C0">
            <w:pPr>
              <w:rPr>
                <w:sz w:val="16"/>
                <w:szCs w:val="16"/>
              </w:rPr>
            </w:pPr>
            <w:r w:rsidRPr="00F97403">
              <w:rPr>
                <w:sz w:val="16"/>
                <w:szCs w:val="16"/>
              </w:rPr>
              <w:t>0.544</w:t>
            </w:r>
          </w:p>
        </w:tc>
        <w:tc>
          <w:tcPr>
            <w:tcW w:w="787" w:type="dxa"/>
          </w:tcPr>
          <w:p w14:paraId="25F8734C" w14:textId="77777777" w:rsidR="00F97403" w:rsidRPr="00F97403" w:rsidRDefault="00F97403" w:rsidP="009E12C0">
            <w:pPr>
              <w:rPr>
                <w:sz w:val="16"/>
                <w:szCs w:val="16"/>
              </w:rPr>
            </w:pPr>
            <w:r w:rsidRPr="00F97403">
              <w:rPr>
                <w:sz w:val="16"/>
                <w:szCs w:val="16"/>
              </w:rPr>
              <w:t>0.464</w:t>
            </w:r>
          </w:p>
        </w:tc>
      </w:tr>
      <w:tr w:rsidR="00F97403" w:rsidRPr="00F97403" w14:paraId="43364530" w14:textId="77777777" w:rsidTr="00F97403">
        <w:tc>
          <w:tcPr>
            <w:tcW w:w="1104" w:type="dxa"/>
          </w:tcPr>
          <w:p w14:paraId="10C37D33" w14:textId="77777777" w:rsidR="00F97403" w:rsidRPr="00F97403" w:rsidRDefault="00F97403" w:rsidP="009E12C0">
            <w:pPr>
              <w:rPr>
                <w:sz w:val="16"/>
                <w:szCs w:val="16"/>
              </w:rPr>
            </w:pPr>
            <w:r w:rsidRPr="00F97403">
              <w:rPr>
                <w:sz w:val="16"/>
                <w:szCs w:val="16"/>
              </w:rPr>
              <w:t>Adjusted R²</w:t>
            </w:r>
          </w:p>
        </w:tc>
        <w:tc>
          <w:tcPr>
            <w:tcW w:w="787" w:type="dxa"/>
          </w:tcPr>
          <w:p w14:paraId="36A6D8AE" w14:textId="77777777" w:rsidR="00F97403" w:rsidRPr="00F97403" w:rsidRDefault="00F97403" w:rsidP="009E12C0">
            <w:pPr>
              <w:rPr>
                <w:sz w:val="16"/>
                <w:szCs w:val="16"/>
              </w:rPr>
            </w:pPr>
            <w:r w:rsidRPr="00F97403">
              <w:rPr>
                <w:sz w:val="16"/>
                <w:szCs w:val="16"/>
              </w:rPr>
              <w:t>0.464</w:t>
            </w:r>
          </w:p>
        </w:tc>
        <w:tc>
          <w:tcPr>
            <w:tcW w:w="846" w:type="dxa"/>
          </w:tcPr>
          <w:p w14:paraId="39D36C2B" w14:textId="77777777" w:rsidR="00F97403" w:rsidRPr="00F97403" w:rsidRDefault="00F97403" w:rsidP="009E12C0">
            <w:pPr>
              <w:rPr>
                <w:sz w:val="16"/>
                <w:szCs w:val="16"/>
              </w:rPr>
            </w:pPr>
            <w:r w:rsidRPr="00F97403">
              <w:rPr>
                <w:sz w:val="16"/>
                <w:szCs w:val="16"/>
              </w:rPr>
              <w:t>0.463</w:t>
            </w:r>
          </w:p>
        </w:tc>
        <w:tc>
          <w:tcPr>
            <w:tcW w:w="787" w:type="dxa"/>
          </w:tcPr>
          <w:p w14:paraId="7EE9891B" w14:textId="77777777" w:rsidR="00F97403" w:rsidRPr="00F97403" w:rsidRDefault="00F97403" w:rsidP="009E12C0">
            <w:pPr>
              <w:rPr>
                <w:sz w:val="16"/>
                <w:szCs w:val="16"/>
              </w:rPr>
            </w:pPr>
            <w:r w:rsidRPr="00F97403">
              <w:rPr>
                <w:sz w:val="16"/>
                <w:szCs w:val="16"/>
              </w:rPr>
              <w:t>0.468</w:t>
            </w:r>
          </w:p>
        </w:tc>
        <w:tc>
          <w:tcPr>
            <w:tcW w:w="787" w:type="dxa"/>
          </w:tcPr>
          <w:p w14:paraId="603DC8B1" w14:textId="77777777" w:rsidR="00F97403" w:rsidRPr="00F97403" w:rsidRDefault="00F97403" w:rsidP="009E12C0">
            <w:pPr>
              <w:rPr>
                <w:sz w:val="16"/>
                <w:szCs w:val="16"/>
              </w:rPr>
            </w:pPr>
            <w:r w:rsidRPr="00F97403">
              <w:rPr>
                <w:sz w:val="16"/>
                <w:szCs w:val="16"/>
              </w:rPr>
              <w:t>0.467</w:t>
            </w:r>
          </w:p>
        </w:tc>
        <w:tc>
          <w:tcPr>
            <w:tcW w:w="669" w:type="dxa"/>
          </w:tcPr>
          <w:p w14:paraId="3D49201E" w14:textId="77777777" w:rsidR="00F97403" w:rsidRPr="00F97403" w:rsidRDefault="00F97403" w:rsidP="009E12C0">
            <w:pPr>
              <w:rPr>
                <w:sz w:val="16"/>
                <w:szCs w:val="16"/>
              </w:rPr>
            </w:pPr>
            <w:r w:rsidRPr="00F97403">
              <w:rPr>
                <w:sz w:val="16"/>
                <w:szCs w:val="16"/>
              </w:rPr>
              <w:t>0.002</w:t>
            </w:r>
          </w:p>
        </w:tc>
        <w:tc>
          <w:tcPr>
            <w:tcW w:w="787" w:type="dxa"/>
          </w:tcPr>
          <w:p w14:paraId="3961F55E" w14:textId="77777777" w:rsidR="00F97403" w:rsidRPr="00F97403" w:rsidRDefault="00F97403" w:rsidP="009E12C0">
            <w:pPr>
              <w:rPr>
                <w:sz w:val="16"/>
                <w:szCs w:val="16"/>
              </w:rPr>
            </w:pPr>
            <w:r w:rsidRPr="00F97403">
              <w:rPr>
                <w:sz w:val="16"/>
                <w:szCs w:val="16"/>
              </w:rPr>
              <w:t>0.467</w:t>
            </w:r>
          </w:p>
        </w:tc>
        <w:tc>
          <w:tcPr>
            <w:tcW w:w="787" w:type="dxa"/>
          </w:tcPr>
          <w:p w14:paraId="7E0EE226" w14:textId="77777777" w:rsidR="00F97403" w:rsidRPr="00F97403" w:rsidRDefault="00F97403" w:rsidP="009E12C0">
            <w:pPr>
              <w:rPr>
                <w:sz w:val="16"/>
                <w:szCs w:val="16"/>
              </w:rPr>
            </w:pPr>
            <w:r w:rsidRPr="00F97403">
              <w:rPr>
                <w:sz w:val="16"/>
                <w:szCs w:val="16"/>
              </w:rPr>
              <w:t>0.295</w:t>
            </w:r>
          </w:p>
        </w:tc>
        <w:tc>
          <w:tcPr>
            <w:tcW w:w="728" w:type="dxa"/>
          </w:tcPr>
          <w:p w14:paraId="1C06C531" w14:textId="77777777" w:rsidR="00F97403" w:rsidRPr="00F97403" w:rsidRDefault="00F97403" w:rsidP="009E12C0">
            <w:pPr>
              <w:rPr>
                <w:sz w:val="16"/>
                <w:szCs w:val="16"/>
              </w:rPr>
            </w:pPr>
            <w:r w:rsidRPr="00F97403">
              <w:rPr>
                <w:sz w:val="16"/>
                <w:szCs w:val="16"/>
              </w:rPr>
              <w:t>0.069</w:t>
            </w:r>
          </w:p>
        </w:tc>
        <w:tc>
          <w:tcPr>
            <w:tcW w:w="787" w:type="dxa"/>
          </w:tcPr>
          <w:p w14:paraId="4AC7A62B" w14:textId="77777777" w:rsidR="00F97403" w:rsidRPr="00F97403" w:rsidRDefault="00F97403" w:rsidP="009E12C0">
            <w:pPr>
              <w:rPr>
                <w:sz w:val="16"/>
                <w:szCs w:val="16"/>
              </w:rPr>
            </w:pPr>
            <w:r w:rsidRPr="00F97403">
              <w:rPr>
                <w:sz w:val="16"/>
                <w:szCs w:val="16"/>
              </w:rPr>
              <w:t>0.544</w:t>
            </w:r>
          </w:p>
        </w:tc>
        <w:tc>
          <w:tcPr>
            <w:tcW w:w="787" w:type="dxa"/>
          </w:tcPr>
          <w:p w14:paraId="683E9064" w14:textId="77777777" w:rsidR="00F97403" w:rsidRPr="00F97403" w:rsidRDefault="00F97403" w:rsidP="009E12C0">
            <w:pPr>
              <w:rPr>
                <w:sz w:val="16"/>
                <w:szCs w:val="16"/>
              </w:rPr>
            </w:pPr>
            <w:r w:rsidRPr="00F97403">
              <w:rPr>
                <w:sz w:val="16"/>
                <w:szCs w:val="16"/>
              </w:rPr>
              <w:t>0.464</w:t>
            </w:r>
          </w:p>
        </w:tc>
      </w:tr>
      <w:tr w:rsidR="00F97403" w:rsidRPr="00F97403" w14:paraId="6CBC1598" w14:textId="77777777" w:rsidTr="00F97403">
        <w:tc>
          <w:tcPr>
            <w:tcW w:w="1104" w:type="dxa"/>
          </w:tcPr>
          <w:p w14:paraId="14091BC1" w14:textId="77777777" w:rsidR="00F97403" w:rsidRPr="00F97403" w:rsidRDefault="00F97403" w:rsidP="009E12C0">
            <w:pPr>
              <w:rPr>
                <w:sz w:val="16"/>
                <w:szCs w:val="16"/>
              </w:rPr>
            </w:pPr>
            <w:r w:rsidRPr="00F97403">
              <w:rPr>
                <w:sz w:val="16"/>
                <w:szCs w:val="16"/>
              </w:rPr>
              <w:t>Residual Std. Error</w:t>
            </w:r>
          </w:p>
        </w:tc>
        <w:tc>
          <w:tcPr>
            <w:tcW w:w="787" w:type="dxa"/>
          </w:tcPr>
          <w:p w14:paraId="3C7A825F" w14:textId="77777777" w:rsidR="00F97403" w:rsidRPr="00F97403" w:rsidRDefault="00F97403" w:rsidP="009E12C0">
            <w:pPr>
              <w:rPr>
                <w:sz w:val="16"/>
                <w:szCs w:val="16"/>
              </w:rPr>
            </w:pPr>
            <w:r w:rsidRPr="00F97403">
              <w:rPr>
                <w:sz w:val="16"/>
                <w:szCs w:val="16"/>
              </w:rPr>
              <w:t>0.078</w:t>
            </w:r>
          </w:p>
        </w:tc>
        <w:tc>
          <w:tcPr>
            <w:tcW w:w="846" w:type="dxa"/>
          </w:tcPr>
          <w:p w14:paraId="42E84663" w14:textId="77777777" w:rsidR="00F97403" w:rsidRPr="00F97403" w:rsidRDefault="00F97403" w:rsidP="009E12C0">
            <w:pPr>
              <w:rPr>
                <w:sz w:val="16"/>
                <w:szCs w:val="16"/>
              </w:rPr>
            </w:pPr>
            <w:r w:rsidRPr="00F97403">
              <w:rPr>
                <w:sz w:val="16"/>
                <w:szCs w:val="16"/>
              </w:rPr>
              <w:t>0.078</w:t>
            </w:r>
          </w:p>
        </w:tc>
        <w:tc>
          <w:tcPr>
            <w:tcW w:w="787" w:type="dxa"/>
          </w:tcPr>
          <w:p w14:paraId="63E10F91" w14:textId="77777777" w:rsidR="00F97403" w:rsidRPr="00F97403" w:rsidRDefault="00F97403" w:rsidP="009E12C0">
            <w:pPr>
              <w:rPr>
                <w:sz w:val="16"/>
                <w:szCs w:val="16"/>
              </w:rPr>
            </w:pPr>
            <w:r w:rsidRPr="00F97403">
              <w:rPr>
                <w:sz w:val="16"/>
                <w:szCs w:val="16"/>
              </w:rPr>
              <w:t>0.078</w:t>
            </w:r>
          </w:p>
        </w:tc>
        <w:tc>
          <w:tcPr>
            <w:tcW w:w="787" w:type="dxa"/>
          </w:tcPr>
          <w:p w14:paraId="4C1F1214" w14:textId="77777777" w:rsidR="00F97403" w:rsidRPr="00F97403" w:rsidRDefault="00F97403" w:rsidP="009E12C0">
            <w:pPr>
              <w:rPr>
                <w:sz w:val="16"/>
                <w:szCs w:val="16"/>
              </w:rPr>
            </w:pPr>
            <w:r w:rsidRPr="00F97403">
              <w:rPr>
                <w:sz w:val="16"/>
                <w:szCs w:val="16"/>
              </w:rPr>
              <w:t>0.078</w:t>
            </w:r>
          </w:p>
        </w:tc>
        <w:tc>
          <w:tcPr>
            <w:tcW w:w="669" w:type="dxa"/>
          </w:tcPr>
          <w:p w14:paraId="5F057263" w14:textId="77777777" w:rsidR="00F97403" w:rsidRPr="00F97403" w:rsidRDefault="00F97403" w:rsidP="009E12C0">
            <w:pPr>
              <w:rPr>
                <w:sz w:val="16"/>
                <w:szCs w:val="16"/>
              </w:rPr>
            </w:pPr>
            <w:r w:rsidRPr="00F97403">
              <w:rPr>
                <w:sz w:val="16"/>
                <w:szCs w:val="16"/>
              </w:rPr>
              <w:t>0.106</w:t>
            </w:r>
          </w:p>
        </w:tc>
        <w:tc>
          <w:tcPr>
            <w:tcW w:w="787" w:type="dxa"/>
          </w:tcPr>
          <w:p w14:paraId="6F023A18" w14:textId="77777777" w:rsidR="00F97403" w:rsidRPr="00F97403" w:rsidRDefault="00F97403" w:rsidP="009E12C0">
            <w:pPr>
              <w:rPr>
                <w:sz w:val="16"/>
                <w:szCs w:val="16"/>
              </w:rPr>
            </w:pPr>
            <w:r w:rsidRPr="00F97403">
              <w:rPr>
                <w:sz w:val="16"/>
                <w:szCs w:val="16"/>
              </w:rPr>
              <w:t>0.078</w:t>
            </w:r>
          </w:p>
        </w:tc>
        <w:tc>
          <w:tcPr>
            <w:tcW w:w="787" w:type="dxa"/>
          </w:tcPr>
          <w:p w14:paraId="437BADC5" w14:textId="77777777" w:rsidR="00F97403" w:rsidRPr="00F97403" w:rsidRDefault="00F97403" w:rsidP="009E12C0">
            <w:pPr>
              <w:rPr>
                <w:sz w:val="16"/>
                <w:szCs w:val="16"/>
              </w:rPr>
            </w:pPr>
            <w:r w:rsidRPr="00F97403">
              <w:rPr>
                <w:sz w:val="16"/>
                <w:szCs w:val="16"/>
              </w:rPr>
              <w:t>0.089</w:t>
            </w:r>
          </w:p>
        </w:tc>
        <w:tc>
          <w:tcPr>
            <w:tcW w:w="728" w:type="dxa"/>
          </w:tcPr>
          <w:p w14:paraId="7AC62C90" w14:textId="77777777" w:rsidR="00F97403" w:rsidRPr="00F97403" w:rsidRDefault="00F97403" w:rsidP="009E12C0">
            <w:pPr>
              <w:rPr>
                <w:sz w:val="16"/>
                <w:szCs w:val="16"/>
              </w:rPr>
            </w:pPr>
            <w:r w:rsidRPr="00F97403">
              <w:rPr>
                <w:sz w:val="16"/>
                <w:szCs w:val="16"/>
              </w:rPr>
              <w:t>0.082</w:t>
            </w:r>
          </w:p>
        </w:tc>
        <w:tc>
          <w:tcPr>
            <w:tcW w:w="787" w:type="dxa"/>
          </w:tcPr>
          <w:p w14:paraId="1FA893E4" w14:textId="77777777" w:rsidR="00F97403" w:rsidRPr="00F97403" w:rsidRDefault="00F97403" w:rsidP="009E12C0">
            <w:pPr>
              <w:rPr>
                <w:sz w:val="16"/>
                <w:szCs w:val="16"/>
              </w:rPr>
            </w:pPr>
            <w:r w:rsidRPr="00F97403">
              <w:rPr>
                <w:sz w:val="16"/>
                <w:szCs w:val="16"/>
              </w:rPr>
              <w:t>0.073</w:t>
            </w:r>
          </w:p>
        </w:tc>
        <w:tc>
          <w:tcPr>
            <w:tcW w:w="787" w:type="dxa"/>
          </w:tcPr>
          <w:p w14:paraId="213E43CF" w14:textId="77777777" w:rsidR="00F97403" w:rsidRPr="00F97403" w:rsidRDefault="00F97403" w:rsidP="009E12C0">
            <w:pPr>
              <w:rPr>
                <w:sz w:val="16"/>
                <w:szCs w:val="16"/>
              </w:rPr>
            </w:pPr>
            <w:r w:rsidRPr="00F97403">
              <w:rPr>
                <w:sz w:val="16"/>
                <w:szCs w:val="16"/>
              </w:rPr>
              <w:t>0.078</w:t>
            </w:r>
          </w:p>
        </w:tc>
      </w:tr>
      <w:tr w:rsidR="00F97403" w:rsidRPr="00F97403" w14:paraId="721A4EBB" w14:textId="77777777" w:rsidTr="00F97403">
        <w:tc>
          <w:tcPr>
            <w:tcW w:w="1104" w:type="dxa"/>
          </w:tcPr>
          <w:p w14:paraId="0695474E" w14:textId="77777777" w:rsidR="00F97403" w:rsidRPr="00F97403" w:rsidRDefault="00F97403" w:rsidP="009E12C0">
            <w:pPr>
              <w:rPr>
                <w:sz w:val="16"/>
                <w:szCs w:val="16"/>
              </w:rPr>
            </w:pPr>
            <w:r w:rsidRPr="00F97403">
              <w:rPr>
                <w:sz w:val="16"/>
                <w:szCs w:val="16"/>
              </w:rPr>
              <w:t>F Statistic</w:t>
            </w:r>
          </w:p>
        </w:tc>
        <w:tc>
          <w:tcPr>
            <w:tcW w:w="787" w:type="dxa"/>
          </w:tcPr>
          <w:p w14:paraId="27DD4225" w14:textId="77777777" w:rsidR="00F97403" w:rsidRPr="00F97403" w:rsidRDefault="00F97403" w:rsidP="009E12C0">
            <w:pPr>
              <w:rPr>
                <w:sz w:val="16"/>
                <w:szCs w:val="16"/>
              </w:rPr>
            </w:pPr>
            <w:r w:rsidRPr="00F97403">
              <w:rPr>
                <w:sz w:val="16"/>
                <w:szCs w:val="16"/>
              </w:rPr>
              <w:t>8890.771***</w:t>
            </w:r>
          </w:p>
        </w:tc>
        <w:tc>
          <w:tcPr>
            <w:tcW w:w="846" w:type="dxa"/>
          </w:tcPr>
          <w:p w14:paraId="6E3F51DE" w14:textId="77777777" w:rsidR="00F97403" w:rsidRPr="00F97403" w:rsidRDefault="00F97403" w:rsidP="009E12C0">
            <w:pPr>
              <w:rPr>
                <w:sz w:val="16"/>
                <w:szCs w:val="16"/>
              </w:rPr>
            </w:pPr>
            <w:r w:rsidRPr="00F97403">
              <w:rPr>
                <w:sz w:val="16"/>
                <w:szCs w:val="16"/>
              </w:rPr>
              <w:t>13289.592***</w:t>
            </w:r>
          </w:p>
        </w:tc>
        <w:tc>
          <w:tcPr>
            <w:tcW w:w="787" w:type="dxa"/>
          </w:tcPr>
          <w:p w14:paraId="0E3495FB" w14:textId="77777777" w:rsidR="00F97403" w:rsidRPr="00F97403" w:rsidRDefault="00F97403" w:rsidP="009E12C0">
            <w:pPr>
              <w:rPr>
                <w:sz w:val="16"/>
                <w:szCs w:val="16"/>
              </w:rPr>
            </w:pPr>
            <w:r w:rsidRPr="00F97403">
              <w:rPr>
                <w:sz w:val="16"/>
                <w:szCs w:val="16"/>
              </w:rPr>
              <w:t>7747.965***</w:t>
            </w:r>
          </w:p>
        </w:tc>
        <w:tc>
          <w:tcPr>
            <w:tcW w:w="787" w:type="dxa"/>
          </w:tcPr>
          <w:p w14:paraId="126A7A0E" w14:textId="77777777" w:rsidR="00F97403" w:rsidRPr="00F97403" w:rsidRDefault="00F97403" w:rsidP="009E12C0">
            <w:pPr>
              <w:rPr>
                <w:sz w:val="16"/>
                <w:szCs w:val="16"/>
              </w:rPr>
            </w:pPr>
            <w:r w:rsidRPr="00F97403">
              <w:rPr>
                <w:sz w:val="16"/>
                <w:szCs w:val="16"/>
              </w:rPr>
              <w:t>7718.818***</w:t>
            </w:r>
          </w:p>
        </w:tc>
        <w:tc>
          <w:tcPr>
            <w:tcW w:w="669" w:type="dxa"/>
          </w:tcPr>
          <w:p w14:paraId="19D92396" w14:textId="77777777" w:rsidR="00F97403" w:rsidRPr="00F97403" w:rsidRDefault="00F97403" w:rsidP="009E12C0">
            <w:pPr>
              <w:rPr>
                <w:sz w:val="16"/>
                <w:szCs w:val="16"/>
              </w:rPr>
            </w:pPr>
            <w:r w:rsidRPr="00F97403">
              <w:rPr>
                <w:sz w:val="16"/>
                <w:szCs w:val="16"/>
              </w:rPr>
              <w:t>66.289***</w:t>
            </w:r>
          </w:p>
        </w:tc>
        <w:tc>
          <w:tcPr>
            <w:tcW w:w="787" w:type="dxa"/>
          </w:tcPr>
          <w:p w14:paraId="3A36E352" w14:textId="77777777" w:rsidR="00F97403" w:rsidRPr="00F97403" w:rsidRDefault="00F97403" w:rsidP="009E12C0">
            <w:pPr>
              <w:rPr>
                <w:sz w:val="16"/>
                <w:szCs w:val="16"/>
              </w:rPr>
            </w:pPr>
            <w:r w:rsidRPr="00F97403">
              <w:rPr>
                <w:sz w:val="16"/>
                <w:szCs w:val="16"/>
              </w:rPr>
              <w:t>9010.719***</w:t>
            </w:r>
          </w:p>
        </w:tc>
        <w:tc>
          <w:tcPr>
            <w:tcW w:w="787" w:type="dxa"/>
          </w:tcPr>
          <w:p w14:paraId="66BB929C" w14:textId="77777777" w:rsidR="00F97403" w:rsidRPr="00F97403" w:rsidRDefault="00F97403" w:rsidP="009E12C0">
            <w:pPr>
              <w:rPr>
                <w:sz w:val="16"/>
                <w:szCs w:val="16"/>
              </w:rPr>
            </w:pPr>
            <w:r w:rsidRPr="00F97403">
              <w:rPr>
                <w:sz w:val="16"/>
                <w:szCs w:val="16"/>
              </w:rPr>
              <w:t>4297.233***</w:t>
            </w:r>
          </w:p>
        </w:tc>
        <w:tc>
          <w:tcPr>
            <w:tcW w:w="728" w:type="dxa"/>
          </w:tcPr>
          <w:p w14:paraId="44F451FF" w14:textId="77777777" w:rsidR="00F97403" w:rsidRPr="00F97403" w:rsidRDefault="00F97403" w:rsidP="009E12C0">
            <w:pPr>
              <w:rPr>
                <w:sz w:val="16"/>
                <w:szCs w:val="16"/>
              </w:rPr>
            </w:pPr>
            <w:r w:rsidRPr="00F97403">
              <w:rPr>
                <w:sz w:val="16"/>
                <w:szCs w:val="16"/>
              </w:rPr>
              <w:t>382.933***</w:t>
            </w:r>
          </w:p>
        </w:tc>
        <w:tc>
          <w:tcPr>
            <w:tcW w:w="787" w:type="dxa"/>
          </w:tcPr>
          <w:p w14:paraId="6BFA8FFB" w14:textId="77777777" w:rsidR="00F97403" w:rsidRPr="00F97403" w:rsidRDefault="00F97403" w:rsidP="009E12C0">
            <w:pPr>
              <w:rPr>
                <w:sz w:val="16"/>
                <w:szCs w:val="16"/>
              </w:rPr>
            </w:pPr>
            <w:r w:rsidRPr="00F97403">
              <w:rPr>
                <w:sz w:val="16"/>
                <w:szCs w:val="16"/>
              </w:rPr>
              <w:t>6125.211***</w:t>
            </w:r>
          </w:p>
        </w:tc>
        <w:tc>
          <w:tcPr>
            <w:tcW w:w="787" w:type="dxa"/>
          </w:tcPr>
          <w:p w14:paraId="0672830D" w14:textId="77777777" w:rsidR="00F97403" w:rsidRPr="00F97403" w:rsidRDefault="00F97403" w:rsidP="009E12C0">
            <w:pPr>
              <w:rPr>
                <w:sz w:val="16"/>
                <w:szCs w:val="16"/>
              </w:rPr>
            </w:pPr>
            <w:r w:rsidRPr="00F97403">
              <w:rPr>
                <w:sz w:val="16"/>
                <w:szCs w:val="16"/>
              </w:rPr>
              <w:t>7626.025***</w:t>
            </w:r>
          </w:p>
        </w:tc>
      </w:tr>
    </w:tbl>
    <w:p w14:paraId="67A6C3AE" w14:textId="77777777" w:rsidR="00F97403" w:rsidRDefault="00F97403" w:rsidP="00F97403">
      <w:pPr>
        <w:rPr>
          <w:color w:val="000000" w:themeColor="text1"/>
        </w:rPr>
      </w:pPr>
    </w:p>
    <w:p w14:paraId="0CA04127" w14:textId="44DA210C" w:rsidR="00F97403" w:rsidRPr="00F97403" w:rsidRDefault="00F97403" w:rsidP="00F97403">
      <w:pPr>
        <w:rPr>
          <w:color w:val="000000" w:themeColor="text1"/>
          <w:lang w:val="en-CA"/>
        </w:rPr>
      </w:pPr>
      <w:r w:rsidRPr="00F97403">
        <w:rPr>
          <w:color w:val="000000" w:themeColor="text1"/>
          <w:lang w:val="en-CA"/>
        </w:rPr>
        <w:t>Model 1 serves as a baseline, incorporating mobility, government response measures, containment policies, and economic support. The results confirm that higher policy stringency reduced consumer spending, but economic support measures helped offset part of this decline. For example, a one-unit increase in the Stringency Index is associated with a 0.009 decrease in average spending, holding other factors constant, which is both statistically and economically meaningful. Economic</w:t>
      </w:r>
      <w:r>
        <w:rPr>
          <w:color w:val="000000" w:themeColor="text1"/>
          <w:lang w:val="en-CA"/>
        </w:rPr>
        <w:t xml:space="preserve"> </w:t>
      </w:r>
      <w:proofErr w:type="spellStart"/>
      <w:r w:rsidRPr="00F97403">
        <w:rPr>
          <w:color w:val="000000" w:themeColor="text1"/>
          <w:lang w:val="en-CA"/>
        </w:rPr>
        <w:t>SupportIndex</w:t>
      </w:r>
      <w:proofErr w:type="spellEnd"/>
      <w:r w:rsidRPr="00F97403">
        <w:rPr>
          <w:color w:val="000000" w:themeColor="text1"/>
          <w:lang w:val="en-CA"/>
        </w:rPr>
        <w:t xml:space="preserve"> shows a positive and significant coefficient (0.076), meaning stronger support programs are associated with higher spending. The mobility effects are mixed. Mobility outflow is positively associated with spending, indicating that economic activity shifted elsewhere, while mobility inflow negatively impacts spending, possibly due to economic uncertainty or restrictions limiting business operations.</w:t>
      </w:r>
    </w:p>
    <w:p w14:paraId="7AF0389A" w14:textId="77777777" w:rsidR="00F97403" w:rsidRPr="00F97403" w:rsidRDefault="00F97403" w:rsidP="00F97403">
      <w:pPr>
        <w:rPr>
          <w:color w:val="000000" w:themeColor="text1"/>
          <w:lang w:val="en-CA"/>
        </w:rPr>
      </w:pPr>
      <w:r w:rsidRPr="00F97403">
        <w:rPr>
          <w:color w:val="000000" w:themeColor="text1"/>
          <w:lang w:val="en-CA"/>
        </w:rPr>
        <w:t xml:space="preserve">Model 2 removes mobility variables to focus only on policy effects. The results remain stable, reinforcing the idea that restrictions alone significantly influenced consumer behavior, independent of movement patterns. This finding is consistent with </w:t>
      </w:r>
      <w:proofErr w:type="spellStart"/>
      <w:r w:rsidRPr="00F97403">
        <w:rPr>
          <w:color w:val="000000" w:themeColor="text1"/>
          <w:lang w:val="en-CA"/>
        </w:rPr>
        <w:t>Goolsbee</w:t>
      </w:r>
      <w:proofErr w:type="spellEnd"/>
      <w:r w:rsidRPr="00F97403">
        <w:rPr>
          <w:color w:val="000000" w:themeColor="text1"/>
          <w:lang w:val="en-CA"/>
        </w:rPr>
        <w:t xml:space="preserve"> &amp; </w:t>
      </w:r>
      <w:proofErr w:type="spellStart"/>
      <w:r w:rsidRPr="00F97403">
        <w:rPr>
          <w:color w:val="000000" w:themeColor="text1"/>
          <w:lang w:val="en-CA"/>
        </w:rPr>
        <w:t>Syverson</w:t>
      </w:r>
      <w:proofErr w:type="spellEnd"/>
      <w:r w:rsidRPr="00F97403">
        <w:rPr>
          <w:color w:val="000000" w:themeColor="text1"/>
          <w:lang w:val="en-CA"/>
        </w:rPr>
        <w:t xml:space="preserve"> (2020), who found that consumer spending declined primarily due to restrictions rather than voluntary behavioral changes. However, it also suggests that consumer confidence and enforcement of policies may have varied across states, influencing the effectiveness of restrictions.</w:t>
      </w:r>
    </w:p>
    <w:p w14:paraId="6CB85810" w14:textId="77777777" w:rsidR="00F97403" w:rsidRPr="00F97403" w:rsidRDefault="00F97403" w:rsidP="00F97403">
      <w:pPr>
        <w:rPr>
          <w:color w:val="000000" w:themeColor="text1"/>
          <w:lang w:val="en-CA"/>
        </w:rPr>
      </w:pPr>
      <w:r w:rsidRPr="00F97403">
        <w:rPr>
          <w:color w:val="000000" w:themeColor="text1"/>
          <w:lang w:val="en-CA"/>
        </w:rPr>
        <w:lastRenderedPageBreak/>
        <w:t>Model 3 introduces an interaction between stringency and economic support. The negative interaction term indicates that financial aid does not fully offset the economic costs of strict restrictions. This aligns with Chetty et al. (2020), who found that stimulus payments boosted short-term spending but were less effective in states with prolonged lockdowns. The magnitude may seem small, but it compounds when both components are large, suggesting important diminishing returns. The results suggest that broad economic relief measures may be less effective in heavily restricted areas unless paired with policies that encourage safe economic activity.</w:t>
      </w:r>
    </w:p>
    <w:p w14:paraId="77176235" w14:textId="77777777" w:rsidR="00F97403" w:rsidRPr="00F97403" w:rsidRDefault="00F97403" w:rsidP="00F97403">
      <w:pPr>
        <w:rPr>
          <w:color w:val="000000" w:themeColor="text1"/>
          <w:lang w:val="en-CA"/>
        </w:rPr>
      </w:pPr>
      <w:r w:rsidRPr="00F97403">
        <w:rPr>
          <w:color w:val="000000" w:themeColor="text1"/>
          <w:lang w:val="en-CA"/>
        </w:rPr>
        <w:t>Model 4 tests for non-linear effects by adding a squared term for the Stringency Index. The results indicate diminishing returns to restrictions: early policies sharply reduce spending, but additional restrictions beyond a certain point have smaller incremental effects. This is reflected in the negative and significant coefficient on the squared term. This reflects the adaptive behavior of consumers and businesses, where prolonged restrictions lead to alternative ways of operating rather than further economic decline. This finding supports Crossley et al. (2021), who observed that the strongest economic shocks occurred at the beginning of the pandemic, with later restrictions having less impact.</w:t>
      </w:r>
    </w:p>
    <w:p w14:paraId="571F89F5" w14:textId="77777777" w:rsidR="00F97403" w:rsidRPr="00F97403" w:rsidRDefault="00F97403" w:rsidP="00F97403">
      <w:pPr>
        <w:rPr>
          <w:color w:val="000000" w:themeColor="text1"/>
          <w:lang w:val="en-CA"/>
        </w:rPr>
      </w:pPr>
      <w:r w:rsidRPr="00F97403">
        <w:rPr>
          <w:color w:val="000000" w:themeColor="text1"/>
          <w:lang w:val="en-CA"/>
        </w:rPr>
        <w:t>Model 5 isolates the effect of mobility on spending, confirming that mobility outflow increases spending, while mobility inflow reduces it. This suggests that some economic activity was displaced rather than eliminated, meaning that inter-state spillovers played a role in shaping state-level spending trends. The magnitudes, though small, are statistically significant and consistent with the idea that where people go matters for economic outcomes.</w:t>
      </w:r>
    </w:p>
    <w:p w14:paraId="6FFC5BD6" w14:textId="77777777" w:rsidR="00F97403" w:rsidRPr="00F97403" w:rsidRDefault="00F97403" w:rsidP="00F97403">
      <w:pPr>
        <w:rPr>
          <w:color w:val="000000" w:themeColor="text1"/>
          <w:lang w:val="en-CA"/>
        </w:rPr>
      </w:pPr>
      <w:r w:rsidRPr="00F97403">
        <w:rPr>
          <w:color w:val="000000" w:themeColor="text1"/>
          <w:lang w:val="en-CA"/>
        </w:rPr>
        <w:t>Model 6 applies a log transformation to the Economic Support Index. The results show that government aid remains effective but has diminishing returns, supporting the theory of diminishing marginal propensity to consume—additional aid leads to smaller spending increases. The log specification confirms that the largest effects come at the lower end of aid levels.</w:t>
      </w:r>
    </w:p>
    <w:p w14:paraId="3F5C06CB" w14:textId="77777777" w:rsidR="00F97403" w:rsidRPr="00F97403" w:rsidRDefault="00F97403" w:rsidP="00F97403">
      <w:pPr>
        <w:rPr>
          <w:color w:val="000000" w:themeColor="text1"/>
          <w:lang w:val="en-CA"/>
        </w:rPr>
      </w:pPr>
      <w:r w:rsidRPr="00F97403">
        <w:rPr>
          <w:color w:val="000000" w:themeColor="text1"/>
          <w:lang w:val="en-CA"/>
        </w:rPr>
        <w:t xml:space="preserve">Model 7 introduces a dummy variable for high-stringency states, confirming that states with above-median restrictions had lower consumer spending. This supports the idea that even moderate levels of restrictions created significant economic disruptions, reinforcing </w:t>
      </w:r>
      <w:proofErr w:type="spellStart"/>
      <w:r w:rsidRPr="00F97403">
        <w:rPr>
          <w:color w:val="000000" w:themeColor="text1"/>
          <w:lang w:val="en-CA"/>
        </w:rPr>
        <w:t>Toxvaerd</w:t>
      </w:r>
      <w:proofErr w:type="spellEnd"/>
      <w:r w:rsidRPr="00F97403">
        <w:rPr>
          <w:color w:val="000000" w:themeColor="text1"/>
          <w:lang w:val="en-CA"/>
        </w:rPr>
        <w:t xml:space="preserve"> (2021), who argued that voluntary behavioral changes can sometimes achieve similar health outcomes without the same economic costs. The coefficient of -0.054 shows a meaningful average gap in spending between high and low stringency environments.</w:t>
      </w:r>
    </w:p>
    <w:p w14:paraId="487D82B8" w14:textId="77777777" w:rsidR="00F97403" w:rsidRPr="00F97403" w:rsidRDefault="00F97403" w:rsidP="00F97403">
      <w:pPr>
        <w:rPr>
          <w:color w:val="000000" w:themeColor="text1"/>
          <w:lang w:val="en-CA"/>
        </w:rPr>
      </w:pPr>
      <w:r w:rsidRPr="00F97403">
        <w:rPr>
          <w:color w:val="000000" w:themeColor="text1"/>
          <w:lang w:val="en-CA"/>
        </w:rPr>
        <w:t xml:space="preserve">Models 8 and 9 conduct a subgroup analysis, splitting the sample into high-incident and low-incident states. The results show that restrictions had a stronger economic impact in high-incident states, suggesting that both policy enforcement and public fear played a role in reducing spending. In contrast, low-incident states experienced a weaker spending decline, indicating that consumer behavior was more resilient when public health risks were lower. This split helps clarify how the same policies may produce different effects </w:t>
      </w:r>
      <w:r w:rsidRPr="00F97403">
        <w:rPr>
          <w:color w:val="000000" w:themeColor="text1"/>
          <w:lang w:val="en-CA"/>
        </w:rPr>
        <w:lastRenderedPageBreak/>
        <w:t>depending on context, which future research could extend with fixed effects to control for unobserved state characteristics.</w:t>
      </w:r>
    </w:p>
    <w:p w14:paraId="120CB90B" w14:textId="77777777" w:rsidR="00F97403" w:rsidRPr="00F97403" w:rsidRDefault="00F97403" w:rsidP="00F97403">
      <w:pPr>
        <w:rPr>
          <w:color w:val="000000" w:themeColor="text1"/>
          <w:lang w:val="en-CA"/>
        </w:rPr>
      </w:pPr>
      <w:r w:rsidRPr="00F97403">
        <w:rPr>
          <w:color w:val="000000" w:themeColor="text1"/>
          <w:lang w:val="en-CA"/>
        </w:rPr>
        <w:t>Model 10 introduces an interaction between mobility and policy stringency. The negative coefficient suggests that in states with strict restrictions, mobility increases did not lead to higher spending. This implies that even if people were moving, they were not engaging in economic activity at normal levels due to uncertainty and continued restrictions.</w:t>
      </w:r>
    </w:p>
    <w:p w14:paraId="0D239991" w14:textId="77777777" w:rsidR="00F97403" w:rsidRPr="00F97403" w:rsidRDefault="00F97403" w:rsidP="00F97403">
      <w:pPr>
        <w:rPr>
          <w:color w:val="000000" w:themeColor="text1"/>
          <w:lang w:val="en-CA"/>
        </w:rPr>
      </w:pPr>
      <w:r w:rsidRPr="00F97403">
        <w:rPr>
          <w:color w:val="000000" w:themeColor="text1"/>
          <w:lang w:val="en-CA"/>
        </w:rPr>
        <w:t>Across all models, Model 4 is the preferred specification as it accounts for both the direct and diminishing effects of policy restrictions. The results confirm that policy stringency significantly reduced consumer spending, but with diminishing effects at extreme levels. Economic support played a stabilizing role, though its effectiveness was weaker in states with strict restrictions.</w:t>
      </w:r>
    </w:p>
    <w:p w14:paraId="29C6F67E" w14:textId="77777777" w:rsidR="00F97403" w:rsidRPr="00F97403" w:rsidRDefault="00F97403" w:rsidP="00F97403">
      <w:pPr>
        <w:rPr>
          <w:color w:val="000000" w:themeColor="text1"/>
          <w:lang w:val="en-CA"/>
        </w:rPr>
      </w:pPr>
      <w:r w:rsidRPr="00F97403">
        <w:rPr>
          <w:color w:val="000000" w:themeColor="text1"/>
          <w:lang w:val="en-CA"/>
        </w:rPr>
        <w:t>The findings suggest several important policy insights. First, while lockdowns effectively limited mobility and public health risks, their economic costs were high, and additional restrictions showed diminishing economic effects. This suggests that policies should focus on balancing economic stability with health outcomes, using targeted restrictions rather than broad lockdowns. Second, economic support measures helped sustain consumption, but their effectiveness depended on broader restrictions. This highlights the need for flexible stimulus policies—when restrictions are high, direct aid alone is not sufficient to restore normal economic activity. Instead, aid should be paired with policies that facilitate safe consumer engagement, such as support for remote services, local business adjustments, and phased reopening plans. Third, mobility patterns suggest that economic activity was displaced rather than eliminated, indicating that regional economic spillovers played a key role in shaping state-level recoveries. Future regressions with fixed effects or instrumental variables could help isolate these dynamics more precisely. Future crisis policies should consider cross-state economic interactions, particularly in highly mobile regions where state policies may indirectly influence neighboring economies.</w:t>
      </w:r>
    </w:p>
    <w:p w14:paraId="57AA4226" w14:textId="19E8C16C" w:rsidR="00D80A10" w:rsidRPr="00E0392A" w:rsidRDefault="00D80A10">
      <w:pPr>
        <w:rPr>
          <w:color w:val="000000" w:themeColor="text1"/>
        </w:rPr>
      </w:pPr>
    </w:p>
    <w:p w14:paraId="39B8821F" w14:textId="3B81AA38" w:rsidR="00D80A10" w:rsidRDefault="007C0497">
      <w:pPr>
        <w:pStyle w:val="Heading2"/>
        <w:rPr>
          <w:color w:val="000000" w:themeColor="text1"/>
        </w:rPr>
      </w:pPr>
      <w:r>
        <w:rPr>
          <w:color w:val="000000" w:themeColor="text1"/>
        </w:rPr>
        <w:t>4.</w:t>
      </w:r>
      <w:r w:rsidR="00305E93">
        <w:rPr>
          <w:color w:val="000000" w:themeColor="text1"/>
        </w:rPr>
        <w:t>3</w:t>
      </w:r>
      <w:r w:rsidRPr="00E0392A">
        <w:rPr>
          <w:color w:val="000000" w:themeColor="text1"/>
        </w:rPr>
        <w:t xml:space="preserve"> Web Scraping Extension</w:t>
      </w:r>
    </w:p>
    <w:p w14:paraId="345CF0C2" w14:textId="330CE201" w:rsidR="00305E93" w:rsidRPr="00305E93" w:rsidRDefault="00305E93" w:rsidP="00305E93">
      <w:r w:rsidRPr="00305E93">
        <w:t>This project incorporates web-scraped weekly fuel consumption data from the U.S. EIA API, focusing on distillate fuel oil and motor gasoline. These variables reflect mobility-related activity</w:t>
      </w:r>
      <w:r>
        <w:t xml:space="preserve"> (</w:t>
      </w:r>
      <w:r w:rsidRPr="00305E93">
        <w:t>U.S. Energy Information Administration, 2023).</w:t>
      </w:r>
    </w:p>
    <w:p w14:paraId="7C322D37" w14:textId="3B4FEFCE" w:rsidR="007C0497" w:rsidRDefault="007C0497">
      <w:pPr>
        <w:rPr>
          <w:color w:val="000000" w:themeColor="text1"/>
        </w:rPr>
      </w:pPr>
      <w:r>
        <w:rPr>
          <w:noProof/>
          <w:color w:val="000000" w:themeColor="text1"/>
        </w:rPr>
        <w:lastRenderedPageBreak/>
        <w:drawing>
          <wp:inline distT="0" distB="0" distL="0" distR="0" wp14:anchorId="04AF78DF" wp14:editId="1944C852">
            <wp:extent cx="5486400" cy="2332990"/>
            <wp:effectExtent l="0" t="0" r="0" b="3810"/>
            <wp:docPr id="8453922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92217" name="Picture 845392217"/>
                    <pic:cNvPicPr/>
                  </pic:nvPicPr>
                  <pic:blipFill>
                    <a:blip r:embed="rId13"/>
                    <a:stretch>
                      <a:fillRect/>
                    </a:stretch>
                  </pic:blipFill>
                  <pic:spPr>
                    <a:xfrm>
                      <a:off x="0" y="0"/>
                      <a:ext cx="5486400" cy="2332990"/>
                    </a:xfrm>
                    <a:prstGeom prst="rect">
                      <a:avLst/>
                    </a:prstGeom>
                  </pic:spPr>
                </pic:pic>
              </a:graphicData>
            </a:graphic>
          </wp:inline>
        </w:drawing>
      </w:r>
    </w:p>
    <w:p w14:paraId="12A84FDC" w14:textId="36B58B40" w:rsidR="00305E93" w:rsidRDefault="00305E93">
      <w:pPr>
        <w:rPr>
          <w:color w:val="000000" w:themeColor="text1"/>
        </w:rPr>
      </w:pPr>
      <w:r w:rsidRPr="00305E93">
        <w:rPr>
          <w:color w:val="000000" w:themeColor="text1"/>
        </w:rPr>
        <w:t>This plot in Figure 6 shows weekly U.S. consumption of motor gasoline and distillate fuel oil from March 2020 to April 2023. Both fuel types experienced a sharp drop at the start of the pandemic, in March 2020. As reopening began in mid-2020, consumption gradually recovered. Gasoline use increased more steadily, while diesel (distillate) showed a quicker rebound</w:t>
      </w:r>
      <w:r>
        <w:rPr>
          <w:color w:val="000000" w:themeColor="text1"/>
        </w:rPr>
        <w:t xml:space="preserve">. </w:t>
      </w:r>
      <w:r w:rsidRPr="00305E93">
        <w:rPr>
          <w:color w:val="000000" w:themeColor="text1"/>
        </w:rPr>
        <w:t>The second stimulus package in March 2021 appears to support a small increase in gasoline demand. However, consumption remained below pre-pandemic highs for much of the period. A small dip is visible around the Delta variant surge in mid-2021, indicating renewed uncertainty or mobility restrictions.</w:t>
      </w:r>
    </w:p>
    <w:p w14:paraId="34A1C34B" w14:textId="77777777" w:rsidR="002F7812" w:rsidRPr="00E0392A" w:rsidRDefault="002F7812">
      <w:pPr>
        <w:rPr>
          <w:color w:val="000000" w:themeColor="text1"/>
        </w:rPr>
      </w:pPr>
    </w:p>
    <w:p w14:paraId="45574310" w14:textId="62FF34DB" w:rsidR="00D80A10" w:rsidRPr="00E0392A" w:rsidRDefault="007C0497">
      <w:pPr>
        <w:pStyle w:val="Heading2"/>
        <w:rPr>
          <w:color w:val="000000" w:themeColor="text1"/>
        </w:rPr>
      </w:pPr>
      <w:r>
        <w:rPr>
          <w:color w:val="000000" w:themeColor="text1"/>
        </w:rPr>
        <w:t>4.</w:t>
      </w:r>
      <w:r w:rsidR="00305E93">
        <w:rPr>
          <w:color w:val="000000" w:themeColor="text1"/>
        </w:rPr>
        <w:t>4</w:t>
      </w:r>
      <w:r w:rsidRPr="00E0392A">
        <w:rPr>
          <w:color w:val="000000" w:themeColor="text1"/>
        </w:rPr>
        <w:t xml:space="preserve"> Machine Learning Models</w:t>
      </w:r>
    </w:p>
    <w:p w14:paraId="3FB49228" w14:textId="04CF0E0D" w:rsidR="00D80A10" w:rsidRPr="00E0392A" w:rsidRDefault="002F7812">
      <w:pPr>
        <w:rPr>
          <w:color w:val="000000" w:themeColor="text1"/>
        </w:rPr>
      </w:pPr>
      <w:r w:rsidRPr="002F7812">
        <w:rPr>
          <w:color w:val="000000" w:themeColor="text1"/>
        </w:rPr>
        <w:t xml:space="preserve">A regression tree was used to predict total consumer spending by identifying variable thresholds that minimize prediction error. To ensure interpretability and reduce overfitting, the model was limited to four levels with a minimum of ten observations per final group. The Stringency Index </w:t>
      </w:r>
      <w:r>
        <w:rPr>
          <w:color w:val="000000" w:themeColor="text1"/>
        </w:rPr>
        <w:t>shows</w:t>
      </w:r>
      <w:r w:rsidRPr="002F7812">
        <w:rPr>
          <w:color w:val="000000" w:themeColor="text1"/>
        </w:rPr>
        <w:t xml:space="preserve"> as the most influential variable, with lower values associated with higher spending. Additional key predictors included mobility outflow and the Containment Health Index. The tree explained approximately 47.7% of the variation in spending. A random forest model produced slightly lower explanatory power, indicating that simple policy and mobility-based splits captured most of the behavioral variation.</w:t>
      </w:r>
    </w:p>
    <w:p w14:paraId="7EF04F8D" w14:textId="0B4E7CDE" w:rsidR="00D80A10" w:rsidRPr="00E0392A" w:rsidRDefault="00D80A10">
      <w:pPr>
        <w:rPr>
          <w:color w:val="000000" w:themeColor="text1"/>
        </w:rPr>
      </w:pPr>
    </w:p>
    <w:p w14:paraId="6428D8B2" w14:textId="50407CAD" w:rsidR="00D80A10" w:rsidRPr="00E0392A" w:rsidRDefault="007C0497">
      <w:pPr>
        <w:pStyle w:val="Heading2"/>
        <w:rPr>
          <w:color w:val="000000" w:themeColor="text1"/>
        </w:rPr>
      </w:pPr>
      <w:r>
        <w:rPr>
          <w:color w:val="000000" w:themeColor="text1"/>
        </w:rPr>
        <w:t>5</w:t>
      </w:r>
      <w:r w:rsidRPr="00E0392A">
        <w:rPr>
          <w:color w:val="000000" w:themeColor="text1"/>
        </w:rPr>
        <w:t>. Conclusion</w:t>
      </w:r>
    </w:p>
    <w:p w14:paraId="56CABBCB" w14:textId="0291F831" w:rsidR="00A73B33" w:rsidRPr="00A73B33" w:rsidRDefault="00A73B33" w:rsidP="00A73B33">
      <w:pPr>
        <w:rPr>
          <w:color w:val="000000" w:themeColor="text1"/>
          <w:lang w:val="en-CA"/>
        </w:rPr>
      </w:pPr>
      <w:r w:rsidRPr="00A73B33">
        <w:rPr>
          <w:color w:val="000000" w:themeColor="text1"/>
          <w:lang w:val="en-CA"/>
        </w:rPr>
        <w:t>This study examines how state</w:t>
      </w:r>
      <w:r>
        <w:rPr>
          <w:color w:val="000000" w:themeColor="text1"/>
          <w:lang w:val="en-CA"/>
        </w:rPr>
        <w:t>s</w:t>
      </w:r>
      <w:r w:rsidRPr="00A73B33">
        <w:rPr>
          <w:color w:val="000000" w:themeColor="text1"/>
          <w:lang w:val="en-CA"/>
        </w:rPr>
        <w:t xml:space="preserve"> COVID-19 policies shaped consumer spending and public health outcomes by analyzing mobility trends, policy indices, and economic support measures</w:t>
      </w:r>
      <w:r>
        <w:rPr>
          <w:color w:val="000000" w:themeColor="text1"/>
          <w:lang w:val="en-CA"/>
        </w:rPr>
        <w:t xml:space="preserve"> in the U.S</w:t>
      </w:r>
      <w:r w:rsidRPr="00A73B33">
        <w:rPr>
          <w:color w:val="000000" w:themeColor="text1"/>
          <w:lang w:val="en-CA"/>
        </w:rPr>
        <w:t xml:space="preserve">. The findings from the regression analysis show that stricter containment measures led to lower consumer spending. Economic support policies helped reduce some of that impact. Mobility had a mixed effect. Mobility outflow was positively related to spending, possibly reflecting people moving away from strict areas to spend </w:t>
      </w:r>
      <w:r w:rsidRPr="00A73B33">
        <w:rPr>
          <w:color w:val="000000" w:themeColor="text1"/>
          <w:lang w:val="en-CA"/>
        </w:rPr>
        <w:lastRenderedPageBreak/>
        <w:t>elsewhere. In contrast, mobility inflow did not consistently increase spending. This may reflect uncertainty, fear, or local policy differences.</w:t>
      </w:r>
    </w:p>
    <w:p w14:paraId="3D8BA233" w14:textId="5135433D" w:rsidR="00A73B33" w:rsidRPr="00A73B33" w:rsidRDefault="00A73B33" w:rsidP="00A73B33">
      <w:pPr>
        <w:rPr>
          <w:color w:val="000000" w:themeColor="text1"/>
          <w:lang w:val="en-CA"/>
        </w:rPr>
      </w:pPr>
      <w:r w:rsidRPr="00A73B33">
        <w:rPr>
          <w:color w:val="000000" w:themeColor="text1"/>
          <w:lang w:val="en-CA"/>
        </w:rPr>
        <w:t xml:space="preserve">Trend analysis and visualizations show that spending dropped sharply early in the pandemic. It recovered gradually as states reopened and stimulus payments reached households. Spending on essentials remained steady, while services and non-essential items were more sensitive to lockdowns. </w:t>
      </w:r>
      <w:r>
        <w:rPr>
          <w:color w:val="000000" w:themeColor="text1"/>
          <w:lang w:val="en-CA"/>
        </w:rPr>
        <w:t xml:space="preserve"> </w:t>
      </w:r>
      <w:r w:rsidRPr="00A73B33">
        <w:rPr>
          <w:color w:val="000000" w:themeColor="text1"/>
          <w:lang w:val="en-CA"/>
        </w:rPr>
        <w:t>The maps provide further insight. States with high COVID-19 rates did not always have stricter rules. This suggests that public compliance, health system capacity, or political choices also mattered. One map shows that financial support per COVID-19 case varied widely across states. Some states provided much more help than others. These uneven patterns raise questions about how well resources were targeted and whether support was aligned with actual need.</w:t>
      </w:r>
    </w:p>
    <w:p w14:paraId="30DA40D7" w14:textId="77777777" w:rsidR="00A73B33" w:rsidRPr="00A73B33" w:rsidRDefault="00A73B33" w:rsidP="00A73B33">
      <w:pPr>
        <w:rPr>
          <w:color w:val="000000" w:themeColor="text1"/>
          <w:lang w:val="en-CA"/>
        </w:rPr>
      </w:pPr>
      <w:r w:rsidRPr="00A73B33">
        <w:rPr>
          <w:color w:val="000000" w:themeColor="text1"/>
          <w:lang w:val="en-CA"/>
        </w:rPr>
        <w:t>The machine learning results confirm and extend these findings. The regression tree shows that when the stringency index was low and mobility outflow was high, spending was higher. But when restrictions were strict and mobility dropped, predicted spending fell sharply. These breakpoints reflect real-world behavior. The random forest model finds that policy variables were the most important predictors of spending. In fact, the stringency index alone explained nearly 80 percent of the model’s power. This matches the regression findings and shows that government policy had the strongest effect on economic behavior during COVID. Mobility played a smaller role once policy was accounted for. The regression tree and forest performed similarly to the OLS model in terms of accuracy, but they provided clearer rules and captured nonlinear effects more naturally.</w:t>
      </w:r>
    </w:p>
    <w:p w14:paraId="3FF6486E" w14:textId="6BBE9D2C" w:rsidR="00A73B33" w:rsidRPr="00A73B33" w:rsidRDefault="00A73B33" w:rsidP="00A73B33">
      <w:pPr>
        <w:rPr>
          <w:color w:val="000000" w:themeColor="text1"/>
          <w:lang w:val="en-CA"/>
        </w:rPr>
      </w:pPr>
      <w:r w:rsidRPr="00A73B33">
        <w:rPr>
          <w:color w:val="000000" w:themeColor="text1"/>
          <w:lang w:val="en-CA"/>
        </w:rPr>
        <w:t xml:space="preserve">Additionally, the project also contains web-scraped data from the U.S. EIA, which adds an energy consumption dimension to the analysis. Patterns in fuel use, especially during lockdowns and </w:t>
      </w:r>
      <w:proofErr w:type="spellStart"/>
      <w:r w:rsidRPr="00A73B33">
        <w:rPr>
          <w:color w:val="000000" w:themeColor="text1"/>
          <w:lang w:val="en-CA"/>
        </w:rPr>
        <w:t>reopenings</w:t>
      </w:r>
      <w:proofErr w:type="spellEnd"/>
      <w:r>
        <w:rPr>
          <w:color w:val="000000" w:themeColor="text1"/>
          <w:lang w:val="en-CA"/>
        </w:rPr>
        <w:t xml:space="preserve"> periods</w:t>
      </w:r>
      <w:r w:rsidRPr="00A73B33">
        <w:rPr>
          <w:color w:val="000000" w:themeColor="text1"/>
          <w:lang w:val="en-CA"/>
        </w:rPr>
        <w:t>, reinforce the central role of mobility in mediating the policy-spending relationship. These extensions enhance the analytical depth and policy relevance of the study, offering practical insights for future crisis response strategies.</w:t>
      </w:r>
    </w:p>
    <w:p w14:paraId="66457302" w14:textId="77777777" w:rsidR="00A73B33" w:rsidRPr="00A73B33" w:rsidRDefault="00A73B33" w:rsidP="00A73B33">
      <w:pPr>
        <w:rPr>
          <w:color w:val="000000" w:themeColor="text1"/>
          <w:lang w:val="en-CA"/>
        </w:rPr>
      </w:pPr>
      <w:r w:rsidRPr="00A73B33">
        <w:rPr>
          <w:color w:val="000000" w:themeColor="text1"/>
          <w:lang w:val="en-CA"/>
        </w:rPr>
        <w:t>Despite these insights, the study has several limitations. First, the analysis uses state-level data and cannot reflect differences within states. Second, the policy indices do not measure how strongly policies were enforced or how well the public followed them. These real-world behaviors may have had a large effect on spending patterns.</w:t>
      </w:r>
    </w:p>
    <w:p w14:paraId="459C1B93" w14:textId="53B243F7" w:rsidR="00A73B33" w:rsidRPr="00A73B33" w:rsidRDefault="00A73B33" w:rsidP="00A73B33">
      <w:pPr>
        <w:rPr>
          <w:color w:val="000000" w:themeColor="text1"/>
          <w:lang w:val="en-CA"/>
        </w:rPr>
      </w:pPr>
      <w:r w:rsidRPr="00A73B33">
        <w:rPr>
          <w:color w:val="000000" w:themeColor="text1"/>
          <w:lang w:val="en-CA"/>
        </w:rPr>
        <w:t>Future research could address these gaps by using data at the city or county level, studying how people responded to policies in practice, and exploring long-term changes in consumer behavior. It would also be useful to combine survey data or real-time mobility apps with policy data to understand how people made decisions during the pandemic. Learning from this period can help governments balance health and economic goals more effectively in the future.</w:t>
      </w:r>
    </w:p>
    <w:p w14:paraId="7CF45C98" w14:textId="77777777" w:rsidR="00A73B33" w:rsidRPr="00E0392A" w:rsidRDefault="00A73B33">
      <w:pPr>
        <w:rPr>
          <w:color w:val="000000" w:themeColor="text1"/>
        </w:rPr>
      </w:pPr>
    </w:p>
    <w:p w14:paraId="12E47FEF" w14:textId="77777777" w:rsidR="007C0497" w:rsidRDefault="007C0497">
      <w:pPr>
        <w:rPr>
          <w:rFonts w:asciiTheme="majorHAnsi" w:eastAsiaTheme="majorEastAsia" w:hAnsiTheme="majorHAnsi" w:cstheme="majorBidi"/>
          <w:b/>
          <w:bCs/>
          <w:color w:val="000000" w:themeColor="text1"/>
          <w:sz w:val="26"/>
          <w:szCs w:val="26"/>
        </w:rPr>
      </w:pPr>
      <w:r>
        <w:rPr>
          <w:color w:val="000000" w:themeColor="text1"/>
        </w:rPr>
        <w:br w:type="page"/>
      </w:r>
    </w:p>
    <w:p w14:paraId="4AB86339" w14:textId="40C2F958" w:rsidR="00D80A10" w:rsidRPr="00E0392A" w:rsidRDefault="007C0497">
      <w:pPr>
        <w:pStyle w:val="Heading2"/>
        <w:rPr>
          <w:color w:val="000000" w:themeColor="text1"/>
        </w:rPr>
      </w:pPr>
      <w:r>
        <w:rPr>
          <w:color w:val="000000" w:themeColor="text1"/>
        </w:rPr>
        <w:lastRenderedPageBreak/>
        <w:t>6</w:t>
      </w:r>
      <w:r w:rsidRPr="00E0392A">
        <w:rPr>
          <w:color w:val="000000" w:themeColor="text1"/>
        </w:rPr>
        <w:t>. References</w:t>
      </w:r>
    </w:p>
    <w:p w14:paraId="1EC3654A" w14:textId="77777777" w:rsidR="00D80A10" w:rsidRPr="00E0392A" w:rsidRDefault="00000000">
      <w:pPr>
        <w:rPr>
          <w:color w:val="000000" w:themeColor="text1"/>
        </w:rPr>
      </w:pPr>
      <w:r w:rsidRPr="00E0392A">
        <w:rPr>
          <w:color w:val="000000" w:themeColor="text1"/>
        </w:rPr>
        <w:t>[Include all references cited in proper format.]</w:t>
      </w:r>
    </w:p>
    <w:sectPr w:rsidR="00D80A10" w:rsidRPr="00E039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3863933">
    <w:abstractNumId w:val="8"/>
  </w:num>
  <w:num w:numId="2" w16cid:durableId="2015719465">
    <w:abstractNumId w:val="6"/>
  </w:num>
  <w:num w:numId="3" w16cid:durableId="326518555">
    <w:abstractNumId w:val="5"/>
  </w:num>
  <w:num w:numId="4" w16cid:durableId="1107963108">
    <w:abstractNumId w:val="4"/>
  </w:num>
  <w:num w:numId="5" w16cid:durableId="2008705139">
    <w:abstractNumId w:val="7"/>
  </w:num>
  <w:num w:numId="6" w16cid:durableId="1590188657">
    <w:abstractNumId w:val="3"/>
  </w:num>
  <w:num w:numId="7" w16cid:durableId="2128893221">
    <w:abstractNumId w:val="2"/>
  </w:num>
  <w:num w:numId="8" w16cid:durableId="1803033508">
    <w:abstractNumId w:val="1"/>
  </w:num>
  <w:num w:numId="9" w16cid:durableId="1256860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F7812"/>
    <w:rsid w:val="00305E93"/>
    <w:rsid w:val="0032545E"/>
    <w:rsid w:val="00326F90"/>
    <w:rsid w:val="006178C8"/>
    <w:rsid w:val="007C0497"/>
    <w:rsid w:val="0091573B"/>
    <w:rsid w:val="00A73B33"/>
    <w:rsid w:val="00AA1D8D"/>
    <w:rsid w:val="00B47730"/>
    <w:rsid w:val="00B76668"/>
    <w:rsid w:val="00CB0664"/>
    <w:rsid w:val="00D80A10"/>
    <w:rsid w:val="00E0392A"/>
    <w:rsid w:val="00F9740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A81FB2"/>
  <w14:defaultImageDpi w14:val="300"/>
  <w15:docId w15:val="{CB5A69BF-B573-8D49-8618-840D68F17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1">
    <w:name w:val="Plain Table 1"/>
    <w:basedOn w:val="TableNormal"/>
    <w:uiPriority w:val="99"/>
    <w:rsid w:val="003254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62688">
      <w:bodyDiv w:val="1"/>
      <w:marLeft w:val="0"/>
      <w:marRight w:val="0"/>
      <w:marTop w:val="0"/>
      <w:marBottom w:val="0"/>
      <w:divBdr>
        <w:top w:val="none" w:sz="0" w:space="0" w:color="auto"/>
        <w:left w:val="none" w:sz="0" w:space="0" w:color="auto"/>
        <w:bottom w:val="none" w:sz="0" w:space="0" w:color="auto"/>
        <w:right w:val="none" w:sz="0" w:space="0" w:color="auto"/>
      </w:divBdr>
      <w:divsChild>
        <w:div w:id="907153386">
          <w:marLeft w:val="0"/>
          <w:marRight w:val="0"/>
          <w:marTop w:val="0"/>
          <w:marBottom w:val="0"/>
          <w:divBdr>
            <w:top w:val="none" w:sz="0" w:space="0" w:color="auto"/>
            <w:left w:val="none" w:sz="0" w:space="0" w:color="auto"/>
            <w:bottom w:val="none" w:sz="0" w:space="0" w:color="auto"/>
            <w:right w:val="none" w:sz="0" w:space="0" w:color="auto"/>
          </w:divBdr>
          <w:divsChild>
            <w:div w:id="617027280">
              <w:marLeft w:val="0"/>
              <w:marRight w:val="0"/>
              <w:marTop w:val="0"/>
              <w:marBottom w:val="0"/>
              <w:divBdr>
                <w:top w:val="none" w:sz="0" w:space="0" w:color="auto"/>
                <w:left w:val="none" w:sz="0" w:space="0" w:color="auto"/>
                <w:bottom w:val="none" w:sz="0" w:space="0" w:color="auto"/>
                <w:right w:val="none" w:sz="0" w:space="0" w:color="auto"/>
              </w:divBdr>
              <w:divsChild>
                <w:div w:id="1522166325">
                  <w:marLeft w:val="0"/>
                  <w:marRight w:val="0"/>
                  <w:marTop w:val="0"/>
                  <w:marBottom w:val="0"/>
                  <w:divBdr>
                    <w:top w:val="none" w:sz="0" w:space="0" w:color="auto"/>
                    <w:left w:val="none" w:sz="0" w:space="0" w:color="auto"/>
                    <w:bottom w:val="none" w:sz="0" w:space="0" w:color="auto"/>
                    <w:right w:val="none" w:sz="0" w:space="0" w:color="auto"/>
                  </w:divBdr>
                  <w:divsChild>
                    <w:div w:id="1879079837">
                      <w:marLeft w:val="0"/>
                      <w:marRight w:val="0"/>
                      <w:marTop w:val="0"/>
                      <w:marBottom w:val="0"/>
                      <w:divBdr>
                        <w:top w:val="none" w:sz="0" w:space="0" w:color="auto"/>
                        <w:left w:val="none" w:sz="0" w:space="0" w:color="auto"/>
                        <w:bottom w:val="none" w:sz="0" w:space="0" w:color="auto"/>
                        <w:right w:val="none" w:sz="0" w:space="0" w:color="auto"/>
                      </w:divBdr>
                      <w:divsChild>
                        <w:div w:id="1432241493">
                          <w:marLeft w:val="0"/>
                          <w:marRight w:val="0"/>
                          <w:marTop w:val="0"/>
                          <w:marBottom w:val="0"/>
                          <w:divBdr>
                            <w:top w:val="none" w:sz="0" w:space="0" w:color="auto"/>
                            <w:left w:val="none" w:sz="0" w:space="0" w:color="auto"/>
                            <w:bottom w:val="none" w:sz="0" w:space="0" w:color="auto"/>
                            <w:right w:val="none" w:sz="0" w:space="0" w:color="auto"/>
                          </w:divBdr>
                          <w:divsChild>
                            <w:div w:id="565724831">
                              <w:marLeft w:val="0"/>
                              <w:marRight w:val="0"/>
                              <w:marTop w:val="0"/>
                              <w:marBottom w:val="0"/>
                              <w:divBdr>
                                <w:top w:val="none" w:sz="0" w:space="0" w:color="auto"/>
                                <w:left w:val="none" w:sz="0" w:space="0" w:color="auto"/>
                                <w:bottom w:val="none" w:sz="0" w:space="0" w:color="auto"/>
                                <w:right w:val="none" w:sz="0" w:space="0" w:color="auto"/>
                              </w:divBdr>
                              <w:divsChild>
                                <w:div w:id="1493450697">
                                  <w:marLeft w:val="0"/>
                                  <w:marRight w:val="0"/>
                                  <w:marTop w:val="0"/>
                                  <w:marBottom w:val="0"/>
                                  <w:divBdr>
                                    <w:top w:val="none" w:sz="0" w:space="0" w:color="auto"/>
                                    <w:left w:val="none" w:sz="0" w:space="0" w:color="auto"/>
                                    <w:bottom w:val="none" w:sz="0" w:space="0" w:color="auto"/>
                                    <w:right w:val="none" w:sz="0" w:space="0" w:color="auto"/>
                                  </w:divBdr>
                                  <w:divsChild>
                                    <w:div w:id="96111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78993">
      <w:bodyDiv w:val="1"/>
      <w:marLeft w:val="0"/>
      <w:marRight w:val="0"/>
      <w:marTop w:val="0"/>
      <w:marBottom w:val="0"/>
      <w:divBdr>
        <w:top w:val="none" w:sz="0" w:space="0" w:color="auto"/>
        <w:left w:val="none" w:sz="0" w:space="0" w:color="auto"/>
        <w:bottom w:val="none" w:sz="0" w:space="0" w:color="auto"/>
        <w:right w:val="none" w:sz="0" w:space="0" w:color="auto"/>
      </w:divBdr>
    </w:div>
    <w:div w:id="205877968">
      <w:bodyDiv w:val="1"/>
      <w:marLeft w:val="0"/>
      <w:marRight w:val="0"/>
      <w:marTop w:val="0"/>
      <w:marBottom w:val="0"/>
      <w:divBdr>
        <w:top w:val="none" w:sz="0" w:space="0" w:color="auto"/>
        <w:left w:val="none" w:sz="0" w:space="0" w:color="auto"/>
        <w:bottom w:val="none" w:sz="0" w:space="0" w:color="auto"/>
        <w:right w:val="none" w:sz="0" w:space="0" w:color="auto"/>
      </w:divBdr>
    </w:div>
    <w:div w:id="301349745">
      <w:bodyDiv w:val="1"/>
      <w:marLeft w:val="0"/>
      <w:marRight w:val="0"/>
      <w:marTop w:val="0"/>
      <w:marBottom w:val="0"/>
      <w:divBdr>
        <w:top w:val="none" w:sz="0" w:space="0" w:color="auto"/>
        <w:left w:val="none" w:sz="0" w:space="0" w:color="auto"/>
        <w:bottom w:val="none" w:sz="0" w:space="0" w:color="auto"/>
        <w:right w:val="none" w:sz="0" w:space="0" w:color="auto"/>
      </w:divBdr>
      <w:divsChild>
        <w:div w:id="1401291303">
          <w:marLeft w:val="0"/>
          <w:marRight w:val="0"/>
          <w:marTop w:val="0"/>
          <w:marBottom w:val="0"/>
          <w:divBdr>
            <w:top w:val="none" w:sz="0" w:space="0" w:color="auto"/>
            <w:left w:val="none" w:sz="0" w:space="0" w:color="auto"/>
            <w:bottom w:val="none" w:sz="0" w:space="0" w:color="auto"/>
            <w:right w:val="none" w:sz="0" w:space="0" w:color="auto"/>
          </w:divBdr>
          <w:divsChild>
            <w:div w:id="755248287">
              <w:marLeft w:val="0"/>
              <w:marRight w:val="0"/>
              <w:marTop w:val="0"/>
              <w:marBottom w:val="0"/>
              <w:divBdr>
                <w:top w:val="none" w:sz="0" w:space="0" w:color="auto"/>
                <w:left w:val="none" w:sz="0" w:space="0" w:color="auto"/>
                <w:bottom w:val="none" w:sz="0" w:space="0" w:color="auto"/>
                <w:right w:val="none" w:sz="0" w:space="0" w:color="auto"/>
              </w:divBdr>
              <w:divsChild>
                <w:div w:id="355933644">
                  <w:marLeft w:val="0"/>
                  <w:marRight w:val="0"/>
                  <w:marTop w:val="0"/>
                  <w:marBottom w:val="0"/>
                  <w:divBdr>
                    <w:top w:val="none" w:sz="0" w:space="0" w:color="auto"/>
                    <w:left w:val="none" w:sz="0" w:space="0" w:color="auto"/>
                    <w:bottom w:val="none" w:sz="0" w:space="0" w:color="auto"/>
                    <w:right w:val="none" w:sz="0" w:space="0" w:color="auto"/>
                  </w:divBdr>
                  <w:divsChild>
                    <w:div w:id="1789932825">
                      <w:marLeft w:val="0"/>
                      <w:marRight w:val="0"/>
                      <w:marTop w:val="0"/>
                      <w:marBottom w:val="0"/>
                      <w:divBdr>
                        <w:top w:val="single" w:sz="4" w:space="0" w:color="E0E0E0"/>
                        <w:left w:val="single" w:sz="4" w:space="4" w:color="E0E0E0"/>
                        <w:bottom w:val="single" w:sz="4" w:space="0" w:color="E0E0E0"/>
                        <w:right w:val="single" w:sz="4" w:space="15" w:color="E0E0E0"/>
                      </w:divBdr>
                    </w:div>
                  </w:divsChild>
                </w:div>
              </w:divsChild>
            </w:div>
          </w:divsChild>
        </w:div>
        <w:div w:id="972372886">
          <w:marLeft w:val="0"/>
          <w:marRight w:val="0"/>
          <w:marTop w:val="0"/>
          <w:marBottom w:val="0"/>
          <w:divBdr>
            <w:top w:val="none" w:sz="0" w:space="0" w:color="auto"/>
            <w:left w:val="none" w:sz="0" w:space="0" w:color="auto"/>
            <w:bottom w:val="none" w:sz="0" w:space="0" w:color="auto"/>
            <w:right w:val="none" w:sz="0" w:space="0" w:color="auto"/>
          </w:divBdr>
          <w:divsChild>
            <w:div w:id="1633049958">
              <w:marLeft w:val="0"/>
              <w:marRight w:val="0"/>
              <w:marTop w:val="0"/>
              <w:marBottom w:val="0"/>
              <w:divBdr>
                <w:top w:val="none" w:sz="0" w:space="0" w:color="auto"/>
                <w:left w:val="none" w:sz="0" w:space="0" w:color="auto"/>
                <w:bottom w:val="none" w:sz="0" w:space="0" w:color="auto"/>
                <w:right w:val="none" w:sz="0" w:space="0" w:color="auto"/>
              </w:divBdr>
              <w:divsChild>
                <w:div w:id="871529667">
                  <w:marLeft w:val="0"/>
                  <w:marRight w:val="0"/>
                  <w:marTop w:val="0"/>
                  <w:marBottom w:val="0"/>
                  <w:divBdr>
                    <w:top w:val="none" w:sz="0" w:space="0" w:color="auto"/>
                    <w:left w:val="none" w:sz="0" w:space="0" w:color="auto"/>
                    <w:bottom w:val="none" w:sz="0" w:space="0" w:color="auto"/>
                    <w:right w:val="none" w:sz="0" w:space="0" w:color="auto"/>
                  </w:divBdr>
                  <w:divsChild>
                    <w:div w:id="384303585">
                      <w:marLeft w:val="0"/>
                      <w:marRight w:val="0"/>
                      <w:marTop w:val="0"/>
                      <w:marBottom w:val="0"/>
                      <w:divBdr>
                        <w:top w:val="single" w:sz="4" w:space="4" w:color="auto"/>
                        <w:left w:val="single" w:sz="4" w:space="4" w:color="auto"/>
                        <w:bottom w:val="single" w:sz="4" w:space="4" w:color="auto"/>
                        <w:right w:val="single" w:sz="4" w:space="4" w:color="auto"/>
                      </w:divBdr>
                    </w:div>
                    <w:div w:id="214439378">
                      <w:marLeft w:val="0"/>
                      <w:marRight w:val="0"/>
                      <w:marTop w:val="0"/>
                      <w:marBottom w:val="0"/>
                      <w:divBdr>
                        <w:top w:val="single" w:sz="4" w:space="0" w:color="E0E0E0"/>
                        <w:left w:val="single" w:sz="4" w:space="0" w:color="E0E0E0"/>
                        <w:bottom w:val="single" w:sz="4" w:space="0" w:color="E0E0E0"/>
                        <w:right w:val="single" w:sz="4" w:space="0" w:color="E0E0E0"/>
                      </w:divBdr>
                      <w:divsChild>
                        <w:div w:id="416681368">
                          <w:marLeft w:val="0"/>
                          <w:marRight w:val="0"/>
                          <w:marTop w:val="0"/>
                          <w:marBottom w:val="0"/>
                          <w:divBdr>
                            <w:top w:val="none" w:sz="0" w:space="0" w:color="auto"/>
                            <w:left w:val="none" w:sz="0" w:space="0" w:color="auto"/>
                            <w:bottom w:val="none" w:sz="0" w:space="0" w:color="auto"/>
                            <w:right w:val="none" w:sz="0" w:space="0" w:color="auto"/>
                          </w:divBdr>
                          <w:divsChild>
                            <w:div w:id="310908350">
                              <w:marLeft w:val="0"/>
                              <w:marRight w:val="0"/>
                              <w:marTop w:val="0"/>
                              <w:marBottom w:val="0"/>
                              <w:divBdr>
                                <w:top w:val="none" w:sz="0" w:space="0" w:color="auto"/>
                                <w:left w:val="none" w:sz="0" w:space="0" w:color="auto"/>
                                <w:bottom w:val="none" w:sz="0" w:space="0" w:color="auto"/>
                                <w:right w:val="none" w:sz="0" w:space="0" w:color="auto"/>
                              </w:divBdr>
                              <w:divsChild>
                                <w:div w:id="78816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442240">
      <w:bodyDiv w:val="1"/>
      <w:marLeft w:val="0"/>
      <w:marRight w:val="0"/>
      <w:marTop w:val="0"/>
      <w:marBottom w:val="0"/>
      <w:divBdr>
        <w:top w:val="none" w:sz="0" w:space="0" w:color="auto"/>
        <w:left w:val="none" w:sz="0" w:space="0" w:color="auto"/>
        <w:bottom w:val="none" w:sz="0" w:space="0" w:color="auto"/>
        <w:right w:val="none" w:sz="0" w:space="0" w:color="auto"/>
      </w:divBdr>
    </w:div>
    <w:div w:id="552665760">
      <w:bodyDiv w:val="1"/>
      <w:marLeft w:val="0"/>
      <w:marRight w:val="0"/>
      <w:marTop w:val="0"/>
      <w:marBottom w:val="0"/>
      <w:divBdr>
        <w:top w:val="none" w:sz="0" w:space="0" w:color="auto"/>
        <w:left w:val="none" w:sz="0" w:space="0" w:color="auto"/>
        <w:bottom w:val="none" w:sz="0" w:space="0" w:color="auto"/>
        <w:right w:val="none" w:sz="0" w:space="0" w:color="auto"/>
      </w:divBdr>
    </w:div>
    <w:div w:id="572466734">
      <w:bodyDiv w:val="1"/>
      <w:marLeft w:val="0"/>
      <w:marRight w:val="0"/>
      <w:marTop w:val="0"/>
      <w:marBottom w:val="0"/>
      <w:divBdr>
        <w:top w:val="none" w:sz="0" w:space="0" w:color="auto"/>
        <w:left w:val="none" w:sz="0" w:space="0" w:color="auto"/>
        <w:bottom w:val="none" w:sz="0" w:space="0" w:color="auto"/>
        <w:right w:val="none" w:sz="0" w:space="0" w:color="auto"/>
      </w:divBdr>
    </w:div>
    <w:div w:id="882443517">
      <w:bodyDiv w:val="1"/>
      <w:marLeft w:val="0"/>
      <w:marRight w:val="0"/>
      <w:marTop w:val="0"/>
      <w:marBottom w:val="0"/>
      <w:divBdr>
        <w:top w:val="none" w:sz="0" w:space="0" w:color="auto"/>
        <w:left w:val="none" w:sz="0" w:space="0" w:color="auto"/>
        <w:bottom w:val="none" w:sz="0" w:space="0" w:color="auto"/>
        <w:right w:val="none" w:sz="0" w:space="0" w:color="auto"/>
      </w:divBdr>
    </w:div>
    <w:div w:id="886914588">
      <w:bodyDiv w:val="1"/>
      <w:marLeft w:val="0"/>
      <w:marRight w:val="0"/>
      <w:marTop w:val="0"/>
      <w:marBottom w:val="0"/>
      <w:divBdr>
        <w:top w:val="none" w:sz="0" w:space="0" w:color="auto"/>
        <w:left w:val="none" w:sz="0" w:space="0" w:color="auto"/>
        <w:bottom w:val="none" w:sz="0" w:space="0" w:color="auto"/>
        <w:right w:val="none" w:sz="0" w:space="0" w:color="auto"/>
      </w:divBdr>
    </w:div>
    <w:div w:id="1065761318">
      <w:bodyDiv w:val="1"/>
      <w:marLeft w:val="0"/>
      <w:marRight w:val="0"/>
      <w:marTop w:val="0"/>
      <w:marBottom w:val="0"/>
      <w:divBdr>
        <w:top w:val="none" w:sz="0" w:space="0" w:color="auto"/>
        <w:left w:val="none" w:sz="0" w:space="0" w:color="auto"/>
        <w:bottom w:val="none" w:sz="0" w:space="0" w:color="auto"/>
        <w:right w:val="none" w:sz="0" w:space="0" w:color="auto"/>
      </w:divBdr>
    </w:div>
    <w:div w:id="1116681770">
      <w:bodyDiv w:val="1"/>
      <w:marLeft w:val="0"/>
      <w:marRight w:val="0"/>
      <w:marTop w:val="0"/>
      <w:marBottom w:val="0"/>
      <w:divBdr>
        <w:top w:val="none" w:sz="0" w:space="0" w:color="auto"/>
        <w:left w:val="none" w:sz="0" w:space="0" w:color="auto"/>
        <w:bottom w:val="none" w:sz="0" w:space="0" w:color="auto"/>
        <w:right w:val="none" w:sz="0" w:space="0" w:color="auto"/>
      </w:divBdr>
      <w:divsChild>
        <w:div w:id="1604923657">
          <w:marLeft w:val="0"/>
          <w:marRight w:val="0"/>
          <w:marTop w:val="0"/>
          <w:marBottom w:val="0"/>
          <w:divBdr>
            <w:top w:val="none" w:sz="0" w:space="0" w:color="auto"/>
            <w:left w:val="none" w:sz="0" w:space="0" w:color="auto"/>
            <w:bottom w:val="none" w:sz="0" w:space="0" w:color="auto"/>
            <w:right w:val="none" w:sz="0" w:space="0" w:color="auto"/>
          </w:divBdr>
          <w:divsChild>
            <w:div w:id="2070111345">
              <w:marLeft w:val="0"/>
              <w:marRight w:val="0"/>
              <w:marTop w:val="0"/>
              <w:marBottom w:val="0"/>
              <w:divBdr>
                <w:top w:val="none" w:sz="0" w:space="0" w:color="auto"/>
                <w:left w:val="none" w:sz="0" w:space="0" w:color="auto"/>
                <w:bottom w:val="none" w:sz="0" w:space="0" w:color="auto"/>
                <w:right w:val="none" w:sz="0" w:space="0" w:color="auto"/>
              </w:divBdr>
              <w:divsChild>
                <w:div w:id="2027947675">
                  <w:marLeft w:val="0"/>
                  <w:marRight w:val="0"/>
                  <w:marTop w:val="0"/>
                  <w:marBottom w:val="0"/>
                  <w:divBdr>
                    <w:top w:val="none" w:sz="0" w:space="0" w:color="auto"/>
                    <w:left w:val="none" w:sz="0" w:space="0" w:color="auto"/>
                    <w:bottom w:val="none" w:sz="0" w:space="0" w:color="auto"/>
                    <w:right w:val="none" w:sz="0" w:space="0" w:color="auto"/>
                  </w:divBdr>
                  <w:divsChild>
                    <w:div w:id="1272972959">
                      <w:marLeft w:val="0"/>
                      <w:marRight w:val="0"/>
                      <w:marTop w:val="0"/>
                      <w:marBottom w:val="0"/>
                      <w:divBdr>
                        <w:top w:val="single" w:sz="4" w:space="0" w:color="E0E0E0"/>
                        <w:left w:val="single" w:sz="4" w:space="4" w:color="E0E0E0"/>
                        <w:bottom w:val="single" w:sz="4" w:space="0" w:color="E0E0E0"/>
                        <w:right w:val="single" w:sz="4" w:space="15" w:color="E0E0E0"/>
                      </w:divBdr>
                    </w:div>
                  </w:divsChild>
                </w:div>
              </w:divsChild>
            </w:div>
          </w:divsChild>
        </w:div>
        <w:div w:id="987174001">
          <w:marLeft w:val="0"/>
          <w:marRight w:val="0"/>
          <w:marTop w:val="0"/>
          <w:marBottom w:val="0"/>
          <w:divBdr>
            <w:top w:val="none" w:sz="0" w:space="0" w:color="auto"/>
            <w:left w:val="none" w:sz="0" w:space="0" w:color="auto"/>
            <w:bottom w:val="none" w:sz="0" w:space="0" w:color="auto"/>
            <w:right w:val="none" w:sz="0" w:space="0" w:color="auto"/>
          </w:divBdr>
          <w:divsChild>
            <w:div w:id="1585728402">
              <w:marLeft w:val="0"/>
              <w:marRight w:val="0"/>
              <w:marTop w:val="0"/>
              <w:marBottom w:val="0"/>
              <w:divBdr>
                <w:top w:val="none" w:sz="0" w:space="0" w:color="auto"/>
                <w:left w:val="none" w:sz="0" w:space="0" w:color="auto"/>
                <w:bottom w:val="none" w:sz="0" w:space="0" w:color="auto"/>
                <w:right w:val="none" w:sz="0" w:space="0" w:color="auto"/>
              </w:divBdr>
              <w:divsChild>
                <w:div w:id="687145349">
                  <w:marLeft w:val="0"/>
                  <w:marRight w:val="0"/>
                  <w:marTop w:val="0"/>
                  <w:marBottom w:val="0"/>
                  <w:divBdr>
                    <w:top w:val="none" w:sz="0" w:space="0" w:color="auto"/>
                    <w:left w:val="none" w:sz="0" w:space="0" w:color="auto"/>
                    <w:bottom w:val="none" w:sz="0" w:space="0" w:color="auto"/>
                    <w:right w:val="none" w:sz="0" w:space="0" w:color="auto"/>
                  </w:divBdr>
                  <w:divsChild>
                    <w:div w:id="825438816">
                      <w:marLeft w:val="0"/>
                      <w:marRight w:val="0"/>
                      <w:marTop w:val="0"/>
                      <w:marBottom w:val="0"/>
                      <w:divBdr>
                        <w:top w:val="single" w:sz="4" w:space="4" w:color="auto"/>
                        <w:left w:val="single" w:sz="4" w:space="4" w:color="auto"/>
                        <w:bottom w:val="single" w:sz="4" w:space="4" w:color="auto"/>
                        <w:right w:val="single" w:sz="4" w:space="4" w:color="auto"/>
                      </w:divBdr>
                    </w:div>
                    <w:div w:id="1624732314">
                      <w:marLeft w:val="0"/>
                      <w:marRight w:val="0"/>
                      <w:marTop w:val="0"/>
                      <w:marBottom w:val="0"/>
                      <w:divBdr>
                        <w:top w:val="single" w:sz="4" w:space="0" w:color="E0E0E0"/>
                        <w:left w:val="single" w:sz="4" w:space="0" w:color="E0E0E0"/>
                        <w:bottom w:val="single" w:sz="4" w:space="0" w:color="E0E0E0"/>
                        <w:right w:val="single" w:sz="4" w:space="0" w:color="E0E0E0"/>
                      </w:divBdr>
                      <w:divsChild>
                        <w:div w:id="826046114">
                          <w:marLeft w:val="0"/>
                          <w:marRight w:val="0"/>
                          <w:marTop w:val="0"/>
                          <w:marBottom w:val="0"/>
                          <w:divBdr>
                            <w:top w:val="none" w:sz="0" w:space="0" w:color="auto"/>
                            <w:left w:val="none" w:sz="0" w:space="0" w:color="auto"/>
                            <w:bottom w:val="none" w:sz="0" w:space="0" w:color="auto"/>
                            <w:right w:val="none" w:sz="0" w:space="0" w:color="auto"/>
                          </w:divBdr>
                          <w:divsChild>
                            <w:div w:id="1899703837">
                              <w:marLeft w:val="0"/>
                              <w:marRight w:val="0"/>
                              <w:marTop w:val="0"/>
                              <w:marBottom w:val="0"/>
                              <w:divBdr>
                                <w:top w:val="none" w:sz="0" w:space="0" w:color="auto"/>
                                <w:left w:val="none" w:sz="0" w:space="0" w:color="auto"/>
                                <w:bottom w:val="none" w:sz="0" w:space="0" w:color="auto"/>
                                <w:right w:val="none" w:sz="0" w:space="0" w:color="auto"/>
                              </w:divBdr>
                              <w:divsChild>
                                <w:div w:id="89181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837975">
      <w:bodyDiv w:val="1"/>
      <w:marLeft w:val="0"/>
      <w:marRight w:val="0"/>
      <w:marTop w:val="0"/>
      <w:marBottom w:val="0"/>
      <w:divBdr>
        <w:top w:val="none" w:sz="0" w:space="0" w:color="auto"/>
        <w:left w:val="none" w:sz="0" w:space="0" w:color="auto"/>
        <w:bottom w:val="none" w:sz="0" w:space="0" w:color="auto"/>
        <w:right w:val="none" w:sz="0" w:space="0" w:color="auto"/>
      </w:divBdr>
    </w:div>
    <w:div w:id="1306932005">
      <w:bodyDiv w:val="1"/>
      <w:marLeft w:val="0"/>
      <w:marRight w:val="0"/>
      <w:marTop w:val="0"/>
      <w:marBottom w:val="0"/>
      <w:divBdr>
        <w:top w:val="none" w:sz="0" w:space="0" w:color="auto"/>
        <w:left w:val="none" w:sz="0" w:space="0" w:color="auto"/>
        <w:bottom w:val="none" w:sz="0" w:space="0" w:color="auto"/>
        <w:right w:val="none" w:sz="0" w:space="0" w:color="auto"/>
      </w:divBdr>
    </w:div>
    <w:div w:id="1314140354">
      <w:bodyDiv w:val="1"/>
      <w:marLeft w:val="0"/>
      <w:marRight w:val="0"/>
      <w:marTop w:val="0"/>
      <w:marBottom w:val="0"/>
      <w:divBdr>
        <w:top w:val="none" w:sz="0" w:space="0" w:color="auto"/>
        <w:left w:val="none" w:sz="0" w:space="0" w:color="auto"/>
        <w:bottom w:val="none" w:sz="0" w:space="0" w:color="auto"/>
        <w:right w:val="none" w:sz="0" w:space="0" w:color="auto"/>
      </w:divBdr>
      <w:divsChild>
        <w:div w:id="1111318590">
          <w:marLeft w:val="0"/>
          <w:marRight w:val="0"/>
          <w:marTop w:val="0"/>
          <w:marBottom w:val="0"/>
          <w:divBdr>
            <w:top w:val="none" w:sz="0" w:space="0" w:color="auto"/>
            <w:left w:val="none" w:sz="0" w:space="0" w:color="auto"/>
            <w:bottom w:val="none" w:sz="0" w:space="0" w:color="auto"/>
            <w:right w:val="none" w:sz="0" w:space="0" w:color="auto"/>
          </w:divBdr>
          <w:divsChild>
            <w:div w:id="1671789385">
              <w:marLeft w:val="0"/>
              <w:marRight w:val="0"/>
              <w:marTop w:val="0"/>
              <w:marBottom w:val="0"/>
              <w:divBdr>
                <w:top w:val="none" w:sz="0" w:space="0" w:color="auto"/>
                <w:left w:val="none" w:sz="0" w:space="0" w:color="auto"/>
                <w:bottom w:val="none" w:sz="0" w:space="0" w:color="auto"/>
                <w:right w:val="none" w:sz="0" w:space="0" w:color="auto"/>
              </w:divBdr>
              <w:divsChild>
                <w:div w:id="243615361">
                  <w:marLeft w:val="0"/>
                  <w:marRight w:val="0"/>
                  <w:marTop w:val="0"/>
                  <w:marBottom w:val="0"/>
                  <w:divBdr>
                    <w:top w:val="none" w:sz="0" w:space="0" w:color="auto"/>
                    <w:left w:val="none" w:sz="0" w:space="0" w:color="auto"/>
                    <w:bottom w:val="none" w:sz="0" w:space="0" w:color="auto"/>
                    <w:right w:val="none" w:sz="0" w:space="0" w:color="auto"/>
                  </w:divBdr>
                  <w:divsChild>
                    <w:div w:id="714892676">
                      <w:marLeft w:val="0"/>
                      <w:marRight w:val="0"/>
                      <w:marTop w:val="0"/>
                      <w:marBottom w:val="0"/>
                      <w:divBdr>
                        <w:top w:val="none" w:sz="0" w:space="0" w:color="auto"/>
                        <w:left w:val="none" w:sz="0" w:space="0" w:color="auto"/>
                        <w:bottom w:val="none" w:sz="0" w:space="0" w:color="auto"/>
                        <w:right w:val="none" w:sz="0" w:space="0" w:color="auto"/>
                      </w:divBdr>
                      <w:divsChild>
                        <w:div w:id="1548177144">
                          <w:marLeft w:val="0"/>
                          <w:marRight w:val="0"/>
                          <w:marTop w:val="0"/>
                          <w:marBottom w:val="0"/>
                          <w:divBdr>
                            <w:top w:val="none" w:sz="0" w:space="0" w:color="auto"/>
                            <w:left w:val="none" w:sz="0" w:space="0" w:color="auto"/>
                            <w:bottom w:val="none" w:sz="0" w:space="0" w:color="auto"/>
                            <w:right w:val="none" w:sz="0" w:space="0" w:color="auto"/>
                          </w:divBdr>
                          <w:divsChild>
                            <w:div w:id="944581771">
                              <w:marLeft w:val="0"/>
                              <w:marRight w:val="0"/>
                              <w:marTop w:val="0"/>
                              <w:marBottom w:val="0"/>
                              <w:divBdr>
                                <w:top w:val="none" w:sz="0" w:space="0" w:color="auto"/>
                                <w:left w:val="none" w:sz="0" w:space="0" w:color="auto"/>
                                <w:bottom w:val="none" w:sz="0" w:space="0" w:color="auto"/>
                                <w:right w:val="none" w:sz="0" w:space="0" w:color="auto"/>
                              </w:divBdr>
                              <w:divsChild>
                                <w:div w:id="2036342307">
                                  <w:marLeft w:val="0"/>
                                  <w:marRight w:val="0"/>
                                  <w:marTop w:val="0"/>
                                  <w:marBottom w:val="0"/>
                                  <w:divBdr>
                                    <w:top w:val="none" w:sz="0" w:space="0" w:color="auto"/>
                                    <w:left w:val="none" w:sz="0" w:space="0" w:color="auto"/>
                                    <w:bottom w:val="none" w:sz="0" w:space="0" w:color="auto"/>
                                    <w:right w:val="none" w:sz="0" w:space="0" w:color="auto"/>
                                  </w:divBdr>
                                  <w:divsChild>
                                    <w:div w:id="95374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7525229">
      <w:bodyDiv w:val="1"/>
      <w:marLeft w:val="0"/>
      <w:marRight w:val="0"/>
      <w:marTop w:val="0"/>
      <w:marBottom w:val="0"/>
      <w:divBdr>
        <w:top w:val="none" w:sz="0" w:space="0" w:color="auto"/>
        <w:left w:val="none" w:sz="0" w:space="0" w:color="auto"/>
        <w:bottom w:val="none" w:sz="0" w:space="0" w:color="auto"/>
        <w:right w:val="none" w:sz="0" w:space="0" w:color="auto"/>
      </w:divBdr>
    </w:div>
    <w:div w:id="1843742872">
      <w:bodyDiv w:val="1"/>
      <w:marLeft w:val="0"/>
      <w:marRight w:val="0"/>
      <w:marTop w:val="0"/>
      <w:marBottom w:val="0"/>
      <w:divBdr>
        <w:top w:val="none" w:sz="0" w:space="0" w:color="auto"/>
        <w:left w:val="none" w:sz="0" w:space="0" w:color="auto"/>
        <w:bottom w:val="none" w:sz="0" w:space="0" w:color="auto"/>
        <w:right w:val="none" w:sz="0" w:space="0" w:color="auto"/>
      </w:divBdr>
    </w:div>
    <w:div w:id="1922133604">
      <w:bodyDiv w:val="1"/>
      <w:marLeft w:val="0"/>
      <w:marRight w:val="0"/>
      <w:marTop w:val="0"/>
      <w:marBottom w:val="0"/>
      <w:divBdr>
        <w:top w:val="none" w:sz="0" w:space="0" w:color="auto"/>
        <w:left w:val="none" w:sz="0" w:space="0" w:color="auto"/>
        <w:bottom w:val="none" w:sz="0" w:space="0" w:color="auto"/>
        <w:right w:val="none" w:sz="0" w:space="0" w:color="auto"/>
      </w:divBdr>
    </w:div>
    <w:div w:id="21469716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3907</Words>
  <Characters>22271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Ruibo Sun</cp:lastModifiedBy>
  <cp:revision>2</cp:revision>
  <dcterms:created xsi:type="dcterms:W3CDTF">2025-04-21T03:41:00Z</dcterms:created>
  <dcterms:modified xsi:type="dcterms:W3CDTF">2025-04-21T03:41:00Z</dcterms:modified>
  <cp:category/>
</cp:coreProperties>
</file>