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2469B7C8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162A9E6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667017">
              <w:rPr>
                <w:rFonts w:eastAsia="Calibri"/>
                <w:color w:val="000000"/>
                <w:sz w:val="20"/>
                <w:szCs w:val="20"/>
              </w:rPr>
              <w:t>Plan de mercadeo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B13DF48" w:rsidR="00C57B0F" w:rsidRPr="00405B29" w:rsidRDefault="005B6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Plan de mercadeo</w:t>
            </w:r>
            <w:r w:rsidR="008B244F" w:rsidRPr="008B244F"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405B2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F3E3CEB" w:rsidR="00C57B0F" w:rsidRPr="00022348" w:rsidRDefault="00022348" w:rsidP="00022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22348">
              <w:rPr>
                <w:color w:val="auto"/>
                <w:sz w:val="20"/>
                <w:szCs w:val="20"/>
              </w:rPr>
              <w:t>Evaluar la comprensión y aplicación de los conceptos fundamentales del plan de mercadeo para fortalecer el análisis y la toma de decisiones estratégicas.</w:t>
            </w:r>
          </w:p>
        </w:tc>
      </w:tr>
      <w:tr w:rsidR="00C57B0F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405B29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05B2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05B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="00795A33" w:rsidRPr="00405B29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="00795A33" w:rsidRPr="00405B29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2863EFCF" w:rsidR="00C57B0F" w:rsidRPr="0032757F" w:rsidRDefault="006A32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A320C">
              <w:rPr>
                <w:color w:val="000000" w:themeColor="text1"/>
                <w:sz w:val="20"/>
                <w:szCs w:val="20"/>
              </w:rPr>
              <w:t>Los objetivos estratégicos de mercadeo deben estar alineados con la misión y visión organizacional.</w:t>
            </w:r>
          </w:p>
        </w:tc>
        <w:tc>
          <w:tcPr>
            <w:tcW w:w="2160" w:type="dxa"/>
          </w:tcPr>
          <w:p w14:paraId="7F132666" w14:textId="77777777" w:rsidR="00C57B0F" w:rsidRPr="00405B29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405B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7BCA20F7" w:rsidR="00C57B0F" w:rsidRPr="00405B29" w:rsidRDefault="006A32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7642CD47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AAAC1FE" w:rsidR="00C57B0F" w:rsidRPr="00405B29" w:rsidRDefault="00253803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</w:t>
            </w:r>
            <w:r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="00667017">
              <w:rPr>
                <w:color w:val="auto"/>
                <w:sz w:val="20"/>
                <w:szCs w:val="20"/>
                <w:lang w:val="es-CO"/>
              </w:rPr>
              <w:t>plan de mercadeo</w:t>
            </w:r>
            <w:r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C57B0F" w:rsidRPr="00405B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405B29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73EC4F8" w:rsidR="00C57B0F" w:rsidRPr="00405B29" w:rsidRDefault="00CF0A05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</w:rPr>
            </w:pPr>
            <w:r w:rsidRPr="00CF0A05">
              <w:rPr>
                <w:color w:val="000000" w:themeColor="text1"/>
                <w:sz w:val="20"/>
                <w:szCs w:val="20"/>
              </w:rPr>
              <w:t>Los objetivos operativos tienen un alcance más amplio que los corporativos.</w:t>
            </w:r>
          </w:p>
        </w:tc>
      </w:tr>
      <w:tr w:rsidR="00C57B0F" w:rsidRPr="00405B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78CCFA4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2006C463" w:rsidR="00C57B0F" w:rsidRPr="00405B29" w:rsidRDefault="00FC6D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A567B29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color w:val="auto"/>
                <w:sz w:val="20"/>
                <w:szCs w:val="20"/>
                <w:lang w:val="es-CO"/>
              </w:rPr>
              <w:t>plan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8CF73D2" w:rsidR="00C57B0F" w:rsidRPr="00405B29" w:rsidRDefault="00D35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35523">
              <w:rPr>
                <w:color w:val="000000" w:themeColor="text1"/>
                <w:sz w:val="20"/>
                <w:szCs w:val="20"/>
              </w:rPr>
              <w:t>La misión define lo que la empresa aspira a ser en el futuro.</w:t>
            </w:r>
          </w:p>
        </w:tc>
      </w:tr>
      <w:tr w:rsidR="00C57B0F" w:rsidRPr="00405B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232F1992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60F4C250" w:rsidR="00C57B0F" w:rsidRPr="00405B29" w:rsidRDefault="00D355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8519DD8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color w:val="auto"/>
                <w:sz w:val="20"/>
                <w:szCs w:val="20"/>
                <w:lang w:val="es-CO"/>
              </w:rPr>
              <w:t>plan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2A78ADB" w:rsidR="00C57B0F" w:rsidRPr="00405B29" w:rsidRDefault="001D37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0"/>
                <w:szCs w:val="20"/>
              </w:rPr>
            </w:pPr>
            <w:r w:rsidRPr="001D376C">
              <w:rPr>
                <w:color w:val="000000" w:themeColor="text1"/>
                <w:sz w:val="20"/>
                <w:szCs w:val="20"/>
              </w:rPr>
              <w:t>El análisis FODA permite identificar factores internos y externos que afectan la estrategia.</w:t>
            </w:r>
          </w:p>
        </w:tc>
      </w:tr>
      <w:tr w:rsidR="00C57B0F" w:rsidRPr="00405B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1C99E4DA" w:rsidR="00C57B0F" w:rsidRPr="00405B29" w:rsidRDefault="001D376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6ED3152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63EE827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color w:val="auto"/>
                <w:sz w:val="20"/>
                <w:szCs w:val="20"/>
                <w:lang w:val="es-CO"/>
              </w:rPr>
              <w:t>plan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C263818" w:rsidR="00C57B0F" w:rsidRPr="00405B29" w:rsidRDefault="002D659B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D659B">
              <w:rPr>
                <w:color w:val="000000" w:themeColor="text1"/>
                <w:sz w:val="20"/>
                <w:szCs w:val="20"/>
              </w:rPr>
              <w:t>La matriz de Eisenhower clasifica tareas según su impacto financiero.</w:t>
            </w:r>
          </w:p>
        </w:tc>
      </w:tr>
      <w:tr w:rsidR="00C57B0F" w:rsidRPr="00405B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79951E18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68B072DB" w:rsidR="00C57B0F" w:rsidRPr="00405B29" w:rsidRDefault="002D659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3EDBE92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color w:val="auto"/>
                <w:sz w:val="20"/>
                <w:szCs w:val="20"/>
                <w:lang w:val="es-CO"/>
              </w:rPr>
              <w:t>plan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="00EA1809" w:rsidRPr="00405B29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96DC136" w:rsidR="00C57B0F" w:rsidRPr="0032757F" w:rsidRDefault="006E6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E6920">
              <w:rPr>
                <w:color w:val="000000" w:themeColor="text1"/>
                <w:sz w:val="20"/>
                <w:szCs w:val="20"/>
              </w:rPr>
              <w:t>El modelo Canvas facilita la visualización del modelo de negocio en bloques.</w:t>
            </w:r>
          </w:p>
        </w:tc>
      </w:tr>
      <w:tr w:rsidR="00C57B0F" w:rsidRPr="00405B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405B2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1BA149A0" w:rsidR="00C57B0F" w:rsidRPr="00405B29" w:rsidRDefault="006E69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405B2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159240D7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789D541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color w:val="auto"/>
                <w:sz w:val="20"/>
                <w:szCs w:val="20"/>
                <w:lang w:val="es-CO"/>
              </w:rPr>
              <w:t>plan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A16DE2E" w:rsidR="00075BDE" w:rsidRPr="00405B29" w:rsidRDefault="00DA5769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DA5769">
              <w:rPr>
                <w:color w:val="000000" w:themeColor="text1"/>
                <w:sz w:val="20"/>
                <w:szCs w:val="20"/>
              </w:rPr>
              <w:t>El análisis PESTEL se enfoca exclusivamente en factores internos de la organización.</w:t>
            </w:r>
          </w:p>
        </w:tc>
      </w:tr>
      <w:tr w:rsidR="00075BDE" w:rsidRPr="00405B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B1ADF02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0EA401F" w:rsidR="00075BDE" w:rsidRPr="00405B29" w:rsidRDefault="00FC6DC6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1C99343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color w:val="auto"/>
                <w:sz w:val="20"/>
                <w:szCs w:val="20"/>
                <w:lang w:val="es-CO"/>
              </w:rPr>
              <w:t>plan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EF18303" w:rsidR="00075BDE" w:rsidRPr="0032757F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F8404CB" w:rsidR="00075BDE" w:rsidRPr="00DE13B7" w:rsidRDefault="00F52603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F52603">
              <w:rPr>
                <w:color w:val="000000" w:themeColor="text1"/>
                <w:sz w:val="20"/>
                <w:szCs w:val="20"/>
              </w:rPr>
              <w:t>Los recursos humanos, financieros y tecnológicos deben ser considerados en la programación de actividades.</w:t>
            </w:r>
          </w:p>
        </w:tc>
      </w:tr>
      <w:tr w:rsidR="00075BDE" w:rsidRPr="00405B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52F4DFFA" w:rsidR="00075BDE" w:rsidRPr="00405B29" w:rsidRDefault="00FC6DC6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17415FCD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6DE07E5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color w:val="auto"/>
                <w:sz w:val="20"/>
                <w:szCs w:val="20"/>
                <w:lang w:val="es-CO"/>
              </w:rPr>
              <w:t>plan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9EA3BFB" w:rsidR="00075BDE" w:rsidRPr="00DE13B7" w:rsidRDefault="00DE13B7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DE13B7">
              <w:rPr>
                <w:color w:val="000000" w:themeColor="text1"/>
                <w:sz w:val="20"/>
                <w:szCs w:val="20"/>
              </w:rPr>
              <w:t>El diagrama de Gantt permite visualizar la duración y secuencia de tareas.</w:t>
            </w:r>
          </w:p>
        </w:tc>
      </w:tr>
      <w:tr w:rsidR="00075BDE" w:rsidRPr="00405B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0C7EF361" w:rsidR="00075BDE" w:rsidRPr="00405B29" w:rsidRDefault="00DE13B7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7D4B7F24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4C63A6E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color w:val="auto"/>
                <w:sz w:val="20"/>
                <w:szCs w:val="20"/>
                <w:lang w:val="es-CO"/>
              </w:rPr>
              <w:t>plan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121AC80" w:rsidR="00075BDE" w:rsidRPr="00DA6424" w:rsidRDefault="00DA6424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A6424">
              <w:rPr>
                <w:color w:val="000000" w:themeColor="text1"/>
                <w:sz w:val="20"/>
                <w:szCs w:val="20"/>
              </w:rPr>
              <w:t>La lógica de secuenciación busca ejecutar todas las actividades al mismo tiempo.</w:t>
            </w:r>
          </w:p>
        </w:tc>
      </w:tr>
      <w:tr w:rsidR="00075BDE" w:rsidRPr="00405B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4F2DF34C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30DB7B15" w:rsidR="00075BDE" w:rsidRPr="00405B29" w:rsidRDefault="00DA6424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32757F" w:rsidRDefault="00A9514B" w:rsidP="00A9514B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F2EA666" w:rsidR="00A9514B" w:rsidRPr="0032757F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color w:val="auto"/>
                <w:sz w:val="20"/>
                <w:szCs w:val="20"/>
                <w:lang w:val="es-CO"/>
              </w:rPr>
              <w:t>plan de mercadeo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05B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05E5DB4" w:rsidR="009921BA" w:rsidRPr="00405B29" w:rsidRDefault="00E63280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7213A">
              <w:rPr>
                <w:sz w:val="20"/>
                <w:szCs w:val="20"/>
              </w:rPr>
              <w:t>La eficiencia se refiere a lograr los objetivos sin importar el uso de recursos.</w:t>
            </w:r>
          </w:p>
        </w:tc>
      </w:tr>
      <w:tr w:rsidR="009921BA" w:rsidRPr="00405B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492DBFD7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701B5AC5" w:rsidR="009921BA" w:rsidRPr="00405B29" w:rsidRDefault="000F12F7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BE621B9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sz w:val="20"/>
                <w:szCs w:val="20"/>
                <w:lang w:val="es-CO"/>
              </w:rPr>
              <w:t>plan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5B95C65" w:rsidR="009921BA" w:rsidRPr="00405B29" w:rsidRDefault="007B318F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7213A">
              <w:rPr>
                <w:sz w:val="20"/>
                <w:szCs w:val="20"/>
              </w:rPr>
              <w:t>La eficacia implica alcanzar los resultados esperados con calidad.</w:t>
            </w:r>
          </w:p>
        </w:tc>
      </w:tr>
      <w:tr w:rsidR="009921BA" w:rsidRPr="00405B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3E2F8F9" w:rsidR="009921BA" w:rsidRPr="00405B29" w:rsidRDefault="0033416F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557500D0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6E2651F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sz w:val="20"/>
                <w:szCs w:val="20"/>
                <w:lang w:val="es-CO"/>
              </w:rPr>
              <w:t>plan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764E03A" w:rsidR="009921BA" w:rsidRPr="00405B29" w:rsidRDefault="007D7BAA" w:rsidP="00D85D4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7213A">
              <w:rPr>
                <w:sz w:val="20"/>
                <w:szCs w:val="20"/>
              </w:rPr>
              <w:t xml:space="preserve">El análisis costo-beneficio permite justificar decisiones estratégicas en </w:t>
            </w:r>
            <w:r w:rsidRPr="00022348">
              <w:rPr>
                <w:i/>
                <w:iCs/>
                <w:sz w:val="20"/>
                <w:szCs w:val="20"/>
              </w:rPr>
              <w:t>marketing.</w:t>
            </w:r>
          </w:p>
        </w:tc>
      </w:tr>
      <w:tr w:rsidR="009921BA" w:rsidRPr="00405B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414EDEAE" w:rsidR="009921BA" w:rsidRPr="00405B29" w:rsidRDefault="007D7BA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9C19C1F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4E7F587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sz w:val="20"/>
                <w:szCs w:val="20"/>
                <w:lang w:val="es-CO"/>
              </w:rPr>
              <w:t>plan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E4AC39D" w:rsidR="009921BA" w:rsidRPr="00405B29" w:rsidRDefault="00F926C5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7213A">
              <w:rPr>
                <w:sz w:val="20"/>
                <w:szCs w:val="20"/>
              </w:rPr>
              <w:t>Las técnicas de priorización ayudan a enfocar esfuerzos en acciones de mayor impacto.</w:t>
            </w:r>
          </w:p>
        </w:tc>
      </w:tr>
      <w:tr w:rsidR="009921BA" w:rsidRPr="00405B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9A03DE9" w:rsidR="009921BA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13740098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97533DD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sz w:val="20"/>
                <w:szCs w:val="20"/>
                <w:lang w:val="es-CO"/>
              </w:rPr>
              <w:t>plan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A8339FC" w:rsidR="009921BA" w:rsidRPr="00405B29" w:rsidRDefault="00CC15AB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7213A">
              <w:rPr>
                <w:sz w:val="20"/>
                <w:szCs w:val="20"/>
              </w:rPr>
              <w:t xml:space="preserve">Los KPIs son indicadores clave que permiten medir el desempeño de las acciones de </w:t>
            </w:r>
            <w:r w:rsidRPr="00022348">
              <w:rPr>
                <w:i/>
                <w:iCs/>
                <w:sz w:val="20"/>
                <w:szCs w:val="20"/>
              </w:rPr>
              <w:t>marketing</w:t>
            </w:r>
            <w:r w:rsidRPr="0057213A">
              <w:rPr>
                <w:sz w:val="20"/>
                <w:szCs w:val="20"/>
              </w:rPr>
              <w:t>.</w:t>
            </w:r>
          </w:p>
        </w:tc>
      </w:tr>
      <w:tr w:rsidR="009921BA" w:rsidRPr="00405B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5639048D" w:rsidR="009921BA" w:rsidRPr="00405B29" w:rsidRDefault="00CC15AB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64707833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AC2C884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sz w:val="20"/>
                <w:szCs w:val="20"/>
                <w:lang w:val="es-CO"/>
              </w:rPr>
              <w:t>plan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3127E81" w:rsidR="003605E9" w:rsidRPr="00405B29" w:rsidRDefault="00720F0B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7213A">
              <w:rPr>
                <w:sz w:val="20"/>
                <w:szCs w:val="20"/>
              </w:rPr>
              <w:t>La mejora continua se basa en ajustes puntuales sin necesidad de seguimiento.</w:t>
            </w:r>
          </w:p>
        </w:tc>
      </w:tr>
      <w:tr w:rsidR="003605E9" w:rsidRPr="00405B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11EFD788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392C411E" w:rsidR="003605E9" w:rsidRPr="00405B29" w:rsidRDefault="00720F0B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8CA482B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sz w:val="20"/>
                <w:szCs w:val="20"/>
                <w:lang w:val="es-CO"/>
              </w:rPr>
              <w:t>plan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05F4605" w:rsidR="003605E9" w:rsidRPr="00405B29" w:rsidRDefault="00BA1EAE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7213A">
              <w:rPr>
                <w:sz w:val="20"/>
                <w:szCs w:val="20"/>
              </w:rPr>
              <w:t>El ciclo PHVA es una herramienta útil para implementar mejora continua.</w:t>
            </w:r>
          </w:p>
        </w:tc>
      </w:tr>
      <w:tr w:rsidR="003605E9" w:rsidRPr="00405B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664A28D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1DBCDE9E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88DDBA" w:rsidR="003605E9" w:rsidRPr="00405B29" w:rsidRDefault="00CE2C5A" w:rsidP="00C357B8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sz w:val="20"/>
                <w:szCs w:val="20"/>
                <w:lang w:val="es-CO"/>
              </w:rPr>
              <w:t>plan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F9202C4" w:rsidR="003605E9" w:rsidRPr="00405B29" w:rsidRDefault="008E4EB8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7213A">
              <w:rPr>
                <w:sz w:val="20"/>
                <w:szCs w:val="20"/>
              </w:rPr>
              <w:t>Las encuestas permiten recoger información directa sobre la percepción del cliente.</w:t>
            </w:r>
          </w:p>
        </w:tc>
      </w:tr>
      <w:tr w:rsidR="003605E9" w:rsidRPr="00405B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13736E20" w:rsidR="003605E9" w:rsidRPr="00405B29" w:rsidRDefault="00B159F7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30FF00F8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4FC47D0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sz w:val="20"/>
                <w:szCs w:val="20"/>
                <w:lang w:val="es-CO"/>
              </w:rPr>
              <w:t>plan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C08BD78" w:rsidR="003605E9" w:rsidRPr="00405B29" w:rsidRDefault="0082793B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7213A">
              <w:rPr>
                <w:sz w:val="20"/>
                <w:szCs w:val="20"/>
              </w:rPr>
              <w:t>Las listas de chequeo no aportan valor en la evaluación de actividades.</w:t>
            </w:r>
          </w:p>
        </w:tc>
      </w:tr>
      <w:tr w:rsidR="003605E9" w:rsidRPr="00405B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20A32345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1FF9A85E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X </w:t>
            </w:r>
          </w:p>
        </w:tc>
      </w:tr>
      <w:tr w:rsidR="003605E9" w:rsidRPr="00405B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C054FBA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sz w:val="20"/>
                <w:szCs w:val="20"/>
                <w:lang w:val="es-CO"/>
              </w:rPr>
              <w:t>plan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A92754E" w:rsidR="003605E9" w:rsidRPr="004F763E" w:rsidRDefault="007A3586" w:rsidP="00DC691D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4F763E">
              <w:rPr>
                <w:sz w:val="20"/>
                <w:szCs w:val="20"/>
              </w:rPr>
              <w:t>Los indicadores en un sistema de evaluación sirven únicamente para describir procesos, no para medir resultados.</w:t>
            </w:r>
          </w:p>
        </w:tc>
      </w:tr>
      <w:tr w:rsidR="003605E9" w:rsidRPr="00405B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693A1F64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75D32873" w:rsidR="003605E9" w:rsidRPr="00405B29" w:rsidRDefault="004F763E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FCAB61A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667017">
              <w:rPr>
                <w:sz w:val="20"/>
                <w:szCs w:val="20"/>
                <w:lang w:val="es-CO"/>
              </w:rPr>
              <w:t>plan de mercadeo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05B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2908C3" w:rsidR="00A9514B" w:rsidRPr="00405B29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  <w:r w:rsidR="00022348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  <w:bookmarkStart w:id="0" w:name="_GoBack"/>
            <w:bookmarkEnd w:id="0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57BEC4B" w:rsidR="00A9514B" w:rsidRPr="00405B29" w:rsidRDefault="00D02DC4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Agosto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2025.</w:t>
            </w: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1A95B86" w:rsidR="00C0495F" w:rsidRPr="00405B29" w:rsidRDefault="0002234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Heydy Cristina González García.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AF9F142" w:rsidR="00C0495F" w:rsidRPr="00405B29" w:rsidRDefault="0002234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Noviembre de 2025.</w:t>
            </w: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282F4E" w14:textId="77777777" w:rsidR="00CD3F13" w:rsidRDefault="00CD3F13">
      <w:pPr>
        <w:spacing w:line="240" w:lineRule="auto"/>
      </w:pPr>
      <w:r>
        <w:separator/>
      </w:r>
    </w:p>
  </w:endnote>
  <w:endnote w:type="continuationSeparator" w:id="0">
    <w:p w14:paraId="31FA3241" w14:textId="77777777" w:rsidR="00CD3F13" w:rsidRDefault="00CD3F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1A08C" w14:textId="77777777" w:rsidR="00CD3F13" w:rsidRDefault="00CD3F13">
      <w:pPr>
        <w:spacing w:line="240" w:lineRule="auto"/>
      </w:pPr>
      <w:r>
        <w:separator/>
      </w:r>
    </w:p>
  </w:footnote>
  <w:footnote w:type="continuationSeparator" w:id="0">
    <w:p w14:paraId="7FD70D7F" w14:textId="77777777" w:rsidR="00CD3F13" w:rsidRDefault="00CD3F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2348"/>
    <w:rsid w:val="0002748F"/>
    <w:rsid w:val="00050BA9"/>
    <w:rsid w:val="0005478D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12F7"/>
    <w:rsid w:val="000F39CD"/>
    <w:rsid w:val="00113B83"/>
    <w:rsid w:val="001268B9"/>
    <w:rsid w:val="0013183F"/>
    <w:rsid w:val="00132124"/>
    <w:rsid w:val="001326D6"/>
    <w:rsid w:val="00134D14"/>
    <w:rsid w:val="00135091"/>
    <w:rsid w:val="001770E3"/>
    <w:rsid w:val="0018141D"/>
    <w:rsid w:val="001923BE"/>
    <w:rsid w:val="001A62A0"/>
    <w:rsid w:val="001A6BDA"/>
    <w:rsid w:val="001B0219"/>
    <w:rsid w:val="001B5CD5"/>
    <w:rsid w:val="001C2159"/>
    <w:rsid w:val="001D347A"/>
    <w:rsid w:val="001D376C"/>
    <w:rsid w:val="001D3F94"/>
    <w:rsid w:val="001D65D0"/>
    <w:rsid w:val="001E26E6"/>
    <w:rsid w:val="001E50CC"/>
    <w:rsid w:val="001F008B"/>
    <w:rsid w:val="001F0B68"/>
    <w:rsid w:val="00215539"/>
    <w:rsid w:val="00225AC9"/>
    <w:rsid w:val="00230CDA"/>
    <w:rsid w:val="00243D0B"/>
    <w:rsid w:val="00253803"/>
    <w:rsid w:val="002541D2"/>
    <w:rsid w:val="00257389"/>
    <w:rsid w:val="00273E38"/>
    <w:rsid w:val="00276BA7"/>
    <w:rsid w:val="00280E46"/>
    <w:rsid w:val="00281B17"/>
    <w:rsid w:val="00295CF6"/>
    <w:rsid w:val="002976FE"/>
    <w:rsid w:val="002B458C"/>
    <w:rsid w:val="002D2A46"/>
    <w:rsid w:val="002D2F66"/>
    <w:rsid w:val="002D3052"/>
    <w:rsid w:val="002D659B"/>
    <w:rsid w:val="002E196F"/>
    <w:rsid w:val="002E1EFD"/>
    <w:rsid w:val="002E46FB"/>
    <w:rsid w:val="002F0D8C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A0EAD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69DE"/>
    <w:rsid w:val="004C6A8B"/>
    <w:rsid w:val="004D5FC9"/>
    <w:rsid w:val="004E2452"/>
    <w:rsid w:val="004E274A"/>
    <w:rsid w:val="004E2A10"/>
    <w:rsid w:val="004E5DC0"/>
    <w:rsid w:val="004F763E"/>
    <w:rsid w:val="00504F66"/>
    <w:rsid w:val="0051353F"/>
    <w:rsid w:val="005209ED"/>
    <w:rsid w:val="005333B0"/>
    <w:rsid w:val="0053355A"/>
    <w:rsid w:val="0054653C"/>
    <w:rsid w:val="00554FE0"/>
    <w:rsid w:val="005675AA"/>
    <w:rsid w:val="005A64A2"/>
    <w:rsid w:val="005A6D91"/>
    <w:rsid w:val="005B6731"/>
    <w:rsid w:val="005B7EB4"/>
    <w:rsid w:val="005C0A63"/>
    <w:rsid w:val="005D6C01"/>
    <w:rsid w:val="005E0100"/>
    <w:rsid w:val="005F0C6D"/>
    <w:rsid w:val="006006C0"/>
    <w:rsid w:val="00620846"/>
    <w:rsid w:val="00621E22"/>
    <w:rsid w:val="006277E6"/>
    <w:rsid w:val="00645F37"/>
    <w:rsid w:val="0065351A"/>
    <w:rsid w:val="00654A50"/>
    <w:rsid w:val="00661334"/>
    <w:rsid w:val="00663F17"/>
    <w:rsid w:val="00667017"/>
    <w:rsid w:val="00667357"/>
    <w:rsid w:val="00671B2D"/>
    <w:rsid w:val="00677B75"/>
    <w:rsid w:val="00677F8E"/>
    <w:rsid w:val="00684E23"/>
    <w:rsid w:val="0069233F"/>
    <w:rsid w:val="00695A8D"/>
    <w:rsid w:val="006A320C"/>
    <w:rsid w:val="006B4B2B"/>
    <w:rsid w:val="006C411F"/>
    <w:rsid w:val="006C52FA"/>
    <w:rsid w:val="006E3F79"/>
    <w:rsid w:val="006E6920"/>
    <w:rsid w:val="006E6F26"/>
    <w:rsid w:val="006F219D"/>
    <w:rsid w:val="00720F0B"/>
    <w:rsid w:val="00725E57"/>
    <w:rsid w:val="00734951"/>
    <w:rsid w:val="00736566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3586"/>
    <w:rsid w:val="007A3F82"/>
    <w:rsid w:val="007B318F"/>
    <w:rsid w:val="007C317A"/>
    <w:rsid w:val="007C3681"/>
    <w:rsid w:val="007C64AC"/>
    <w:rsid w:val="007D5715"/>
    <w:rsid w:val="007D7BAA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2793B"/>
    <w:rsid w:val="00835EA4"/>
    <w:rsid w:val="00836FBD"/>
    <w:rsid w:val="0084724A"/>
    <w:rsid w:val="00852539"/>
    <w:rsid w:val="0085630E"/>
    <w:rsid w:val="00857BC7"/>
    <w:rsid w:val="00862211"/>
    <w:rsid w:val="00863C63"/>
    <w:rsid w:val="00890012"/>
    <w:rsid w:val="00890A75"/>
    <w:rsid w:val="008A2184"/>
    <w:rsid w:val="008B244F"/>
    <w:rsid w:val="008D3097"/>
    <w:rsid w:val="008E1685"/>
    <w:rsid w:val="008E4EB8"/>
    <w:rsid w:val="008E6807"/>
    <w:rsid w:val="008F3C20"/>
    <w:rsid w:val="008F63E6"/>
    <w:rsid w:val="008F7BC0"/>
    <w:rsid w:val="00902CCE"/>
    <w:rsid w:val="00906963"/>
    <w:rsid w:val="00907059"/>
    <w:rsid w:val="00911A44"/>
    <w:rsid w:val="00911E83"/>
    <w:rsid w:val="00913D70"/>
    <w:rsid w:val="00917B02"/>
    <w:rsid w:val="0092246B"/>
    <w:rsid w:val="00926600"/>
    <w:rsid w:val="00930143"/>
    <w:rsid w:val="009559AE"/>
    <w:rsid w:val="00955AC0"/>
    <w:rsid w:val="009601BD"/>
    <w:rsid w:val="0096492E"/>
    <w:rsid w:val="00980D38"/>
    <w:rsid w:val="00982B0D"/>
    <w:rsid w:val="00983D36"/>
    <w:rsid w:val="009873E8"/>
    <w:rsid w:val="009921BA"/>
    <w:rsid w:val="00996CB7"/>
    <w:rsid w:val="009A36D1"/>
    <w:rsid w:val="009B224D"/>
    <w:rsid w:val="009B71EF"/>
    <w:rsid w:val="009C2A48"/>
    <w:rsid w:val="009D1BF1"/>
    <w:rsid w:val="009D2EFA"/>
    <w:rsid w:val="009D37F0"/>
    <w:rsid w:val="009E1CC4"/>
    <w:rsid w:val="00A1442E"/>
    <w:rsid w:val="00A2096B"/>
    <w:rsid w:val="00A32924"/>
    <w:rsid w:val="00A50801"/>
    <w:rsid w:val="00A648A4"/>
    <w:rsid w:val="00A921C1"/>
    <w:rsid w:val="00A933CC"/>
    <w:rsid w:val="00A9514B"/>
    <w:rsid w:val="00A96BAF"/>
    <w:rsid w:val="00AB15FE"/>
    <w:rsid w:val="00AB6A94"/>
    <w:rsid w:val="00AD2A9D"/>
    <w:rsid w:val="00AD367E"/>
    <w:rsid w:val="00AE63B9"/>
    <w:rsid w:val="00AE72D3"/>
    <w:rsid w:val="00AF1403"/>
    <w:rsid w:val="00B00A40"/>
    <w:rsid w:val="00B02B81"/>
    <w:rsid w:val="00B03C6E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63D1C"/>
    <w:rsid w:val="00B668FD"/>
    <w:rsid w:val="00B71433"/>
    <w:rsid w:val="00B71C0D"/>
    <w:rsid w:val="00B73479"/>
    <w:rsid w:val="00B80A95"/>
    <w:rsid w:val="00BA1EAE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87E"/>
    <w:rsid w:val="00C33AF7"/>
    <w:rsid w:val="00C357B8"/>
    <w:rsid w:val="00C3691B"/>
    <w:rsid w:val="00C44D5A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15AB"/>
    <w:rsid w:val="00CC47A7"/>
    <w:rsid w:val="00CD363A"/>
    <w:rsid w:val="00CD3981"/>
    <w:rsid w:val="00CD3F13"/>
    <w:rsid w:val="00CD4B4F"/>
    <w:rsid w:val="00CE2C5A"/>
    <w:rsid w:val="00CF0A05"/>
    <w:rsid w:val="00CF1764"/>
    <w:rsid w:val="00CF2769"/>
    <w:rsid w:val="00CF6CED"/>
    <w:rsid w:val="00D02DC4"/>
    <w:rsid w:val="00D05C0A"/>
    <w:rsid w:val="00D11FC5"/>
    <w:rsid w:val="00D154B7"/>
    <w:rsid w:val="00D16CEB"/>
    <w:rsid w:val="00D200BD"/>
    <w:rsid w:val="00D22B18"/>
    <w:rsid w:val="00D35523"/>
    <w:rsid w:val="00D35729"/>
    <w:rsid w:val="00D401A5"/>
    <w:rsid w:val="00D55C5F"/>
    <w:rsid w:val="00D56DBD"/>
    <w:rsid w:val="00D61E16"/>
    <w:rsid w:val="00D664AB"/>
    <w:rsid w:val="00D66BA8"/>
    <w:rsid w:val="00D83064"/>
    <w:rsid w:val="00D85D40"/>
    <w:rsid w:val="00D900D8"/>
    <w:rsid w:val="00D96770"/>
    <w:rsid w:val="00DA1A83"/>
    <w:rsid w:val="00DA5769"/>
    <w:rsid w:val="00DA6424"/>
    <w:rsid w:val="00DC25CA"/>
    <w:rsid w:val="00DD40A6"/>
    <w:rsid w:val="00DE13B7"/>
    <w:rsid w:val="00E07202"/>
    <w:rsid w:val="00E23F58"/>
    <w:rsid w:val="00E249C9"/>
    <w:rsid w:val="00E456DE"/>
    <w:rsid w:val="00E571B0"/>
    <w:rsid w:val="00E61C2A"/>
    <w:rsid w:val="00E63280"/>
    <w:rsid w:val="00E7745E"/>
    <w:rsid w:val="00E8117C"/>
    <w:rsid w:val="00E81433"/>
    <w:rsid w:val="00E9760E"/>
    <w:rsid w:val="00EA1809"/>
    <w:rsid w:val="00EA4249"/>
    <w:rsid w:val="00EA4920"/>
    <w:rsid w:val="00EC494A"/>
    <w:rsid w:val="00EC68D1"/>
    <w:rsid w:val="00ED2703"/>
    <w:rsid w:val="00ED3B41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52603"/>
    <w:rsid w:val="00F52AA1"/>
    <w:rsid w:val="00F561F4"/>
    <w:rsid w:val="00F634DE"/>
    <w:rsid w:val="00F63FA4"/>
    <w:rsid w:val="00F66A86"/>
    <w:rsid w:val="00F926C5"/>
    <w:rsid w:val="00FB32C0"/>
    <w:rsid w:val="00FB38C9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d4a546b22d2924edabf51241cf3422b8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e29002b2d9ca820e89c57fc59ec70c79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962F0A-749D-405C-A989-2E5FCABDF14A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1442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Heydy Cristina Gonzalez Garcia</cp:lastModifiedBy>
  <cp:revision>32</cp:revision>
  <dcterms:created xsi:type="dcterms:W3CDTF">2025-07-31T15:50:00Z</dcterms:created>
  <dcterms:modified xsi:type="dcterms:W3CDTF">2025-11-18T00:51:00Z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  <property fmtid="{D5CDD505-2E9C-101B-9397-08002B2CF9AE}" pid="12" name="Order">
    <vt:r8>66260100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