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456F6" w14:textId="7E00FE45" w:rsidR="00FC0813" w:rsidRDefault="00FC0813" w:rsidP="00FC0813">
      <w:pPr>
        <w:jc w:val="center"/>
        <w:rPr>
          <w:rFonts w:ascii="Arial" w:hAnsi="Arial" w:cs="Arial"/>
          <w:b/>
          <w:bCs/>
          <w:sz w:val="20"/>
          <w:szCs w:val="20"/>
        </w:rPr>
      </w:pPr>
      <w:r w:rsidRPr="00FC0813">
        <w:rPr>
          <w:rFonts w:ascii="Arial" w:hAnsi="Arial" w:cs="Arial"/>
          <w:b/>
          <w:bCs/>
          <w:sz w:val="20"/>
          <w:szCs w:val="20"/>
        </w:rPr>
        <w:t>Transporte y distribución en la cadena de suministro</w:t>
      </w:r>
    </w:p>
    <w:p w14:paraId="1DD10DBA" w14:textId="59301589" w:rsidR="00FC0813" w:rsidRPr="00FC0813" w:rsidRDefault="00FC0813" w:rsidP="00FC0813">
      <w:pPr>
        <w:rPr>
          <w:rFonts w:ascii="Arial" w:eastAsia="Arial" w:hAnsi="Arial" w:cs="Arial"/>
          <w:sz w:val="20"/>
          <w:szCs w:val="20"/>
        </w:rPr>
      </w:pPr>
      <w:r w:rsidRPr="00FC0813">
        <w:rPr>
          <w:rFonts w:ascii="Arial" w:eastAsia="Arial" w:hAnsi="Arial" w:cs="Arial"/>
          <w:sz w:val="20"/>
          <w:szCs w:val="20"/>
        </w:rPr>
        <w:t>En el contexto de la gestión logística, la cadena de suministro se entiende como el conjunto de procesos, actores, recursos y actividades que intervienen en el flujo de bienes, servicios e información desde el proveedor hasta el cliente final. Dentro de esta estructura, el transporte y la distribución ocupan un lugar estratégico, ya que permiten conectar los distintos eslabones de la operación y asegurar que los productos lleguen al lugar indicado, en el momento oportuno y bajo las condiciones requeridas. Por esta razón, no pueden asumirse únicamente como actividades de movilización física, sino como procesos determinantes para la eficiencia, la competitividad y la sostenibilidad de la organización.</w:t>
      </w:r>
    </w:p>
    <w:p w14:paraId="78085A81" w14:textId="77777777" w:rsidR="00FC0813" w:rsidRPr="00FC0813" w:rsidRDefault="00FC0813" w:rsidP="00FC0813">
      <w:pPr>
        <w:rPr>
          <w:rFonts w:ascii="Arial" w:eastAsia="Arial" w:hAnsi="Arial" w:cs="Arial"/>
          <w:sz w:val="20"/>
          <w:szCs w:val="20"/>
        </w:rPr>
      </w:pPr>
      <w:r w:rsidRPr="00FC0813">
        <w:rPr>
          <w:rFonts w:ascii="Arial" w:eastAsia="Arial" w:hAnsi="Arial" w:cs="Arial"/>
          <w:sz w:val="20"/>
          <w:szCs w:val="20"/>
        </w:rPr>
        <w:t>El transporte constituye uno de los componentes más visibles y relevantes de la logística, debido a que hace posible el desplazamiento de materias primas, insumos, productos en proceso y mercancías terminadas entre los nodos de la cadena de suministro. Su adecuada gestión incide directamente en la continuidad del abastecimiento, el cumplimiento de los tiempos de entrega, la reducción de costos y la capacidad de respuesta frente a la demanda. En este sentido, seleccionar correctamente el medio y el modo de transporte requiere analizar variables como la distancia, la urgencia del pedido, el volumen de la carga, la naturaleza del producto, la infraestructura disponible y las condiciones económicas del servicio. Una decisión de transporte mal estructurada puede generar retrasos, pérdidas, sobrecostos y fallas en la promesa de servicio al cliente.</w:t>
      </w:r>
    </w:p>
    <w:p w14:paraId="73850112" w14:textId="77777777" w:rsidR="00FC0813" w:rsidRPr="00FC0813" w:rsidRDefault="00FC0813" w:rsidP="00FC0813">
      <w:pPr>
        <w:rPr>
          <w:rFonts w:ascii="Arial" w:eastAsia="Arial" w:hAnsi="Arial" w:cs="Arial"/>
          <w:sz w:val="20"/>
          <w:szCs w:val="20"/>
        </w:rPr>
      </w:pPr>
      <w:r w:rsidRPr="00FC0813">
        <w:rPr>
          <w:rFonts w:ascii="Arial" w:eastAsia="Arial" w:hAnsi="Arial" w:cs="Arial"/>
          <w:sz w:val="20"/>
          <w:szCs w:val="20"/>
        </w:rPr>
        <w:t>Por su parte, la distribución corresponde al proceso logístico mediante el cual los productos son dirigidos desde los centros de almacenamiento o producción hasta los puntos de venta, intermediarios o consumidores finales. Su finalidad es garantizar la disponibilidad del producto en el mercado, asegurando que la entrega se realice con oportunidad, exactitud y calidad. Desde esta perspectiva, la distribución no solo cumple una función operativa, sino también comercial, ya que influye en la experiencia del cliente, en la percepción del servicio y en la capacidad de la empresa para sostener relaciones de valor con el mercado. Una distribución eficiente fortalece la presencia del producto, mejora la cobertura, reduce tiempos de respuesta y contribuye a la fidelización del cliente.</w:t>
      </w:r>
    </w:p>
    <w:p w14:paraId="5086F345" w14:textId="77777777" w:rsidR="00FC0813" w:rsidRPr="00FC0813" w:rsidRDefault="00FC0813" w:rsidP="00FC0813">
      <w:pPr>
        <w:rPr>
          <w:rFonts w:ascii="Arial" w:eastAsia="Arial" w:hAnsi="Arial" w:cs="Arial"/>
          <w:sz w:val="20"/>
          <w:szCs w:val="20"/>
        </w:rPr>
      </w:pPr>
      <w:r w:rsidRPr="00FC0813">
        <w:rPr>
          <w:rFonts w:ascii="Arial" w:eastAsia="Arial" w:hAnsi="Arial" w:cs="Arial"/>
          <w:sz w:val="20"/>
          <w:szCs w:val="20"/>
        </w:rPr>
        <w:t>La articulación entre transporte y distribución es fundamental para el funcionamiento de la cadena de suministro. Ambos procesos se complementan y dependen mutuamente, pues mientras el transporte moviliza físicamente la mercancía, la distribución organiza su llegada al destino de acuerdo con la red logística, la demanda y la estrategia comercial de la empresa. Esta integración exige planeación, coordinación, trazabilidad y control permanente, especialmente en escenarios donde el cliente demanda rapidez, precisión y disponibilidad continua. En este punto, herramientas como la planeación de requerimientos de distribución (DRP) permiten sincronizar inventarios, despachos, reposiciones y rutas de entrega, optimizando el uso de recursos y mejorando la capacidad de respuesta de la organización.</w:t>
      </w:r>
    </w:p>
    <w:p w14:paraId="642F6EEA" w14:textId="77777777" w:rsidR="00FC0813" w:rsidRPr="00FC0813" w:rsidRDefault="00FC0813" w:rsidP="00FC0813">
      <w:pPr>
        <w:rPr>
          <w:rFonts w:ascii="Arial" w:eastAsia="Arial" w:hAnsi="Arial" w:cs="Arial"/>
          <w:sz w:val="20"/>
          <w:szCs w:val="20"/>
        </w:rPr>
      </w:pPr>
      <w:r w:rsidRPr="00FC0813">
        <w:rPr>
          <w:rFonts w:ascii="Arial" w:eastAsia="Arial" w:hAnsi="Arial" w:cs="Arial"/>
          <w:sz w:val="20"/>
          <w:szCs w:val="20"/>
        </w:rPr>
        <w:t>Además, el transporte y la distribución tienen un impacto directo sobre los costos logísticos. Gastos asociados al combustible, peajes, mantenimiento de vehículos, contratación de operadores, embalaje, manipulación, almacenamiento temporal y devoluciones hacen parte de la estructura de costos que debe ser controlada por la organización. Por ello, una gestión eficiente de estos procesos no se limita al cumplimiento de entregas, sino que también implica tomar decisiones orientadas a optimizar recorridos, consolidar carga, seleccionar rutas, reducir tiempos muertos y mejorar el aprovechamiento de la capacidad instalada. En otras palabras, el desempeño del transporte y la distribución influye tanto en la rentabilidad como en el nivel de servicio.</w:t>
      </w:r>
    </w:p>
    <w:p w14:paraId="07C01ADF" w14:textId="0ABEE07A" w:rsidR="00F90BC8" w:rsidRPr="00F90BC8" w:rsidRDefault="00FC0813" w:rsidP="00FC0813">
      <w:pPr>
        <w:rPr>
          <w:rFonts w:ascii="Arial" w:hAnsi="Arial" w:cs="Arial"/>
          <w:sz w:val="20"/>
          <w:szCs w:val="20"/>
        </w:rPr>
      </w:pPr>
      <w:r w:rsidRPr="00FC0813">
        <w:rPr>
          <w:rFonts w:ascii="Arial" w:eastAsia="Arial" w:hAnsi="Arial" w:cs="Arial"/>
          <w:sz w:val="20"/>
          <w:szCs w:val="20"/>
        </w:rPr>
        <w:t xml:space="preserve">En conclusión, el transporte y la distribución son procesos esenciales para la integración y el desempeño de la cadena de suministro, en la medida en que permiten conectar la operación </w:t>
      </w:r>
      <w:r w:rsidRPr="00FC0813">
        <w:rPr>
          <w:rFonts w:ascii="Arial" w:eastAsia="Arial" w:hAnsi="Arial" w:cs="Arial"/>
          <w:sz w:val="20"/>
          <w:szCs w:val="20"/>
        </w:rPr>
        <w:lastRenderedPageBreak/>
        <w:t>logística con las necesidades del mercado. Su adecuada gestión fortalece la continuidad del abastecimiento, mejora la disponibilidad de productos, reduce costos operativos y eleva la satisfacción del cliente. En un entorno empresarial cada vez más dinámico, comprender la función estratégica de estos procesos resulta indispensable para la toma de decisiones logísticas, la optimización de recursos y la construcción de ventajas competitivas sostenibles.</w:t>
      </w:r>
    </w:p>
    <w:p w14:paraId="78A8BD35" w14:textId="77777777" w:rsidR="00D2769E" w:rsidRDefault="00E149BD">
      <w:pPr>
        <w:spacing w:line="276" w:lineRule="auto"/>
        <w:jc w:val="both"/>
        <w:rPr>
          <w:rFonts w:ascii="Arial" w:eastAsia="Arial" w:hAnsi="Arial" w:cs="Arial"/>
          <w:b/>
          <w:bCs/>
          <w:sz w:val="20"/>
          <w:szCs w:val="20"/>
        </w:rPr>
      </w:pPr>
      <w:r>
        <w:rPr>
          <w:rFonts w:ascii="Arial" w:eastAsia="Arial" w:hAnsi="Arial" w:cs="Arial"/>
          <w:b/>
          <w:bCs/>
          <w:sz w:val="20"/>
          <w:szCs w:val="20"/>
        </w:rPr>
        <w:t>Referencias bibliográficas</w:t>
      </w:r>
    </w:p>
    <w:p w14:paraId="5C8935A3" w14:textId="3A24E99F" w:rsidR="00FC0813" w:rsidRPr="00FC0813" w:rsidRDefault="00FC0813" w:rsidP="00FC0813">
      <w:pPr>
        <w:rPr>
          <w:rFonts w:ascii="Arial" w:hAnsi="Arial" w:cs="Arial"/>
          <w:sz w:val="20"/>
          <w:szCs w:val="20"/>
        </w:rPr>
      </w:pPr>
      <w:r w:rsidRPr="00FC0813">
        <w:rPr>
          <w:rFonts w:ascii="Arial" w:hAnsi="Arial" w:cs="Arial"/>
          <w:sz w:val="20"/>
          <w:szCs w:val="20"/>
        </w:rPr>
        <w:t xml:space="preserve">Chopra, S., &amp; Meindl, P. (2013). </w:t>
      </w:r>
      <w:r w:rsidRPr="00FC101D">
        <w:rPr>
          <w:rFonts w:ascii="Arial" w:hAnsi="Arial" w:cs="Arial"/>
          <w:i/>
          <w:iCs/>
          <w:sz w:val="20"/>
          <w:szCs w:val="20"/>
        </w:rPr>
        <w:t>Administración de la cadena de suministro</w:t>
      </w:r>
      <w:r w:rsidRPr="00FC0813">
        <w:rPr>
          <w:rFonts w:ascii="Arial" w:hAnsi="Arial" w:cs="Arial"/>
          <w:sz w:val="20"/>
          <w:szCs w:val="20"/>
        </w:rPr>
        <w:t>. Pearson Educación.</w:t>
      </w:r>
    </w:p>
    <w:p w14:paraId="16DB9A30" w14:textId="77777777" w:rsidR="00FC0813" w:rsidRPr="00FC0813" w:rsidRDefault="00FC0813" w:rsidP="00FC0813">
      <w:pPr>
        <w:rPr>
          <w:rFonts w:ascii="Arial" w:hAnsi="Arial" w:cs="Arial"/>
          <w:sz w:val="20"/>
          <w:szCs w:val="20"/>
        </w:rPr>
      </w:pPr>
      <w:r w:rsidRPr="00FC0813">
        <w:rPr>
          <w:rFonts w:ascii="Arial" w:hAnsi="Arial" w:cs="Arial"/>
          <w:sz w:val="20"/>
          <w:szCs w:val="20"/>
        </w:rPr>
        <w:t xml:space="preserve">Pelton, L. E., Strutton, D., &amp; Lumpkin, J. R. (2005). </w:t>
      </w:r>
      <w:r w:rsidRPr="00FC101D">
        <w:rPr>
          <w:rFonts w:ascii="Arial" w:hAnsi="Arial" w:cs="Arial"/>
          <w:i/>
          <w:iCs/>
          <w:sz w:val="20"/>
          <w:szCs w:val="20"/>
        </w:rPr>
        <w:t>Canales de marketing y distribución comercial: un enfoque de administración de relaciones</w:t>
      </w:r>
      <w:r w:rsidRPr="00FC0813">
        <w:rPr>
          <w:rFonts w:ascii="Arial" w:hAnsi="Arial" w:cs="Arial"/>
          <w:sz w:val="20"/>
          <w:szCs w:val="20"/>
        </w:rPr>
        <w:t>. McGraw-Hill Interamericana.</w:t>
      </w:r>
    </w:p>
    <w:p w14:paraId="626FB306" w14:textId="01B6F377" w:rsidR="00F90BC8" w:rsidRPr="00C568A9" w:rsidRDefault="00FC0813" w:rsidP="00FC0813">
      <w:pPr>
        <w:rPr>
          <w:rFonts w:ascii="Arial" w:hAnsi="Arial" w:cs="Arial"/>
          <w:sz w:val="20"/>
          <w:szCs w:val="20"/>
        </w:rPr>
      </w:pPr>
      <w:r w:rsidRPr="00FC0813">
        <w:rPr>
          <w:rFonts w:ascii="Arial" w:hAnsi="Arial" w:cs="Arial"/>
          <w:sz w:val="20"/>
          <w:szCs w:val="20"/>
        </w:rPr>
        <w:t xml:space="preserve">Soto, M. S. (2019). </w:t>
      </w:r>
      <w:r w:rsidRPr="00FC101D">
        <w:rPr>
          <w:rFonts w:ascii="Arial" w:hAnsi="Arial" w:cs="Arial"/>
          <w:i/>
          <w:iCs/>
          <w:sz w:val="20"/>
          <w:szCs w:val="20"/>
        </w:rPr>
        <w:t>Logística y cadena de suministro: aproximaciones teórico-prácticas</w:t>
      </w:r>
      <w:r w:rsidRPr="00FC0813">
        <w:rPr>
          <w:rFonts w:ascii="Arial" w:hAnsi="Arial" w:cs="Arial"/>
          <w:sz w:val="20"/>
          <w:szCs w:val="20"/>
        </w:rPr>
        <w:t>. CECAR.</w:t>
      </w:r>
    </w:p>
    <w:p w14:paraId="73C65E03" w14:textId="77777777" w:rsidR="00D2769E" w:rsidRDefault="00D2769E">
      <w:pPr>
        <w:spacing w:line="276" w:lineRule="auto"/>
        <w:jc w:val="both"/>
        <w:rPr>
          <w:rFonts w:ascii="Arial" w:eastAsia="Arial" w:hAnsi="Arial" w:cs="Arial"/>
          <w:sz w:val="20"/>
          <w:szCs w:val="20"/>
        </w:rPr>
      </w:pPr>
    </w:p>
    <w:sectPr w:rsidR="00D2769E">
      <w:headerReference w:type="default" r:id="rId6"/>
      <w:pgSz w:w="12240" w:h="15840"/>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2F33A" w14:textId="77777777" w:rsidR="00715F62" w:rsidRDefault="00715F62">
      <w:pPr>
        <w:spacing w:after="0" w:line="240" w:lineRule="auto"/>
      </w:pPr>
      <w:r>
        <w:separator/>
      </w:r>
    </w:p>
  </w:endnote>
  <w:endnote w:type="continuationSeparator" w:id="0">
    <w:p w14:paraId="21BC3326" w14:textId="77777777" w:rsidR="00715F62" w:rsidRDefault="00715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51410ACC-A1F9-46CC-BAEA-EA4986596033}"/>
    <w:embedBold r:id="rId2" w:fontKey="{5B8E7069-9D1E-45C1-89AB-87A3B69E2A54}"/>
    <w:embedItalic r:id="rId3" w:fontKey="{C05AB777-9C5A-4B15-AAE8-801927888EA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5E34F21-77E4-4BC3-9B8D-FA155728415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F1544CD-CB81-4020-A7B3-C790E5C4666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9C716" w14:textId="77777777" w:rsidR="00715F62" w:rsidRDefault="00715F62">
      <w:pPr>
        <w:spacing w:after="0" w:line="240" w:lineRule="auto"/>
      </w:pPr>
      <w:r>
        <w:separator/>
      </w:r>
    </w:p>
  </w:footnote>
  <w:footnote w:type="continuationSeparator" w:id="0">
    <w:p w14:paraId="7FF881A0" w14:textId="77777777" w:rsidR="00715F62" w:rsidRDefault="00715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C658C" w14:textId="77777777" w:rsidR="00D2769E" w:rsidRDefault="00E149BD">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0ECCD062" wp14:editId="6262E583">
          <wp:simplePos x="0" y="0"/>
          <wp:positionH relativeFrom="column">
            <wp:posOffset>2400300</wp:posOffset>
          </wp:positionH>
          <wp:positionV relativeFrom="paragraph">
            <wp:posOffset>-95884</wp:posOffset>
          </wp:positionV>
          <wp:extent cx="592455" cy="56134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69E"/>
    <w:rsid w:val="00640CA8"/>
    <w:rsid w:val="00715F62"/>
    <w:rsid w:val="00D2769E"/>
    <w:rsid w:val="00E149BD"/>
    <w:rsid w:val="00F90BC8"/>
    <w:rsid w:val="00FC0813"/>
    <w:rsid w:val="00FC101D"/>
    <w:rsid w:val="00FE2A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4D5D"/>
  <w15:docId w15:val="{2B22CA1F-4DEC-47EF-B2DF-2B13C3CA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F90B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C121954C-5211-45E5-ACCE-70142F2ABDFB}"/>
</file>

<file path=customXml/itemProps2.xml><?xml version="1.0" encoding="utf-8"?>
<ds:datastoreItem xmlns:ds="http://schemas.openxmlformats.org/officeDocument/2006/customXml" ds:itemID="{130FB0D4-3277-40E2-90AC-90B25CB1A4FF}"/>
</file>

<file path=customXml/itemProps3.xml><?xml version="1.0" encoding="utf-8"?>
<ds:datastoreItem xmlns:ds="http://schemas.openxmlformats.org/officeDocument/2006/customXml" ds:itemID="{5E36583A-B368-437F-BF85-444281D68491}"/>
</file>

<file path=docProps/app.xml><?xml version="1.0" encoding="utf-8"?>
<Properties xmlns="http://schemas.openxmlformats.org/officeDocument/2006/extended-properties" xmlns:vt="http://schemas.openxmlformats.org/officeDocument/2006/docPropsVTypes">
  <Template>Normal</Template>
  <TotalTime>17</TotalTime>
  <Pages>2</Pages>
  <Words>767</Words>
  <Characters>4222</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sergio quintero guzman</cp:lastModifiedBy>
  <cp:revision>6</cp:revision>
  <dcterms:created xsi:type="dcterms:W3CDTF">2026-05-29T16:34:00Z</dcterms:created>
  <dcterms:modified xsi:type="dcterms:W3CDTF">2026-07-09T04:27:00Z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