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5C3A6" w14:textId="67BA6662" w:rsidR="0083224F" w:rsidRPr="000D58A6" w:rsidRDefault="0000388D" w:rsidP="001757AE">
      <w:pPr>
        <w:jc w:val="center"/>
        <w:rPr>
          <w:rFonts w:ascii="Arial" w:hAnsi="Arial" w:cs="Arial"/>
          <w:b/>
          <w:bCs/>
          <w:sz w:val="20"/>
          <w:szCs w:val="20"/>
        </w:rPr>
      </w:pPr>
      <w:r w:rsidRPr="000D58A6">
        <w:rPr>
          <w:rFonts w:ascii="Arial" w:hAnsi="Arial" w:cs="Arial"/>
          <w:b/>
          <w:bCs/>
          <w:sz w:val="20"/>
          <w:szCs w:val="20"/>
        </w:rPr>
        <w:t>Costos logísticos y eficiencia operativa</w:t>
      </w:r>
    </w:p>
    <w:p w14:paraId="3CE7CDAF" w14:textId="31D8703C" w:rsidR="0000388D" w:rsidRPr="000D58A6" w:rsidRDefault="0000388D" w:rsidP="0000388D">
      <w:pPr>
        <w:jc w:val="both"/>
        <w:rPr>
          <w:rFonts w:ascii="Arial" w:hAnsi="Arial" w:cs="Arial"/>
          <w:sz w:val="20"/>
          <w:szCs w:val="20"/>
        </w:rPr>
      </w:pPr>
      <w:r w:rsidRPr="000D58A6">
        <w:rPr>
          <w:rFonts w:ascii="Arial" w:hAnsi="Arial" w:cs="Arial"/>
          <w:sz w:val="20"/>
          <w:szCs w:val="20"/>
        </w:rPr>
        <w:t>En la gestión de la cadena de suministro, la eficiencia operativa no depende únicamente de la capacidad de movilizar productos o responder a la demanda del mercado, sino también del control y análisis de los costos asociados a cada proceso logístico. En este sentido, los costos logísticos representan un elemento estratégico para la organización, ya que permiten medir el impacto económico de actividades como el abastecimiento, el almacenamiento, el transporte, la gestión de inventarios, la distribución y el servicio al cliente. Su adecuada administración contribuye al fortalecimiento de la rentabilidad, la optimización de recursos y la toma de decisiones orientadas al mejoramiento continuo de la operación.</w:t>
      </w:r>
    </w:p>
    <w:p w14:paraId="23CA8C7D" w14:textId="77777777" w:rsidR="0000388D" w:rsidRPr="000D58A6" w:rsidRDefault="0000388D" w:rsidP="0000388D">
      <w:pPr>
        <w:jc w:val="both"/>
        <w:rPr>
          <w:rFonts w:ascii="Arial" w:hAnsi="Arial" w:cs="Arial"/>
          <w:sz w:val="20"/>
          <w:szCs w:val="20"/>
        </w:rPr>
      </w:pPr>
      <w:r w:rsidRPr="000D58A6">
        <w:rPr>
          <w:rFonts w:ascii="Arial" w:hAnsi="Arial" w:cs="Arial"/>
          <w:sz w:val="20"/>
          <w:szCs w:val="20"/>
        </w:rPr>
        <w:t>Los costos logísticos comprenden todos aquellos recursos económicos destinados a garantizar el flujo de bienes y servicios dentro de la cadena de suministro. Entre ellos se incluyen costos de transporte, almacenamiento, manipulación de carga, inventarios, embalaje, recepción de mercancías, preparación de pedidos, devoluciones y uso de infraestructura logística. Estos costos pueden clasificarse en fijos y variables, directos e indirectos, según su comportamiento y la relación que guardan con las actividades desarrolladas. Esta clasificación es importante porque permite comprender de qué manera la operación consume recursos y qué procesos generan mayor presión sobre la estructura financiera de la empresa.</w:t>
      </w:r>
    </w:p>
    <w:p w14:paraId="2C7C700D" w14:textId="77777777" w:rsidR="0000388D" w:rsidRPr="000D58A6" w:rsidRDefault="0000388D" w:rsidP="0000388D">
      <w:pPr>
        <w:jc w:val="both"/>
        <w:rPr>
          <w:rFonts w:ascii="Arial" w:hAnsi="Arial" w:cs="Arial"/>
          <w:sz w:val="20"/>
          <w:szCs w:val="20"/>
        </w:rPr>
      </w:pPr>
      <w:r w:rsidRPr="000D58A6">
        <w:rPr>
          <w:rFonts w:ascii="Arial" w:hAnsi="Arial" w:cs="Arial"/>
          <w:sz w:val="20"/>
          <w:szCs w:val="20"/>
        </w:rPr>
        <w:t>El análisis de los costos logísticos adquiere mayor relevancia cuando se relaciona con la eficiencia operativa. Una organización puede cumplir con sus entregas y mantener abastecidos sus procesos, pero si lo hace con altos niveles de desperdicio, recorridos innecesarios, tiempos muertos o recursos subutilizados, su operación será costosa e insostenible en el tiempo. Por ello, la eficiencia operativa no se limita a “hacer que el proceso funcione”, sino a lograr que funcione con el mejor aprovechamiento posible de tiempo, dinero, infraestructura y talento humano. En este punto, la logística deja de verse como un área de apoyo y se convierte en un factor decisivo para la competitividad empresarial.</w:t>
      </w:r>
    </w:p>
    <w:p w14:paraId="3CE377FE" w14:textId="77777777" w:rsidR="0000388D" w:rsidRPr="000D58A6" w:rsidRDefault="0000388D" w:rsidP="0000388D">
      <w:pPr>
        <w:jc w:val="both"/>
        <w:rPr>
          <w:rFonts w:ascii="Arial" w:hAnsi="Arial" w:cs="Arial"/>
          <w:sz w:val="20"/>
          <w:szCs w:val="20"/>
        </w:rPr>
      </w:pPr>
      <w:r w:rsidRPr="000D58A6">
        <w:rPr>
          <w:rFonts w:ascii="Arial" w:hAnsi="Arial" w:cs="Arial"/>
          <w:sz w:val="20"/>
          <w:szCs w:val="20"/>
        </w:rPr>
        <w:t xml:space="preserve">Una de las herramientas más útiles para comprender el comportamiento de los costos es el costeo basado en actividades (ABC), metodología que permite identificar qué actividades consumen recursos y cuánto cuesta realmente ejecutarlas. En el entorno logístico, esta herramienta facilita el análisis de operaciones como la recepción de mercancías, el almacenamiento, el </w:t>
      </w:r>
      <w:proofErr w:type="spellStart"/>
      <w:r w:rsidRPr="000D58A6">
        <w:rPr>
          <w:rFonts w:ascii="Arial" w:hAnsi="Arial" w:cs="Arial"/>
          <w:sz w:val="20"/>
          <w:szCs w:val="20"/>
        </w:rPr>
        <w:t>picking</w:t>
      </w:r>
      <w:proofErr w:type="spellEnd"/>
      <w:r w:rsidRPr="000D58A6">
        <w:rPr>
          <w:rFonts w:ascii="Arial" w:hAnsi="Arial" w:cs="Arial"/>
          <w:sz w:val="20"/>
          <w:szCs w:val="20"/>
        </w:rPr>
        <w:t>, el embalaje, el despacho, el transporte o la gestión de devoluciones. A diferencia de los modelos tradicionales de costeo, el ABC ofrece una visión más precisa del consumo de recursos y permite reconocer qué actividades agregan valor y cuáles generan sobrecostos o ineficiencias. Esto brinda a la empresa mayores elementos para intervenir sus procesos y mejorar su desempeño.</w:t>
      </w:r>
    </w:p>
    <w:p w14:paraId="7D7F19DF" w14:textId="77777777" w:rsidR="0000388D" w:rsidRPr="000D58A6" w:rsidRDefault="0000388D" w:rsidP="0000388D">
      <w:pPr>
        <w:jc w:val="both"/>
        <w:rPr>
          <w:rFonts w:ascii="Arial" w:hAnsi="Arial" w:cs="Arial"/>
          <w:sz w:val="20"/>
          <w:szCs w:val="20"/>
        </w:rPr>
      </w:pPr>
      <w:r w:rsidRPr="000D58A6">
        <w:rPr>
          <w:rFonts w:ascii="Arial" w:hAnsi="Arial" w:cs="Arial"/>
          <w:sz w:val="20"/>
          <w:szCs w:val="20"/>
        </w:rPr>
        <w:t>La relación entre costos logísticos y eficiencia operativa se hace evidente cuando la organización analiza su operación de manera integral. Por ejemplo, un exceso de inventario puede aumentar los costos de almacenamiento y obsolescencia; una mala planeación de rutas incrementa el gasto en transporte; un proceso de recepción desorganizado genera retrasos y reprocesos; y una baja rotación de productos afecta la ocupación de espacios y la liquidez de la empresa. Todos estos factores evidencian que el costo logístico no es un dato aislado, sino una señal del nivel de eficiencia con el que se están ejecutando las actividades de la cadena de suministro.</w:t>
      </w:r>
    </w:p>
    <w:p w14:paraId="0EE38DA4" w14:textId="10106E9C" w:rsidR="001757AE" w:rsidRPr="000D58A6" w:rsidRDefault="0000388D" w:rsidP="0000388D">
      <w:pPr>
        <w:jc w:val="both"/>
        <w:rPr>
          <w:rFonts w:ascii="Arial" w:eastAsia="Arial" w:hAnsi="Arial" w:cs="Arial"/>
          <w:b/>
          <w:bCs/>
          <w:sz w:val="20"/>
          <w:szCs w:val="20"/>
        </w:rPr>
      </w:pPr>
      <w:r w:rsidRPr="000D58A6">
        <w:rPr>
          <w:rFonts w:ascii="Arial" w:hAnsi="Arial" w:cs="Arial"/>
          <w:sz w:val="20"/>
          <w:szCs w:val="20"/>
        </w:rPr>
        <w:t xml:space="preserve">En conclusión, los costos logísticos y la eficiencia operativa mantienen una relación directa dentro de la gestión de la cadena de suministro. Mientras los costos permiten medir el uso de recursos en la operación, la eficiencia operativa refleja la capacidad de la organización para ejecutar sus procesos de manera ágil, racional y sostenible. Comprender esta relación es fundamental para la toma de decisiones, el control de la operación y la formulación de estrategias orientadas a mejorar la rentabilidad y el nivel de servicio. En un entorno donde la competitividad exige rapidez, precisión </w:t>
      </w:r>
      <w:r w:rsidRPr="000D58A6">
        <w:rPr>
          <w:rFonts w:ascii="Arial" w:hAnsi="Arial" w:cs="Arial"/>
          <w:sz w:val="20"/>
          <w:szCs w:val="20"/>
        </w:rPr>
        <w:lastRenderedPageBreak/>
        <w:t>y optimización permanente, gestionar adecuadamente los costos logísticos se convierte en una condición indispensable para el éxito empresarial.</w:t>
      </w:r>
    </w:p>
    <w:p w14:paraId="52B6AD42" w14:textId="236C5AC9" w:rsidR="0083224F" w:rsidRPr="000D58A6" w:rsidRDefault="003830FA">
      <w:pPr>
        <w:spacing w:line="276" w:lineRule="auto"/>
        <w:jc w:val="both"/>
        <w:rPr>
          <w:rFonts w:ascii="Arial" w:eastAsia="Arial" w:hAnsi="Arial" w:cs="Arial"/>
          <w:b/>
          <w:bCs/>
          <w:sz w:val="20"/>
          <w:szCs w:val="20"/>
        </w:rPr>
      </w:pPr>
      <w:r w:rsidRPr="000D58A6">
        <w:rPr>
          <w:rFonts w:ascii="Arial" w:eastAsia="Arial" w:hAnsi="Arial" w:cs="Arial"/>
          <w:b/>
          <w:bCs/>
          <w:sz w:val="20"/>
          <w:szCs w:val="20"/>
        </w:rPr>
        <w:t>Referencias bibliográficas</w:t>
      </w:r>
    </w:p>
    <w:p w14:paraId="66BDDB49" w14:textId="05611F49" w:rsidR="0000388D" w:rsidRPr="000D58A6" w:rsidRDefault="007924CC" w:rsidP="0000388D">
      <w:pPr>
        <w:rPr>
          <w:rFonts w:ascii="Arial" w:hAnsi="Arial" w:cs="Arial"/>
          <w:sz w:val="20"/>
          <w:szCs w:val="20"/>
        </w:rPr>
      </w:pPr>
      <w:r w:rsidRPr="000D58A6">
        <w:rPr>
          <w:rFonts w:ascii="Arial" w:hAnsi="Arial" w:cs="Arial"/>
          <w:sz w:val="20"/>
          <w:szCs w:val="20"/>
        </w:rPr>
        <w:t>Ballo</w:t>
      </w:r>
      <w:r w:rsidR="0000388D" w:rsidRPr="000D58A6">
        <w:rPr>
          <w:rFonts w:ascii="Arial" w:hAnsi="Arial" w:cs="Arial"/>
          <w:sz w:val="20"/>
          <w:szCs w:val="20"/>
        </w:rPr>
        <w:t xml:space="preserve"> </w:t>
      </w:r>
      <w:r w:rsidR="0000388D" w:rsidRPr="000D58A6">
        <w:rPr>
          <w:rFonts w:ascii="Arial" w:hAnsi="Arial" w:cs="Arial"/>
          <w:sz w:val="20"/>
          <w:szCs w:val="20"/>
        </w:rPr>
        <w:t xml:space="preserve">Chopra, S., &amp; Meindl, P. (2013). </w:t>
      </w:r>
      <w:r w:rsidR="0000388D" w:rsidRPr="000D58A6">
        <w:rPr>
          <w:rFonts w:ascii="Arial" w:hAnsi="Arial" w:cs="Arial"/>
          <w:i/>
          <w:iCs/>
          <w:sz w:val="20"/>
          <w:szCs w:val="20"/>
        </w:rPr>
        <w:t>Administración de la cadena de suministro</w:t>
      </w:r>
      <w:r w:rsidR="0000388D" w:rsidRPr="000D58A6">
        <w:rPr>
          <w:rFonts w:ascii="Arial" w:hAnsi="Arial" w:cs="Arial"/>
          <w:sz w:val="20"/>
          <w:szCs w:val="20"/>
        </w:rPr>
        <w:t>. Pearson Educación.</w:t>
      </w:r>
    </w:p>
    <w:p w14:paraId="1C926114" w14:textId="77777777" w:rsidR="0000388D" w:rsidRPr="000D58A6" w:rsidRDefault="0000388D" w:rsidP="0000388D">
      <w:pPr>
        <w:rPr>
          <w:rFonts w:ascii="Arial" w:hAnsi="Arial" w:cs="Arial"/>
          <w:sz w:val="20"/>
          <w:szCs w:val="20"/>
        </w:rPr>
      </w:pPr>
      <w:r w:rsidRPr="000D58A6">
        <w:rPr>
          <w:rFonts w:ascii="Arial" w:hAnsi="Arial" w:cs="Arial"/>
          <w:sz w:val="20"/>
          <w:szCs w:val="20"/>
        </w:rPr>
        <w:t xml:space="preserve">Soto, M. S. (2019). </w:t>
      </w:r>
      <w:r w:rsidRPr="000D58A6">
        <w:rPr>
          <w:rFonts w:ascii="Arial" w:hAnsi="Arial" w:cs="Arial"/>
          <w:i/>
          <w:iCs/>
          <w:sz w:val="20"/>
          <w:szCs w:val="20"/>
        </w:rPr>
        <w:t>Logística y cadena de suministro: aproximaciones teórico-prácticas</w:t>
      </w:r>
      <w:r w:rsidRPr="000D58A6">
        <w:rPr>
          <w:rFonts w:ascii="Arial" w:hAnsi="Arial" w:cs="Arial"/>
          <w:sz w:val="20"/>
          <w:szCs w:val="20"/>
        </w:rPr>
        <w:t>. CECAR.</w:t>
      </w:r>
    </w:p>
    <w:p w14:paraId="36A302C6" w14:textId="77777777" w:rsidR="0000388D" w:rsidRPr="000D58A6" w:rsidRDefault="0000388D" w:rsidP="0000388D">
      <w:pPr>
        <w:rPr>
          <w:rFonts w:ascii="Arial" w:hAnsi="Arial" w:cs="Arial"/>
          <w:sz w:val="20"/>
          <w:szCs w:val="20"/>
        </w:rPr>
      </w:pPr>
      <w:r w:rsidRPr="000D58A6">
        <w:rPr>
          <w:rFonts w:ascii="Arial" w:hAnsi="Arial" w:cs="Arial"/>
          <w:sz w:val="20"/>
          <w:szCs w:val="20"/>
        </w:rPr>
        <w:t xml:space="preserve">Becerra, G. K., Pedroza, B. V., Pinilla, J., &amp; Vargas, L. M. (2017). Implementación de las TIC en la gestión de inventario dentro de la cadena de suministro. </w:t>
      </w:r>
      <w:r w:rsidRPr="000D58A6">
        <w:rPr>
          <w:rFonts w:ascii="Arial" w:hAnsi="Arial" w:cs="Arial"/>
          <w:i/>
          <w:iCs/>
          <w:sz w:val="20"/>
          <w:szCs w:val="20"/>
        </w:rPr>
        <w:t>Revista de Iniciación Científica, 3</w:t>
      </w:r>
      <w:r w:rsidRPr="000D58A6">
        <w:rPr>
          <w:rFonts w:ascii="Arial" w:hAnsi="Arial" w:cs="Arial"/>
          <w:sz w:val="20"/>
          <w:szCs w:val="20"/>
        </w:rPr>
        <w:t>(1), 36–49.</w:t>
      </w:r>
    </w:p>
    <w:p w14:paraId="5058C3A1" w14:textId="26AE3CD9" w:rsidR="001757AE" w:rsidRPr="00DD512D" w:rsidRDefault="007924CC" w:rsidP="0000388D">
      <w:pPr>
        <w:rPr>
          <w:rFonts w:ascii="Arial" w:hAnsi="Arial" w:cs="Arial"/>
          <w:sz w:val="20"/>
          <w:szCs w:val="20"/>
        </w:rPr>
      </w:pPr>
      <w:r w:rsidRPr="00DD512D">
        <w:rPr>
          <w:rFonts w:ascii="Arial" w:hAnsi="Arial" w:cs="Arial"/>
          <w:sz w:val="20"/>
          <w:szCs w:val="20"/>
        </w:rPr>
        <w:t xml:space="preserve"> </w:t>
      </w:r>
    </w:p>
    <w:p w14:paraId="577CC3A4" w14:textId="77777777" w:rsidR="0083224F" w:rsidRDefault="0083224F">
      <w:pPr>
        <w:spacing w:line="276" w:lineRule="auto"/>
        <w:jc w:val="both"/>
        <w:rPr>
          <w:rFonts w:ascii="Arial" w:eastAsia="Arial" w:hAnsi="Arial" w:cs="Arial"/>
          <w:sz w:val="20"/>
          <w:szCs w:val="20"/>
        </w:rPr>
      </w:pPr>
    </w:p>
    <w:sectPr w:rsidR="0083224F">
      <w:headerReference w:type="default" r:id="rId6"/>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3D002" w14:textId="77777777" w:rsidR="001518A7" w:rsidRDefault="001518A7">
      <w:pPr>
        <w:spacing w:after="0" w:line="240" w:lineRule="auto"/>
      </w:pPr>
      <w:r>
        <w:separator/>
      </w:r>
    </w:p>
  </w:endnote>
  <w:endnote w:type="continuationSeparator" w:id="0">
    <w:p w14:paraId="6FC1A453" w14:textId="77777777" w:rsidR="001518A7" w:rsidRDefault="00151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7481D15-1DC5-4C27-9EA5-165BC525E461}"/>
    <w:embedBold r:id="rId2" w:fontKey="{BAB8C865-961C-4630-B301-9BD199120516}"/>
    <w:embedItalic r:id="rId3" w:fontKey="{8F5EB5DF-8C41-4CB8-B744-555C02984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4357524-C3F2-41BB-A3C9-FF85BFB5380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0614744-D3CA-4558-9E97-CE033B7463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B6773" w14:textId="77777777" w:rsidR="001518A7" w:rsidRDefault="001518A7">
      <w:pPr>
        <w:spacing w:after="0" w:line="240" w:lineRule="auto"/>
      </w:pPr>
      <w:r>
        <w:separator/>
      </w:r>
    </w:p>
  </w:footnote>
  <w:footnote w:type="continuationSeparator" w:id="0">
    <w:p w14:paraId="674A39FC" w14:textId="77777777" w:rsidR="001518A7" w:rsidRDefault="00151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90C8F" w14:textId="77777777" w:rsidR="0083224F" w:rsidRDefault="003830F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3AB1D2FF" wp14:editId="52F85471">
          <wp:simplePos x="0" y="0"/>
          <wp:positionH relativeFrom="column">
            <wp:posOffset>2400300</wp:posOffset>
          </wp:positionH>
          <wp:positionV relativeFrom="paragraph">
            <wp:posOffset>-95884</wp:posOffset>
          </wp:positionV>
          <wp:extent cx="592455" cy="56134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24F"/>
    <w:rsid w:val="0000388D"/>
    <w:rsid w:val="000D58A6"/>
    <w:rsid w:val="001518A7"/>
    <w:rsid w:val="001757AE"/>
    <w:rsid w:val="003830FA"/>
    <w:rsid w:val="005B06AC"/>
    <w:rsid w:val="006A4A9A"/>
    <w:rsid w:val="007924CC"/>
    <w:rsid w:val="007D1A04"/>
    <w:rsid w:val="0083224F"/>
    <w:rsid w:val="008F1636"/>
    <w:rsid w:val="00DD5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CC67"/>
  <w15:docId w15:val="{2B22CA1F-4DEC-47EF-B2DF-2B13C3CA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1757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B4226FB2-F317-4CB6-B1C4-9624BC4747BD}"/>
</file>

<file path=customXml/itemProps2.xml><?xml version="1.0" encoding="utf-8"?>
<ds:datastoreItem xmlns:ds="http://schemas.openxmlformats.org/officeDocument/2006/customXml" ds:itemID="{A368BAD9-64AA-4772-B8FE-DFAF10EBFCE5}"/>
</file>

<file path=customXml/itemProps3.xml><?xml version="1.0" encoding="utf-8"?>
<ds:datastoreItem xmlns:ds="http://schemas.openxmlformats.org/officeDocument/2006/customXml" ds:itemID="{56927502-25A6-4E13-BFC8-7ED907B045A0}"/>
</file>

<file path=docProps/app.xml><?xml version="1.0" encoding="utf-8"?>
<Properties xmlns="http://schemas.openxmlformats.org/officeDocument/2006/extended-properties" xmlns:vt="http://schemas.openxmlformats.org/officeDocument/2006/docPropsVTypes">
  <Template>Normal</Template>
  <TotalTime>14</TotalTime>
  <Pages>2</Pages>
  <Words>731</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sergio quintero guzman</cp:lastModifiedBy>
  <cp:revision>6</cp:revision>
  <dcterms:created xsi:type="dcterms:W3CDTF">2026-05-29T16:41:00Z</dcterms:created>
  <dcterms:modified xsi:type="dcterms:W3CDTF">2026-07-09T04:37:00Z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