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F336B" w14:textId="6AEFEEF8" w:rsidR="00BF1527" w:rsidRPr="002D533A" w:rsidRDefault="00BF1527" w:rsidP="00BF1527">
      <w:pPr>
        <w:spacing w:line="276" w:lineRule="auto"/>
        <w:jc w:val="center"/>
        <w:rPr>
          <w:rFonts w:ascii="Arial" w:hAnsi="Arial" w:cs="Arial"/>
          <w:b/>
          <w:bCs/>
          <w:sz w:val="20"/>
          <w:szCs w:val="20"/>
        </w:rPr>
      </w:pPr>
      <w:r w:rsidRPr="002D533A">
        <w:rPr>
          <w:rFonts w:ascii="Arial" w:hAnsi="Arial" w:cs="Arial"/>
          <w:b/>
          <w:bCs/>
          <w:sz w:val="20"/>
          <w:szCs w:val="20"/>
        </w:rPr>
        <w:t>Políticas logísticas como ventaja competitiva en las organizaciones modernas</w:t>
      </w:r>
    </w:p>
    <w:p w14:paraId="1C9B0019"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En un entorno empresarial marcado por la globalización, la transformación digital y consumidores cada vez más exigentes, la logística ha dejado de ser una actividad exclusivamente operativa para convertirse en un factor estratégico que influye directamente en la competitividad de las organizaciones.</w:t>
      </w:r>
    </w:p>
    <w:p w14:paraId="015F757C"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La rapidez en las entregas, la disponibilidad de los productos, la reducción de costos y la capacidad de responder oportunamente a las necesidades del mercado dependen, en gran medida, de la existencia de políticas logísticas claras que orienten el funcionamiento de la cadena de suministro.</w:t>
      </w:r>
    </w:p>
    <w:p w14:paraId="462AC494"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Aunque las políticas logísticas establecen lineamientos para procesos como las compras, los inventarios, el almacenamiento y la distribución, su verdadero valor radica en la capacidad de integrar todas las áreas de la organización bajo criterios comunes de eficiencia, calidad y mejora continua. En este sentido, más que documentos administrativos, las políticas logísticas constituyen herramientas estratégicas que fortalecen la toma de decisiones y contribuyen al cumplimiento de los objetivos empresariales.</w:t>
      </w:r>
    </w:p>
    <w:p w14:paraId="71C433E3"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Las organizaciones modernas enfrentan un mercado dinámico, en el que la capacidad para responder rápidamente a los cambios representa una ventaja competitiva. En este escenario, las políticas logísticas permiten estandarizar procesos, reducir la incertidumbre y facilitar la coordinación entre proveedores, centros de distribución, operadores logísticos y clientes.</w:t>
      </w:r>
    </w:p>
    <w:p w14:paraId="0F0773C5"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Cuando cada proceso cuenta con procedimientos claramente definidos, disminuyen los errores operativos, se optimizan los tiempos de respuesta y se fortalece la calidad del servicio.</w:t>
      </w:r>
    </w:p>
    <w:p w14:paraId="2BF0FA0D"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Otro aspecto que demuestra la importancia de las políticas logísticas es su contribución a la gestión del riesgo. Situaciones como retrasos en el abastecimiento, variaciones en la demanda, interrupciones en el transporte o problemas con los proveedores pueden afectar significativamente la continuidad de la operación.</w:t>
      </w:r>
    </w:p>
    <w:p w14:paraId="56B58203"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Sin embargo, cuando existen políticas previamente establecidas para la gestión de inventarios, la selección de proveedores, la recepción de mercancías o la preparación de pedidos, las organizaciones cuentan con mecanismos que les permiten responder de manera organizada y minimizar el impacto de estas situaciones.</w:t>
      </w:r>
    </w:p>
    <w:p w14:paraId="0C499D43"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En la actualidad, la transformación digital ha incrementado aún más la importancia de las políticas logísticas. Tecnologías como los sistemas de planificación de recursos empresariales, conocidos como ERP; los sistemas de gestión de almacenes, o WMS; los sistemas de gestión del transporte, o TMS; la identificación mediante códigos de barras y la analítica de datos permiten automatizar gran parte de los procesos logísticos.</w:t>
      </w:r>
    </w:p>
    <w:p w14:paraId="7F22C397"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No obstante, el aprovechamiento de estas herramientas depende de que las organizaciones cuenten con políticas que regulen el registro de la información, el manejo de inventarios, la trazabilidad de los productos y la ejecución de los procedimientos operativos.</w:t>
      </w:r>
    </w:p>
    <w:p w14:paraId="73B67728"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Igualmente, las políticas logísticas favorecen la construcción de una cultura organizacional orientada al mejoramiento continuo. Cuando todos los colaboradores conocen los procedimientos establecidos y comprenden la importancia de cumplirlos, la organización logra una mayor disciplina operativa, disminuye los reprocesos y fortalece la calidad de sus servicios.</w:t>
      </w:r>
    </w:p>
    <w:p w14:paraId="3A062AC0"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lastRenderedPageBreak/>
        <w:t>Esta estandarización facilita, además, la capacitación del personal, la incorporación de nuevos colaboradores y el desarrollo de auditorías internas para verificar el cumplimiento de los procesos.</w:t>
      </w:r>
    </w:p>
    <w:p w14:paraId="19A2CCE9"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Los beneficios de contar con políticas logísticas sólidas pueden observarse en organizaciones reconocidas a nivel nacional e internacional. Empresas como Grupo Éxito coordinan diariamente el abastecimiento de cientos de puntos de venta mediante políticas que regulan el control de inventarios, la recepción de mercancías y la reposición de productos, con el propósito de garantizar altos niveles de disponibilidad para sus clientes.</w:t>
      </w:r>
    </w:p>
    <w:p w14:paraId="159BD339"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De igual manera, Grupo Nutresa desarrolla políticas de abastecimiento responsable que fortalecen las relaciones con sus proveedores y promueven el cumplimiento de estándares de calidad, sostenibilidad y eficiencia en toda la cadena de suministro.</w:t>
      </w:r>
    </w:p>
    <w:p w14:paraId="1602FD9D"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A nivel internacional, organizaciones como Amazon han demostrado que el éxito logístico no depende únicamente de la tecnología, sino también de la existencia de políticas claramente definidas para la gestión de inventarios, la preparación de pedidos, el almacenamiento automatizado y la distribución de mercancías.</w:t>
      </w:r>
    </w:p>
    <w:p w14:paraId="0BC82397"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Gracias a esta integración entre procesos, tecnología y talento humano, la empresa ha logrado reducir los tiempos de entrega y consolidarse como uno de los referentes mundiales en logística y comercio electrónico.</w:t>
      </w:r>
    </w:p>
    <w:p w14:paraId="180A0A23"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Otro aspecto relevante es la relación entre las políticas logísticas y la sostenibilidad empresarial. Actualmente, muchas organizaciones incorporan criterios ambientales y sociales dentro de sus procesos logísticos mediante políticas orientadas al uso eficiente de los recursos, la optimización de las rutas de transporte, la reducción del consumo energético y la implementación de prácticas de logística inversa.</w:t>
      </w:r>
    </w:p>
    <w:p w14:paraId="54338F9E"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Estas acciones no solo disminuyen el impacto ambiental, sino que también fortalecen la reputación corporativa y generan valor para los clientes, los inversionistas y los demás grupos de interés.</w:t>
      </w:r>
    </w:p>
    <w:p w14:paraId="5919955C"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En conclusión, las políticas logísticas constituyen mucho más que un conjunto de normas para regular las operaciones. Representan un elemento estratégico que orienta la integración de la cadena de suministro y fortalece la competitividad de las organizaciones.</w:t>
      </w:r>
    </w:p>
    <w:p w14:paraId="4583D904"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Su adecuada implementación favorece la estandarización de los procesos, mejora la coordinación entre las diferentes áreas, optimiza el uso de los recursos y contribuye a ofrecer un servicio de mayor calidad a los clientes.</w:t>
      </w:r>
    </w:p>
    <w:p w14:paraId="6E294C30" w14:textId="77777777" w:rsidR="001C1427" w:rsidRPr="001C1427" w:rsidRDefault="001C1427" w:rsidP="001C1427">
      <w:pPr>
        <w:pStyle w:val="isselectedend"/>
        <w:jc w:val="both"/>
        <w:rPr>
          <w:rFonts w:ascii="Arial" w:hAnsi="Arial" w:cs="Arial"/>
          <w:sz w:val="20"/>
          <w:szCs w:val="20"/>
        </w:rPr>
      </w:pPr>
      <w:r w:rsidRPr="001C1427">
        <w:rPr>
          <w:rFonts w:ascii="Arial" w:hAnsi="Arial" w:cs="Arial"/>
          <w:sz w:val="20"/>
          <w:szCs w:val="20"/>
        </w:rPr>
        <w:t>En un contexto en el que la innovación, la digitalización y la sostenibilidad transforman permanentemente la logística, las organizaciones deben revisar y actualizar continuamente sus políticas para responder a los nuevos desafíos del mercado.</w:t>
      </w:r>
    </w:p>
    <w:p w14:paraId="415CB031" w14:textId="77777777" w:rsidR="001C1427" w:rsidRPr="001C1427" w:rsidRDefault="001C1427" w:rsidP="001C1427">
      <w:pPr>
        <w:pStyle w:val="NormalWeb"/>
        <w:jc w:val="both"/>
        <w:rPr>
          <w:rFonts w:ascii="Arial" w:hAnsi="Arial" w:cs="Arial"/>
          <w:sz w:val="20"/>
          <w:szCs w:val="20"/>
        </w:rPr>
      </w:pPr>
      <w:r w:rsidRPr="001C1427">
        <w:rPr>
          <w:rFonts w:ascii="Arial" w:hAnsi="Arial" w:cs="Arial"/>
          <w:sz w:val="20"/>
          <w:szCs w:val="20"/>
        </w:rPr>
        <w:t>De esta manera, las políticas logísticas dejan de ser un requisito administrativo para convertirse en una verdadera herramienta de gestión, capaz de impulsar la eficiencia operativa, la mejora continua y la creación de ventajas competitivas sostenibles.</w:t>
      </w:r>
    </w:p>
    <w:p w14:paraId="5A39803F" w14:textId="77777777" w:rsidR="001C1427" w:rsidRDefault="001C1427" w:rsidP="00BF1527">
      <w:pPr>
        <w:rPr>
          <w:rFonts w:ascii="Arial" w:hAnsi="Arial" w:cs="Arial"/>
          <w:sz w:val="20"/>
          <w:szCs w:val="20"/>
        </w:rPr>
      </w:pPr>
    </w:p>
    <w:p w14:paraId="36AF6479" w14:textId="77777777" w:rsidR="001C1427" w:rsidRDefault="001C1427" w:rsidP="00BF1527">
      <w:pPr>
        <w:rPr>
          <w:rFonts w:ascii="Arial" w:hAnsi="Arial" w:cs="Arial"/>
          <w:sz w:val="20"/>
          <w:szCs w:val="20"/>
        </w:rPr>
      </w:pPr>
    </w:p>
    <w:p w14:paraId="14D99212" w14:textId="77777777" w:rsidR="001C1427" w:rsidRDefault="001C1427" w:rsidP="00BF1527">
      <w:pPr>
        <w:rPr>
          <w:rFonts w:ascii="Arial" w:hAnsi="Arial" w:cs="Arial"/>
          <w:sz w:val="20"/>
          <w:szCs w:val="20"/>
        </w:rPr>
      </w:pPr>
    </w:p>
    <w:p w14:paraId="78A8BD35" w14:textId="20939EA2" w:rsidR="00D2769E" w:rsidRDefault="00E149BD" w:rsidP="00BF1527">
      <w:pPr>
        <w:rPr>
          <w:rFonts w:ascii="Arial" w:eastAsia="Arial" w:hAnsi="Arial" w:cs="Arial"/>
          <w:b/>
          <w:bCs/>
          <w:sz w:val="20"/>
          <w:szCs w:val="20"/>
        </w:rPr>
      </w:pPr>
      <w:r>
        <w:rPr>
          <w:rFonts w:ascii="Arial" w:eastAsia="Arial" w:hAnsi="Arial" w:cs="Arial"/>
          <w:b/>
          <w:bCs/>
          <w:sz w:val="20"/>
          <w:szCs w:val="20"/>
        </w:rPr>
        <w:lastRenderedPageBreak/>
        <w:t>Referencias bibliográficas</w:t>
      </w:r>
    </w:p>
    <w:p w14:paraId="38E8C8C2" w14:textId="3D86A8AD" w:rsidR="00BF1527" w:rsidRPr="002D533A" w:rsidRDefault="00BF1527" w:rsidP="00BF1527">
      <w:pPr>
        <w:spacing w:line="276" w:lineRule="auto"/>
        <w:jc w:val="both"/>
        <w:rPr>
          <w:rFonts w:ascii="Arial" w:hAnsi="Arial" w:cs="Arial"/>
          <w:sz w:val="20"/>
          <w:szCs w:val="20"/>
        </w:rPr>
      </w:pPr>
      <w:r w:rsidRPr="002D533A">
        <w:rPr>
          <w:rFonts w:ascii="Arial" w:hAnsi="Arial" w:cs="Arial"/>
          <w:sz w:val="20"/>
          <w:szCs w:val="20"/>
        </w:rPr>
        <w:t xml:space="preserve">Ballou, R. H. (2004). </w:t>
      </w:r>
      <w:r w:rsidRPr="002D533A">
        <w:rPr>
          <w:rFonts w:ascii="Arial" w:hAnsi="Arial" w:cs="Arial"/>
          <w:i/>
          <w:iCs/>
          <w:sz w:val="20"/>
          <w:szCs w:val="20"/>
        </w:rPr>
        <w:t>Logística: administración de la cadena de suministro</w:t>
      </w:r>
      <w:r w:rsidRPr="002D533A">
        <w:rPr>
          <w:rFonts w:ascii="Arial" w:hAnsi="Arial" w:cs="Arial"/>
          <w:sz w:val="20"/>
          <w:szCs w:val="20"/>
        </w:rPr>
        <w:t xml:space="preserve"> (5.ª ed.). Pearson Educación.</w:t>
      </w:r>
    </w:p>
    <w:p w14:paraId="556A82B5" w14:textId="77777777" w:rsidR="00BF1527" w:rsidRPr="002D533A" w:rsidRDefault="00BF1527" w:rsidP="00BF1527">
      <w:pPr>
        <w:spacing w:line="276" w:lineRule="auto"/>
        <w:jc w:val="both"/>
        <w:rPr>
          <w:rFonts w:ascii="Arial" w:hAnsi="Arial" w:cs="Arial"/>
          <w:sz w:val="20"/>
          <w:szCs w:val="20"/>
        </w:rPr>
      </w:pPr>
      <w:r w:rsidRPr="002D533A">
        <w:rPr>
          <w:rFonts w:ascii="Arial" w:hAnsi="Arial" w:cs="Arial"/>
          <w:sz w:val="20"/>
          <w:szCs w:val="20"/>
        </w:rPr>
        <w:t xml:space="preserve">Chopra, S., &amp; Meindl, P. (2016). </w:t>
      </w:r>
      <w:r w:rsidRPr="002D533A">
        <w:rPr>
          <w:rFonts w:ascii="Arial" w:hAnsi="Arial" w:cs="Arial"/>
          <w:i/>
          <w:iCs/>
          <w:sz w:val="20"/>
          <w:szCs w:val="20"/>
        </w:rPr>
        <w:t>Administración de la cadena de suministro: estrategia, planeación y operación</w:t>
      </w:r>
      <w:r w:rsidRPr="002D533A">
        <w:rPr>
          <w:rFonts w:ascii="Arial" w:hAnsi="Arial" w:cs="Arial"/>
          <w:sz w:val="20"/>
          <w:szCs w:val="20"/>
        </w:rPr>
        <w:t xml:space="preserve"> (6.ª ed.). Pearson Educación.</w:t>
      </w:r>
    </w:p>
    <w:p w14:paraId="7225377D" w14:textId="77777777" w:rsidR="00BF1527" w:rsidRPr="002D533A" w:rsidRDefault="00BF1527" w:rsidP="00BF1527">
      <w:pPr>
        <w:spacing w:line="276" w:lineRule="auto"/>
        <w:jc w:val="both"/>
        <w:rPr>
          <w:rFonts w:ascii="Arial" w:hAnsi="Arial" w:cs="Arial"/>
          <w:sz w:val="20"/>
          <w:szCs w:val="20"/>
        </w:rPr>
      </w:pPr>
      <w:r w:rsidRPr="002D533A">
        <w:rPr>
          <w:rFonts w:ascii="Arial" w:hAnsi="Arial" w:cs="Arial"/>
          <w:sz w:val="20"/>
          <w:szCs w:val="20"/>
        </w:rPr>
        <w:t xml:space="preserve">Christopher, M. (2016). </w:t>
      </w:r>
      <w:r w:rsidRPr="002D533A">
        <w:rPr>
          <w:rFonts w:ascii="Arial" w:hAnsi="Arial" w:cs="Arial"/>
          <w:i/>
          <w:iCs/>
          <w:sz w:val="20"/>
          <w:szCs w:val="20"/>
        </w:rPr>
        <w:t>Logística y gestión de la cadena de suministro</w:t>
      </w:r>
      <w:r w:rsidRPr="002D533A">
        <w:rPr>
          <w:rFonts w:ascii="Arial" w:hAnsi="Arial" w:cs="Arial"/>
          <w:sz w:val="20"/>
          <w:szCs w:val="20"/>
        </w:rPr>
        <w:t xml:space="preserve"> (5.ª ed.). Pearson Educación.</w:t>
      </w:r>
    </w:p>
    <w:p w14:paraId="18CE992B" w14:textId="77777777" w:rsidR="00BF1527" w:rsidRPr="002D533A" w:rsidRDefault="00BF1527" w:rsidP="00BF1527">
      <w:pPr>
        <w:spacing w:line="276" w:lineRule="auto"/>
        <w:jc w:val="both"/>
        <w:rPr>
          <w:rFonts w:ascii="Arial" w:hAnsi="Arial" w:cs="Arial"/>
          <w:sz w:val="20"/>
          <w:szCs w:val="20"/>
        </w:rPr>
      </w:pPr>
      <w:r w:rsidRPr="002D533A">
        <w:rPr>
          <w:rFonts w:ascii="Arial" w:hAnsi="Arial" w:cs="Arial"/>
          <w:sz w:val="20"/>
          <w:szCs w:val="20"/>
        </w:rPr>
        <w:t xml:space="preserve">Grupo Éxito. (2024). </w:t>
      </w:r>
      <w:r w:rsidRPr="002D533A">
        <w:rPr>
          <w:rFonts w:ascii="Arial" w:hAnsi="Arial" w:cs="Arial"/>
          <w:i/>
          <w:iCs/>
          <w:sz w:val="20"/>
          <w:szCs w:val="20"/>
        </w:rPr>
        <w:t>Información corporativa</w:t>
      </w:r>
      <w:r w:rsidRPr="002D533A">
        <w:rPr>
          <w:rFonts w:ascii="Arial" w:hAnsi="Arial" w:cs="Arial"/>
          <w:sz w:val="20"/>
          <w:szCs w:val="20"/>
        </w:rPr>
        <w:t xml:space="preserve">. </w:t>
      </w:r>
      <w:hyperlink r:id="rId9" w:history="1">
        <w:r w:rsidRPr="002D533A">
          <w:rPr>
            <w:rStyle w:val="Hyperlink"/>
            <w:rFonts w:ascii="Arial" w:hAnsi="Arial" w:cs="Arial"/>
            <w:sz w:val="20"/>
            <w:szCs w:val="20"/>
          </w:rPr>
          <w:t>https://www.grupoexito.com.co/</w:t>
        </w:r>
      </w:hyperlink>
    </w:p>
    <w:p w14:paraId="48D6C9AF" w14:textId="77777777" w:rsidR="00BF1527" w:rsidRPr="002D533A" w:rsidRDefault="00BF1527" w:rsidP="00BF1527">
      <w:pPr>
        <w:spacing w:line="276" w:lineRule="auto"/>
        <w:jc w:val="both"/>
        <w:rPr>
          <w:rFonts w:ascii="Arial" w:hAnsi="Arial" w:cs="Arial"/>
          <w:sz w:val="20"/>
          <w:szCs w:val="20"/>
        </w:rPr>
      </w:pPr>
      <w:r w:rsidRPr="002D533A">
        <w:rPr>
          <w:rFonts w:ascii="Arial" w:hAnsi="Arial" w:cs="Arial"/>
          <w:sz w:val="20"/>
          <w:szCs w:val="20"/>
        </w:rPr>
        <w:t xml:space="preserve">Grupo Nutresa. (2024). </w:t>
      </w:r>
      <w:r w:rsidRPr="002D533A">
        <w:rPr>
          <w:rFonts w:ascii="Arial" w:hAnsi="Arial" w:cs="Arial"/>
          <w:i/>
          <w:iCs/>
          <w:sz w:val="20"/>
          <w:szCs w:val="20"/>
        </w:rPr>
        <w:t>Abastecimiento responsable y cadena de suministro</w:t>
      </w:r>
      <w:r w:rsidRPr="002D533A">
        <w:rPr>
          <w:rFonts w:ascii="Arial" w:hAnsi="Arial" w:cs="Arial"/>
          <w:sz w:val="20"/>
          <w:szCs w:val="20"/>
        </w:rPr>
        <w:t xml:space="preserve">. </w:t>
      </w:r>
      <w:hyperlink r:id="rId10" w:history="1">
        <w:r w:rsidRPr="002D533A">
          <w:rPr>
            <w:rStyle w:val="Hyperlink"/>
            <w:rFonts w:ascii="Arial" w:hAnsi="Arial" w:cs="Arial"/>
            <w:sz w:val="20"/>
            <w:szCs w:val="20"/>
          </w:rPr>
          <w:t>https://gruponutresa.com/</w:t>
        </w:r>
      </w:hyperlink>
    </w:p>
    <w:p w14:paraId="730407DA" w14:textId="77777777" w:rsidR="00BF1527" w:rsidRPr="002D533A" w:rsidRDefault="00BF1527" w:rsidP="00BF1527">
      <w:pPr>
        <w:spacing w:line="276" w:lineRule="auto"/>
        <w:jc w:val="both"/>
        <w:rPr>
          <w:rFonts w:ascii="Arial" w:hAnsi="Arial" w:cs="Arial"/>
          <w:sz w:val="20"/>
          <w:szCs w:val="20"/>
        </w:rPr>
      </w:pPr>
      <w:r w:rsidRPr="002D533A">
        <w:rPr>
          <w:rFonts w:ascii="Arial" w:hAnsi="Arial" w:cs="Arial"/>
          <w:sz w:val="20"/>
          <w:szCs w:val="20"/>
        </w:rPr>
        <w:t xml:space="preserve">Mora García, L. A. (2023). </w:t>
      </w:r>
      <w:r w:rsidRPr="002D533A">
        <w:rPr>
          <w:rFonts w:ascii="Arial" w:hAnsi="Arial" w:cs="Arial"/>
          <w:i/>
          <w:iCs/>
          <w:sz w:val="20"/>
          <w:szCs w:val="20"/>
        </w:rPr>
        <w:t>Gestión logística integral: las mejores prácticas en la cadena de abastecimiento</w:t>
      </w:r>
      <w:r w:rsidRPr="002D533A">
        <w:rPr>
          <w:rFonts w:ascii="Arial" w:hAnsi="Arial" w:cs="Arial"/>
          <w:sz w:val="20"/>
          <w:szCs w:val="20"/>
        </w:rPr>
        <w:t xml:space="preserve"> (3.ª ed.). Ecoe Ediciones. </w:t>
      </w:r>
      <w:hyperlink r:id="rId11" w:history="1">
        <w:r w:rsidRPr="002D533A">
          <w:rPr>
            <w:rStyle w:val="Hyperlink"/>
            <w:rFonts w:ascii="Arial" w:hAnsi="Arial" w:cs="Arial"/>
            <w:sz w:val="20"/>
            <w:szCs w:val="20"/>
          </w:rPr>
          <w:t>https://www.ecoeediciones.com/</w:t>
        </w:r>
      </w:hyperlink>
    </w:p>
    <w:p w14:paraId="73C65E03" w14:textId="7CAE28C2" w:rsidR="00D2769E" w:rsidRDefault="00D2769E" w:rsidP="00BF1527">
      <w:pPr>
        <w:rPr>
          <w:rFonts w:ascii="Arial" w:eastAsia="Arial" w:hAnsi="Arial" w:cs="Arial"/>
          <w:sz w:val="20"/>
          <w:szCs w:val="20"/>
        </w:rPr>
      </w:pPr>
    </w:p>
    <w:sectPr w:rsidR="00D2769E">
      <w:headerReference w:type="default" r:id="rId12"/>
      <w:pgSz w:w="12240" w:h="15840"/>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6E9A40" w14:textId="77777777" w:rsidR="007C2782" w:rsidRDefault="007C2782">
      <w:pPr>
        <w:spacing w:after="0" w:line="240" w:lineRule="auto"/>
      </w:pPr>
      <w:r>
        <w:separator/>
      </w:r>
    </w:p>
  </w:endnote>
  <w:endnote w:type="continuationSeparator" w:id="0">
    <w:p w14:paraId="70BAA6BD" w14:textId="77777777" w:rsidR="007C2782" w:rsidRDefault="007C2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355F7EE6-49B7-A24C-855B-82D492EDB860}"/>
    <w:embedBold r:id="rId2" w:fontKey="{B16A2E60-7E0F-9247-BC00-3F0A74C79A2B}"/>
    <w:embedItalic r:id="rId3" w:fontKey="{6CC85FEE-D04C-4B4C-A525-B00763D1AEA7}"/>
  </w:font>
  <w:font w:name="Times New Roman">
    <w:panose1 w:val="02020603050405020304"/>
    <w:charset w:val="00"/>
    <w:family w:val="roman"/>
    <w:pitch w:val="variable"/>
    <w:sig w:usb0="E0002EFF" w:usb1="C000785B" w:usb2="00000009" w:usb3="00000000" w:csb0="000001FF" w:csb1="00000000"/>
    <w:embedRegular r:id="rId4" w:fontKey="{D46DEB2E-38F2-2B4C-93D5-E4789B9E2797}"/>
  </w:font>
  <w:font w:name="Georgia">
    <w:panose1 w:val="02040502050405020303"/>
    <w:charset w:val="00"/>
    <w:family w:val="roman"/>
    <w:pitch w:val="variable"/>
    <w:sig w:usb0="00000287" w:usb1="00000000" w:usb2="00000000" w:usb3="00000000" w:csb0="0000009F" w:csb1="00000000"/>
    <w:embedItalic r:id="rId5" w:fontKey="{5E490EDE-90D9-144A-BE3B-74933989B4EB}"/>
  </w:font>
  <w:font w:name="Arial">
    <w:panose1 w:val="020B0604020202020204"/>
    <w:charset w:val="00"/>
    <w:family w:val="swiss"/>
    <w:pitch w:val="variable"/>
    <w:sig w:usb0="E0002EFF" w:usb1="C000785B" w:usb2="00000009" w:usb3="00000000" w:csb0="000001FF" w:csb1="00000000"/>
    <w:embedRegular r:id="rId6" w:fontKey="{D8684CFE-C7C9-E043-8773-49A3F469381B}"/>
    <w:embedBold r:id="rId7" w:fontKey="{1AA101A6-BACF-A74F-B550-F8BD53193FC4}"/>
    <w:embedItalic r:id="rId8" w:fontKey="{BAF5626E-3D6B-2348-8FE8-3932D9152D09}"/>
  </w:font>
  <w:font w:name="Cambria">
    <w:panose1 w:val="02040503050406030204"/>
    <w:charset w:val="00"/>
    <w:family w:val="roman"/>
    <w:pitch w:val="variable"/>
    <w:sig w:usb0="E00006FF" w:usb1="420024FF" w:usb2="02000000" w:usb3="00000000" w:csb0="0000019F" w:csb1="00000000"/>
    <w:embedRegular r:id="rId9" w:fontKey="{5FD3FD31-E6CA-B641-97AD-C23D890472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607C3" w14:textId="77777777" w:rsidR="007C2782" w:rsidRDefault="007C2782">
      <w:pPr>
        <w:spacing w:after="0" w:line="240" w:lineRule="auto"/>
      </w:pPr>
      <w:r>
        <w:separator/>
      </w:r>
    </w:p>
  </w:footnote>
  <w:footnote w:type="continuationSeparator" w:id="0">
    <w:p w14:paraId="2CBAB2DB" w14:textId="77777777" w:rsidR="007C2782" w:rsidRDefault="007C2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BC658C" w14:textId="77777777" w:rsidR="00D2769E" w:rsidRDefault="00E149BD">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0ECCD062" wp14:editId="6262E583">
          <wp:simplePos x="0" y="0"/>
          <wp:positionH relativeFrom="column">
            <wp:posOffset>2400300</wp:posOffset>
          </wp:positionH>
          <wp:positionV relativeFrom="paragraph">
            <wp:posOffset>-95884</wp:posOffset>
          </wp:positionV>
          <wp:extent cx="592455" cy="56134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69E"/>
    <w:rsid w:val="001C1427"/>
    <w:rsid w:val="00640CA8"/>
    <w:rsid w:val="00715F62"/>
    <w:rsid w:val="007C2782"/>
    <w:rsid w:val="008B7A2A"/>
    <w:rsid w:val="00BA535D"/>
    <w:rsid w:val="00BF1527"/>
    <w:rsid w:val="00D2769E"/>
    <w:rsid w:val="00E149BD"/>
    <w:rsid w:val="00F90BC8"/>
    <w:rsid w:val="00FC0813"/>
    <w:rsid w:val="00FC101D"/>
    <w:rsid w:val="00FE2A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4D5D"/>
  <w15:docId w15:val="{2B22CA1F-4DEC-47EF-B2DF-2B13C3CA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F90BC8"/>
    <w:rPr>
      <w:color w:val="0000FF" w:themeColor="hyperlink"/>
      <w:u w:val="single"/>
    </w:rPr>
  </w:style>
  <w:style w:type="paragraph" w:customStyle="1" w:styleId="isselectedend">
    <w:name w:val="isselectedend"/>
    <w:basedOn w:val="Normal"/>
    <w:rsid w:val="001C1427"/>
    <w:pPr>
      <w:spacing w:before="100" w:beforeAutospacing="1" w:after="100" w:afterAutospacing="1" w:line="240" w:lineRule="auto"/>
    </w:pPr>
    <w:rPr>
      <w:rFonts w:ascii="Times New Roman" w:eastAsia="Times New Roman" w:hAnsi="Times New Roman" w:cs="Times New Roman"/>
      <w:sz w:val="24"/>
      <w:szCs w:val="24"/>
      <w:lang w:val="en-CO" w:eastAsia="en-US"/>
    </w:rPr>
  </w:style>
  <w:style w:type="paragraph" w:styleId="NormalWeb">
    <w:name w:val="Normal (Web)"/>
    <w:basedOn w:val="Normal"/>
    <w:uiPriority w:val="99"/>
    <w:semiHidden/>
    <w:unhideWhenUsed/>
    <w:rsid w:val="001C1427"/>
    <w:pPr>
      <w:spacing w:before="100" w:beforeAutospacing="1" w:after="100" w:afterAutospacing="1" w:line="240" w:lineRule="auto"/>
    </w:pPr>
    <w:rPr>
      <w:rFonts w:ascii="Times New Roman" w:eastAsia="Times New Roman" w:hAnsi="Times New Roman" w:cs="Times New Roman"/>
      <w:sz w:val="24"/>
      <w:szCs w:val="24"/>
      <w:lang w:val="en-C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oeediciones.com/" TargetMode="External"/><Relationship Id="rId5" Type="http://schemas.openxmlformats.org/officeDocument/2006/relationships/settings" Target="settings.xml"/><Relationship Id="rId10" Type="http://schemas.openxmlformats.org/officeDocument/2006/relationships/hyperlink" Target="https://gruponutresa.com/" TargetMode="External"/><Relationship Id="rId4" Type="http://schemas.openxmlformats.org/officeDocument/2006/relationships/styles" Target="styles.xml"/><Relationship Id="rId9" Type="http://schemas.openxmlformats.org/officeDocument/2006/relationships/hyperlink" Target="https://www.grupoexito.com.co/"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4EADDB-0B05-464C-9FD0-2558DC4963F4}">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83019D42-B7E2-47AD-ABB2-C56B55F80A62}">
  <ds:schemaRefs>
    <ds:schemaRef ds:uri="http://schemas.microsoft.com/sharepoint/v3/contenttype/forms"/>
  </ds:schemaRefs>
</ds:datastoreItem>
</file>

<file path=customXml/itemProps3.xml><?xml version="1.0" encoding="utf-8"?>
<ds:datastoreItem xmlns:ds="http://schemas.openxmlformats.org/officeDocument/2006/customXml" ds:itemID="{6B62F7A8-54F5-496B-B32A-7825E0EAD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1084</Words>
  <Characters>6180</Characters>
  <Application>Microsoft Office Word</Application>
  <DocSecurity>0</DocSecurity>
  <Lines>51</Lines>
  <Paragraphs>14</Paragraphs>
  <ScaleCrop>false</ScaleCrop>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 Antonio Vecino Valero</cp:lastModifiedBy>
  <cp:revision>8</cp:revision>
  <dcterms:created xsi:type="dcterms:W3CDTF">2026-05-29T16:34:00Z</dcterms:created>
  <dcterms:modified xsi:type="dcterms:W3CDTF">2026-09-02T18:49:00Z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2026-09-02T18:49:02Z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db4d9593-d818-4238-9f71-f7d56e7bd4ad</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ies>
</file>