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EFD0" w14:textId="234435B4" w:rsidR="0036019B" w:rsidRPr="0036019B" w:rsidRDefault="0036019B" w:rsidP="0036019B">
      <w:pPr>
        <w:spacing w:after="0" w:line="276" w:lineRule="auto"/>
        <w:jc w:val="both"/>
        <w:rPr>
          <w:rFonts w:ascii="Arial" w:hAnsi="Arial" w:cs="Arial"/>
        </w:rPr>
      </w:pPr>
    </w:p>
    <w:p w14:paraId="4F24FFD0" w14:textId="2FD02F2E" w:rsidR="0036019B" w:rsidRPr="0036019B" w:rsidRDefault="0036019B" w:rsidP="0036019B">
      <w:pPr>
        <w:spacing w:after="0" w:line="276" w:lineRule="auto"/>
        <w:jc w:val="center"/>
        <w:rPr>
          <w:rFonts w:ascii="Arial" w:hAnsi="Arial" w:cs="Arial"/>
          <w:b/>
          <w:bCs/>
        </w:rPr>
      </w:pPr>
      <w:r w:rsidRPr="0036019B">
        <w:rPr>
          <w:rFonts w:ascii="Arial" w:hAnsi="Arial" w:cs="Arial"/>
          <w:b/>
          <w:bCs/>
        </w:rPr>
        <w:t>LA GESTIÓN DE LA INFORMACIÓN PARA TOMAR DECISIONES</w:t>
      </w:r>
    </w:p>
    <w:p w14:paraId="7651E6D7" w14:textId="77777777" w:rsidR="0036019B" w:rsidRPr="0036019B" w:rsidRDefault="0036019B" w:rsidP="0036019B">
      <w:pPr>
        <w:spacing w:after="0" w:line="276" w:lineRule="auto"/>
        <w:jc w:val="both"/>
        <w:rPr>
          <w:rFonts w:ascii="Arial" w:hAnsi="Arial" w:cs="Arial"/>
          <w:b/>
          <w:bCs/>
        </w:rPr>
      </w:pPr>
    </w:p>
    <w:p w14:paraId="5BCBB85F" w14:textId="77777777" w:rsidR="0036019B" w:rsidRPr="0036019B" w:rsidRDefault="0036019B" w:rsidP="0036019B">
      <w:pPr>
        <w:spacing w:after="0" w:line="276" w:lineRule="auto"/>
        <w:jc w:val="both"/>
        <w:rPr>
          <w:rFonts w:ascii="Arial" w:hAnsi="Arial" w:cs="Arial"/>
        </w:rPr>
      </w:pPr>
      <w:r w:rsidRPr="0036019B">
        <w:rPr>
          <w:rFonts w:ascii="Arial" w:hAnsi="Arial" w:cs="Arial"/>
        </w:rPr>
        <w:t>La gestión de la información en las organizaciones modernas ha trascendido su función operativa para convertirse en el núcleo de la estrategia corporativa. Este fenómeno se fundamenta en la capacidad de las empresas para identificar y explotar diversas **fuentes de información**, las cuales se dividen en un espectro que va desde lo interno hasta lo externo. Las fuentes internas, como los registros de ventas, costos de producción y niveles de inventario, proporcionan una radiografía de la eficiencia operativa. No obstante, estas deben ser contrastadas con fuentes externas —indicadores macroeconómicos, movimientos de la competencia y cambios en la legislación comercial— para evitar el sesgo de introspección. La validez de una decisión estratégica depende, por tanto, de una triangulación efectiva entre estos datos, permitiendo que la organización no solo entienda su estado actual, sino que pueda predecir su posición futura en un mercado globalizado.</w:t>
      </w:r>
    </w:p>
    <w:p w14:paraId="316CFA31" w14:textId="77777777" w:rsidR="0036019B" w:rsidRPr="0036019B" w:rsidRDefault="0036019B" w:rsidP="0036019B">
      <w:pPr>
        <w:spacing w:after="0" w:line="276" w:lineRule="auto"/>
        <w:jc w:val="both"/>
        <w:rPr>
          <w:rFonts w:ascii="Arial" w:hAnsi="Arial" w:cs="Arial"/>
        </w:rPr>
      </w:pPr>
    </w:p>
    <w:p w14:paraId="3CC6EFEF" w14:textId="77777777" w:rsidR="0036019B" w:rsidRPr="0036019B" w:rsidRDefault="0036019B" w:rsidP="0036019B">
      <w:pPr>
        <w:spacing w:after="0" w:line="276" w:lineRule="auto"/>
        <w:jc w:val="both"/>
        <w:rPr>
          <w:rFonts w:ascii="Arial" w:hAnsi="Arial" w:cs="Arial"/>
        </w:rPr>
      </w:pPr>
      <w:r w:rsidRPr="0036019B">
        <w:rPr>
          <w:rFonts w:ascii="Arial" w:hAnsi="Arial" w:cs="Arial"/>
        </w:rPr>
        <w:t>La recolección de estos insumos requiere el despliegue de **técnicas de captura** que sean tanto rigurosas como adaptables. Mientras que las técnicas cuantitativas, como las encuestas a gran escala y el análisis de tráfico web, permiten establecer patrones estadísticos y generalizaciones sobre el comportamiento del consumidor, las técnicas cualitativas, como los grupos focales o las entrevistas en profundidad, revelan los motivadores psicológicos detrás de dichas cifras. En el contexto de la Industria 4.0, la captura de datos se ha automatizado mediante el Internet de las Cosas (</w:t>
      </w:r>
      <w:proofErr w:type="spellStart"/>
      <w:r w:rsidRPr="0036019B">
        <w:rPr>
          <w:rFonts w:ascii="Arial" w:hAnsi="Arial" w:cs="Arial"/>
        </w:rPr>
        <w:t>IoT</w:t>
      </w:r>
      <w:proofErr w:type="spellEnd"/>
      <w:r w:rsidRPr="0036019B">
        <w:rPr>
          <w:rFonts w:ascii="Arial" w:hAnsi="Arial" w:cs="Arial"/>
        </w:rPr>
        <w:t xml:space="preserve">) y el raspado de datos (*web </w:t>
      </w:r>
      <w:proofErr w:type="spellStart"/>
      <w:r w:rsidRPr="0036019B">
        <w:rPr>
          <w:rFonts w:ascii="Arial" w:hAnsi="Arial" w:cs="Arial"/>
          <w:i/>
          <w:iCs/>
        </w:rPr>
        <w:t>scraping</w:t>
      </w:r>
      <w:proofErr w:type="spellEnd"/>
      <w:r w:rsidRPr="0036019B">
        <w:rPr>
          <w:rFonts w:ascii="Arial" w:hAnsi="Arial" w:cs="Arial"/>
        </w:rPr>
        <w:t>*), lo que permite una afluencia constante de información. Sin embargo, el desafío contemporáneo no es la escasez de datos, sino la capacidad de filtrar el "ruido" informativo para asegurar que solo los datos de alta fidelidad lleguen a las etapas de procesamiento, garantizando así la integridad del análisis posterior.</w:t>
      </w:r>
    </w:p>
    <w:p w14:paraId="36EF7E43" w14:textId="77777777" w:rsidR="0036019B" w:rsidRPr="0036019B" w:rsidRDefault="0036019B" w:rsidP="0036019B">
      <w:pPr>
        <w:spacing w:after="0" w:line="276" w:lineRule="auto"/>
        <w:jc w:val="both"/>
        <w:rPr>
          <w:rFonts w:ascii="Arial" w:hAnsi="Arial" w:cs="Arial"/>
        </w:rPr>
      </w:pPr>
    </w:p>
    <w:p w14:paraId="1CCBB366" w14:textId="19A4DF92" w:rsidR="0036019B" w:rsidRPr="0036019B" w:rsidRDefault="0036019B" w:rsidP="0036019B">
      <w:pPr>
        <w:spacing w:after="0" w:line="276" w:lineRule="auto"/>
        <w:jc w:val="both"/>
        <w:rPr>
          <w:rFonts w:ascii="Arial" w:hAnsi="Arial" w:cs="Arial"/>
        </w:rPr>
      </w:pPr>
      <w:r w:rsidRPr="0036019B">
        <w:rPr>
          <w:rFonts w:ascii="Arial" w:hAnsi="Arial" w:cs="Arial"/>
        </w:rPr>
        <w:t xml:space="preserve">Para gestionar este volumen masivo de información, es indispensable la implementación de **aplicativos de gestión** robustos. Estas herramientas tecnológicas, que incluyen desde complejos ERP (Enterprise </w:t>
      </w:r>
      <w:proofErr w:type="spellStart"/>
      <w:r w:rsidRPr="0036019B">
        <w:rPr>
          <w:rFonts w:ascii="Arial" w:hAnsi="Arial" w:cs="Arial"/>
        </w:rPr>
        <w:t>resource</w:t>
      </w:r>
      <w:proofErr w:type="spellEnd"/>
      <w:r w:rsidRPr="0036019B">
        <w:rPr>
          <w:rFonts w:ascii="Arial" w:hAnsi="Arial" w:cs="Arial"/>
        </w:rPr>
        <w:t xml:space="preserve"> </w:t>
      </w:r>
      <w:proofErr w:type="spellStart"/>
      <w:r w:rsidRPr="0036019B">
        <w:rPr>
          <w:rFonts w:ascii="Arial" w:hAnsi="Arial" w:cs="Arial"/>
        </w:rPr>
        <w:t>planning</w:t>
      </w:r>
      <w:proofErr w:type="spellEnd"/>
      <w:r w:rsidRPr="0036019B">
        <w:rPr>
          <w:rFonts w:ascii="Arial" w:hAnsi="Arial" w:cs="Arial"/>
        </w:rPr>
        <w:t xml:space="preserve">) hasta avanzados sistemas de </w:t>
      </w:r>
      <w:r w:rsidR="00D04EB3" w:rsidRPr="00D04EB3">
        <w:rPr>
          <w:rFonts w:ascii="Arial" w:hAnsi="Arial" w:cs="Arial"/>
          <w:i/>
          <w:iCs/>
        </w:rPr>
        <w:t xml:space="preserve">Business </w:t>
      </w:r>
      <w:proofErr w:type="spellStart"/>
      <w:r w:rsidR="00D04EB3" w:rsidRPr="00D04EB3">
        <w:rPr>
          <w:rFonts w:ascii="Arial" w:hAnsi="Arial" w:cs="Arial"/>
          <w:i/>
          <w:iCs/>
        </w:rPr>
        <w:t>Intelligence</w:t>
      </w:r>
      <w:proofErr w:type="spellEnd"/>
      <w:r w:rsidR="00D04EB3" w:rsidRPr="0036019B">
        <w:rPr>
          <w:rFonts w:ascii="Arial" w:hAnsi="Arial" w:cs="Arial"/>
        </w:rPr>
        <w:t xml:space="preserve"> </w:t>
      </w:r>
      <w:r w:rsidRPr="0036019B">
        <w:rPr>
          <w:rFonts w:ascii="Arial" w:hAnsi="Arial" w:cs="Arial"/>
        </w:rPr>
        <w:t>(BI), actúan como el repositorio central de la memoria organizacional. Un aplicativo de gestión eficiente no se limita al almacenamiento; su valor reside en la interoperabilidad, es decir, su capacidad para conectar el departamento de logística con el de finanzas y ventas en una sola interfaz. Esta integración permite que la información fluya sin interrupciones, eliminando los errores de duplicidad y facilitando una "versión única de la verdad". En este sentido, la tecnología se convierte en un habilitador de la transparencia y la agilidad, permitiendo que la alta gerencia responda a las crisis o las oportunidades del mercado en tiempos casi reales.</w:t>
      </w:r>
    </w:p>
    <w:p w14:paraId="4DAE087A" w14:textId="77777777" w:rsidR="0036019B" w:rsidRPr="0036019B" w:rsidRDefault="0036019B" w:rsidP="0036019B">
      <w:pPr>
        <w:spacing w:after="0" w:line="276" w:lineRule="auto"/>
        <w:jc w:val="both"/>
        <w:rPr>
          <w:rFonts w:ascii="Arial" w:hAnsi="Arial" w:cs="Arial"/>
        </w:rPr>
      </w:pPr>
    </w:p>
    <w:p w14:paraId="2888018B" w14:textId="1BC98FBD" w:rsidR="0036019B" w:rsidRPr="0036019B" w:rsidRDefault="0036019B" w:rsidP="0036019B">
      <w:pPr>
        <w:spacing w:after="0" w:line="276" w:lineRule="auto"/>
        <w:jc w:val="both"/>
        <w:rPr>
          <w:rFonts w:ascii="Arial" w:hAnsi="Arial" w:cs="Arial"/>
        </w:rPr>
      </w:pPr>
      <w:r w:rsidRPr="0036019B">
        <w:rPr>
          <w:rFonts w:ascii="Arial" w:hAnsi="Arial" w:cs="Arial"/>
        </w:rPr>
        <w:t>Finalmente, el **procesamiento de la información** representa la etapa de mayor valor agregado, donde se realiza la transición de la gestión administrativa a la inteligencia estratégica. Mediante el uso de herramientas de minería de datos (</w:t>
      </w:r>
      <w:r w:rsidRPr="00D04EB3">
        <w:rPr>
          <w:rFonts w:ascii="Arial" w:hAnsi="Arial" w:cs="Arial"/>
          <w:i/>
          <w:iCs/>
        </w:rPr>
        <w:t xml:space="preserve">data </w:t>
      </w:r>
      <w:proofErr w:type="spellStart"/>
      <w:r w:rsidRPr="00D04EB3">
        <w:rPr>
          <w:rFonts w:ascii="Arial" w:hAnsi="Arial" w:cs="Arial"/>
          <w:i/>
          <w:iCs/>
        </w:rPr>
        <w:t>mining</w:t>
      </w:r>
      <w:proofErr w:type="spellEnd"/>
      <w:r w:rsidRPr="0036019B">
        <w:rPr>
          <w:rFonts w:ascii="Arial" w:hAnsi="Arial" w:cs="Arial"/>
        </w:rPr>
        <w:t xml:space="preserve">) y análisis </w:t>
      </w:r>
      <w:r w:rsidRPr="0036019B">
        <w:rPr>
          <w:rFonts w:ascii="Arial" w:hAnsi="Arial" w:cs="Arial"/>
        </w:rPr>
        <w:lastRenderedPageBreak/>
        <w:t>predictivo, los aplicativos transforman los registros aislados en indicadores de gestión (KPI) y modelos de simulación. Este procesamiento permite identificar correlaciones ocultas, como la relación entre variables climáticas y la demanda de ciertos productos, o la detección temprana de la deserción de clientes. Al final del ciclo, la información procesada se presenta en cuadros de mando (*</w:t>
      </w:r>
      <w:proofErr w:type="spellStart"/>
      <w:r w:rsidRPr="0036019B">
        <w:rPr>
          <w:rFonts w:ascii="Arial" w:hAnsi="Arial" w:cs="Arial"/>
        </w:rPr>
        <w:t>dashboards</w:t>
      </w:r>
      <w:proofErr w:type="spellEnd"/>
      <w:r w:rsidRPr="0036019B">
        <w:rPr>
          <w:rFonts w:ascii="Arial" w:hAnsi="Arial" w:cs="Arial"/>
        </w:rPr>
        <w:t>*) que simplifican la complejidad de los datos en visualizaciones comprensibles para los tomadores de decisiones. En conclusión, la ventaja competitiva de una empresa no reside en la cantidad de datos que posee, sino en la sofisticación de su sistema para capturarlos, integrarlos y traducirlos en acciones que generen valor económico y social.</w:t>
      </w:r>
    </w:p>
    <w:p w14:paraId="04B00771" w14:textId="77777777" w:rsidR="0036019B" w:rsidRPr="0036019B" w:rsidRDefault="0036019B" w:rsidP="0036019B">
      <w:pPr>
        <w:spacing w:after="0" w:line="276" w:lineRule="auto"/>
        <w:jc w:val="both"/>
        <w:rPr>
          <w:rFonts w:ascii="Arial" w:hAnsi="Arial" w:cs="Arial"/>
        </w:rPr>
      </w:pPr>
    </w:p>
    <w:p w14:paraId="04CBEE75" w14:textId="7E759376" w:rsidR="0036019B" w:rsidRPr="0036019B" w:rsidRDefault="0036019B" w:rsidP="0036019B">
      <w:pPr>
        <w:spacing w:after="0" w:line="276" w:lineRule="auto"/>
        <w:jc w:val="both"/>
        <w:rPr>
          <w:rFonts w:ascii="Arial" w:hAnsi="Arial" w:cs="Arial"/>
          <w:b/>
          <w:bCs/>
        </w:rPr>
      </w:pPr>
      <w:r w:rsidRPr="0036019B">
        <w:rPr>
          <w:rFonts w:ascii="Arial" w:hAnsi="Arial" w:cs="Arial"/>
          <w:b/>
          <w:bCs/>
        </w:rPr>
        <w:t>Referencias Bibliográficas</w:t>
      </w:r>
    </w:p>
    <w:p w14:paraId="1E87C490" w14:textId="77777777" w:rsidR="0036019B" w:rsidRPr="0036019B" w:rsidRDefault="0036019B" w:rsidP="0036019B">
      <w:pPr>
        <w:spacing w:after="0" w:line="276" w:lineRule="auto"/>
        <w:ind w:left="1066" w:hanging="709"/>
        <w:jc w:val="both"/>
        <w:rPr>
          <w:rFonts w:ascii="Arial" w:hAnsi="Arial" w:cs="Arial"/>
        </w:rPr>
      </w:pPr>
      <w:r w:rsidRPr="0036019B">
        <w:rPr>
          <w:rFonts w:ascii="Arial" w:hAnsi="Arial" w:cs="Arial"/>
        </w:rPr>
        <w:t xml:space="preserve">Bernal, C. A. (2020). </w:t>
      </w:r>
      <w:r w:rsidRPr="0036019B">
        <w:rPr>
          <w:rFonts w:ascii="Arial" w:hAnsi="Arial" w:cs="Arial"/>
          <w:i/>
          <w:iCs/>
        </w:rPr>
        <w:t>Metodología de la investigación: administración, economía, humanidades y ciencias sociales</w:t>
      </w:r>
      <w:r w:rsidRPr="0036019B">
        <w:rPr>
          <w:rFonts w:ascii="Arial" w:hAnsi="Arial" w:cs="Arial"/>
        </w:rPr>
        <w:t>. Pearson Educación.</w:t>
      </w:r>
    </w:p>
    <w:p w14:paraId="598C9BC8" w14:textId="77777777" w:rsidR="0036019B" w:rsidRPr="0036019B" w:rsidRDefault="0036019B" w:rsidP="0036019B">
      <w:pPr>
        <w:spacing w:after="0" w:line="276" w:lineRule="auto"/>
        <w:ind w:left="1066" w:hanging="709"/>
        <w:jc w:val="both"/>
        <w:rPr>
          <w:rFonts w:ascii="Arial" w:hAnsi="Arial" w:cs="Arial"/>
        </w:rPr>
      </w:pPr>
      <w:r w:rsidRPr="0036019B">
        <w:rPr>
          <w:rFonts w:ascii="Arial" w:hAnsi="Arial" w:cs="Arial"/>
        </w:rPr>
        <w:t xml:space="preserve">Chiavenato, I. (2021). </w:t>
      </w:r>
      <w:r w:rsidRPr="0036019B">
        <w:rPr>
          <w:rFonts w:ascii="Arial" w:hAnsi="Arial" w:cs="Arial"/>
          <w:i/>
          <w:iCs/>
        </w:rPr>
        <w:t>Introducción a la teoría general de la administración</w:t>
      </w:r>
      <w:r w:rsidRPr="0036019B">
        <w:rPr>
          <w:rFonts w:ascii="Arial" w:hAnsi="Arial" w:cs="Arial"/>
        </w:rPr>
        <w:t>. McGraw-Hill Interamericana.</w:t>
      </w:r>
    </w:p>
    <w:p w14:paraId="02412ED6" w14:textId="77777777" w:rsidR="0036019B" w:rsidRPr="0036019B" w:rsidRDefault="0036019B" w:rsidP="0036019B">
      <w:pPr>
        <w:spacing w:after="0" w:line="276" w:lineRule="auto"/>
        <w:ind w:left="1066" w:hanging="709"/>
        <w:jc w:val="both"/>
        <w:rPr>
          <w:rFonts w:ascii="Arial" w:hAnsi="Arial" w:cs="Arial"/>
        </w:rPr>
      </w:pPr>
      <w:r w:rsidRPr="0036019B">
        <w:rPr>
          <w:rFonts w:ascii="Arial" w:hAnsi="Arial" w:cs="Arial"/>
        </w:rPr>
        <w:t xml:space="preserve">Laudon, K. C., &amp; Laudon, J. P. (2022). </w:t>
      </w:r>
      <w:r w:rsidRPr="0036019B">
        <w:rPr>
          <w:rFonts w:ascii="Arial" w:hAnsi="Arial" w:cs="Arial"/>
          <w:i/>
          <w:iCs/>
        </w:rPr>
        <w:t>Sistemas de información gerencial</w:t>
      </w:r>
      <w:r w:rsidRPr="0036019B">
        <w:rPr>
          <w:rFonts w:ascii="Arial" w:hAnsi="Arial" w:cs="Arial"/>
        </w:rPr>
        <w:t>. Pearson.</w:t>
      </w:r>
    </w:p>
    <w:p w14:paraId="19AE7FCB" w14:textId="77777777" w:rsidR="0036019B" w:rsidRPr="0036019B" w:rsidRDefault="0036019B" w:rsidP="0036019B">
      <w:pPr>
        <w:spacing w:after="0" w:line="276" w:lineRule="auto"/>
        <w:ind w:left="1066" w:hanging="709"/>
        <w:jc w:val="both"/>
        <w:rPr>
          <w:rFonts w:ascii="Arial" w:hAnsi="Arial" w:cs="Arial"/>
        </w:rPr>
      </w:pPr>
      <w:r w:rsidRPr="0036019B">
        <w:rPr>
          <w:rFonts w:ascii="Arial" w:hAnsi="Arial" w:cs="Arial"/>
        </w:rPr>
        <w:t xml:space="preserve">Stair, R. M., &amp; Reynolds, G. W. (2019). </w:t>
      </w:r>
      <w:r w:rsidRPr="0036019B">
        <w:rPr>
          <w:rFonts w:ascii="Arial" w:hAnsi="Arial" w:cs="Arial"/>
          <w:i/>
          <w:iCs/>
        </w:rPr>
        <w:t>Principios de sistemas de información</w:t>
      </w:r>
      <w:r w:rsidRPr="0036019B">
        <w:rPr>
          <w:rFonts w:ascii="Arial" w:hAnsi="Arial" w:cs="Arial"/>
        </w:rPr>
        <w:t xml:space="preserve">. Cengage </w:t>
      </w:r>
      <w:proofErr w:type="spellStart"/>
      <w:r w:rsidRPr="0036019B">
        <w:rPr>
          <w:rFonts w:ascii="Arial" w:hAnsi="Arial" w:cs="Arial"/>
        </w:rPr>
        <w:t>Learning</w:t>
      </w:r>
      <w:proofErr w:type="spellEnd"/>
      <w:r w:rsidRPr="0036019B">
        <w:rPr>
          <w:rFonts w:ascii="Arial" w:hAnsi="Arial" w:cs="Arial"/>
        </w:rPr>
        <w:t>.</w:t>
      </w:r>
    </w:p>
    <w:p w14:paraId="5CD512B1" w14:textId="3FC35D09" w:rsidR="000F1048" w:rsidRPr="0036019B" w:rsidRDefault="0036019B" w:rsidP="0036019B">
      <w:pPr>
        <w:spacing w:after="0" w:line="276" w:lineRule="auto"/>
        <w:ind w:left="1066" w:hanging="709"/>
        <w:jc w:val="both"/>
        <w:rPr>
          <w:rFonts w:ascii="Arial" w:hAnsi="Arial" w:cs="Arial"/>
        </w:rPr>
      </w:pPr>
      <w:r w:rsidRPr="0036019B">
        <w:rPr>
          <w:rFonts w:ascii="Arial" w:hAnsi="Arial" w:cs="Arial"/>
        </w:rPr>
        <w:t xml:space="preserve">Porter, M. E. (2020). </w:t>
      </w:r>
      <w:r w:rsidRPr="0036019B">
        <w:rPr>
          <w:rFonts w:ascii="Arial" w:hAnsi="Arial" w:cs="Arial"/>
          <w:i/>
          <w:iCs/>
        </w:rPr>
        <w:t>Ventaja competitiva: Creación y sostenimiento de un desempeño superior</w:t>
      </w:r>
      <w:r w:rsidRPr="0036019B">
        <w:rPr>
          <w:rFonts w:ascii="Arial" w:hAnsi="Arial" w:cs="Arial"/>
        </w:rPr>
        <w:t>. Grupo Editorial Patria.</w:t>
      </w:r>
    </w:p>
    <w:sectPr w:rsidR="000F1048" w:rsidRPr="0036019B" w:rsidSect="004903EB">
      <w:headerReference w:type="default" r:id="rId10"/>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042C4" w14:textId="77777777" w:rsidR="00DC6D63" w:rsidRDefault="00DC6D63" w:rsidP="004903EB">
      <w:pPr>
        <w:spacing w:after="0" w:line="240" w:lineRule="auto"/>
      </w:pPr>
      <w:r>
        <w:separator/>
      </w:r>
    </w:p>
  </w:endnote>
  <w:endnote w:type="continuationSeparator" w:id="0">
    <w:p w14:paraId="50A1411C" w14:textId="77777777" w:rsidR="00DC6D63" w:rsidRDefault="00DC6D63"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4E093" w14:textId="77777777" w:rsidR="00DC6D63" w:rsidRDefault="00DC6D63" w:rsidP="004903EB">
      <w:pPr>
        <w:spacing w:after="0" w:line="240" w:lineRule="auto"/>
      </w:pPr>
      <w:r>
        <w:separator/>
      </w:r>
    </w:p>
  </w:footnote>
  <w:footnote w:type="continuationSeparator" w:id="0">
    <w:p w14:paraId="6360D732" w14:textId="77777777" w:rsidR="00DC6D63" w:rsidRDefault="00DC6D63"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73A12"/>
    <w:rsid w:val="000F1048"/>
    <w:rsid w:val="000F36A8"/>
    <w:rsid w:val="00156202"/>
    <w:rsid w:val="001846C6"/>
    <w:rsid w:val="002936D9"/>
    <w:rsid w:val="002D43B6"/>
    <w:rsid w:val="0036019B"/>
    <w:rsid w:val="00487569"/>
    <w:rsid w:val="004903EB"/>
    <w:rsid w:val="007D58D5"/>
    <w:rsid w:val="00B41E63"/>
    <w:rsid w:val="00B52BAB"/>
    <w:rsid w:val="00BF5C09"/>
    <w:rsid w:val="00CD1E1C"/>
    <w:rsid w:val="00D04EB3"/>
    <w:rsid w:val="00DC6D63"/>
    <w:rsid w:val="00F34DF1"/>
    <w:rsid w:val="00F363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228BFD-B753-4DAE-9C29-9123D608BBC1}"/>
</file>

<file path=customXml/itemProps2.xml><?xml version="1.0" encoding="utf-8"?>
<ds:datastoreItem xmlns:ds="http://schemas.openxmlformats.org/officeDocument/2006/customXml" ds:itemID="{B401597B-32B6-4DC4-A12C-7B74326D591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383079E9-81A7-4BC4-9509-930C9C6090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688</Words>
  <Characters>3785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Miguel De Jesus Paredes Maestre</cp:lastModifiedBy>
  <cp:revision>4</cp:revision>
  <dcterms:created xsi:type="dcterms:W3CDTF">2026-04-18T11:08:00Z</dcterms:created>
  <dcterms:modified xsi:type="dcterms:W3CDTF">2026-05-06T16:12:00Z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2026-05-06T16:12:06Z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469d87ab-bb54-4242-8b45-52f59cd1ef55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y fmtid="{D5CDD505-2E9C-101B-9397-08002B2CF9AE}" pid="12" name="Order">
    <vt:r8>86112700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