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3768A" w14:textId="77777777" w:rsidR="003B6802" w:rsidRDefault="003B6802" w:rsidP="003B6802">
      <w:pPr>
        <w:jc w:val="center"/>
        <w:rPr>
          <w:rFonts w:ascii="Arial" w:hAnsi="Arial" w:cs="Arial"/>
          <w:b/>
          <w:bCs/>
        </w:rPr>
      </w:pPr>
    </w:p>
    <w:p w14:paraId="5FAF9710" w14:textId="77777777" w:rsidR="003B6802" w:rsidRDefault="003B6802" w:rsidP="003B6802">
      <w:pPr>
        <w:jc w:val="center"/>
        <w:rPr>
          <w:rFonts w:ascii="Arial" w:hAnsi="Arial" w:cs="Arial"/>
          <w:b/>
          <w:bCs/>
        </w:rPr>
      </w:pPr>
    </w:p>
    <w:p w14:paraId="202C6697" w14:textId="19E7763C" w:rsidR="003B6802" w:rsidRDefault="003B6802" w:rsidP="003B6802">
      <w:pPr>
        <w:jc w:val="center"/>
        <w:rPr>
          <w:rFonts w:ascii="Arial" w:hAnsi="Arial" w:cs="Arial"/>
          <w:b/>
          <w:bCs/>
        </w:rPr>
      </w:pPr>
      <w:r w:rsidRPr="003B6802">
        <w:rPr>
          <w:rFonts w:ascii="Arial" w:hAnsi="Arial" w:cs="Arial"/>
          <w:b/>
          <w:bCs/>
        </w:rPr>
        <w:t>EL PODER DEL ANÁLISIS ESTRATÉ</w:t>
      </w:r>
      <w:r>
        <w:rPr>
          <w:rFonts w:ascii="Arial" w:hAnsi="Arial" w:cs="Arial"/>
          <w:b/>
          <w:bCs/>
        </w:rPr>
        <w:t>GICO</w:t>
      </w:r>
    </w:p>
    <w:p w14:paraId="31D7F1E3" w14:textId="607FC16D" w:rsidR="003B6802" w:rsidRPr="003B6802" w:rsidRDefault="003B6802" w:rsidP="003B6802">
      <w:pPr>
        <w:jc w:val="both"/>
        <w:rPr>
          <w:rFonts w:ascii="Arial" w:hAnsi="Arial" w:cs="Arial"/>
        </w:rPr>
      </w:pPr>
      <w:r w:rsidRPr="003B6802">
        <w:rPr>
          <w:rFonts w:ascii="Arial" w:hAnsi="Arial" w:cs="Arial"/>
        </w:rPr>
        <w:t>En el contexto de economías dinámicas y altamente competitivas, las organizaciones enfrentan la necesidad permanente de interpretar su entorno y adaptar sus decisiones a condiciones cambiantes. En este escenario, el análisis estratégico se configura como un proceso sistemático orientado a la comprensión integral de los factores internos y externos que inciden en el desempeño organizacional. Su finalidad no se limita a la descripción de la realidad empresarial, sino que busca fundamentar la formulación de estrategias que permitan sostener y desarrollar ventajas competitivas en el tiempo.</w:t>
      </w:r>
    </w:p>
    <w:p w14:paraId="44675460" w14:textId="77777777" w:rsidR="003B6802" w:rsidRPr="003B6802" w:rsidRDefault="003B6802" w:rsidP="003B6802">
      <w:pPr>
        <w:jc w:val="both"/>
        <w:rPr>
          <w:rFonts w:ascii="Arial" w:hAnsi="Arial" w:cs="Arial"/>
        </w:rPr>
      </w:pPr>
      <w:r w:rsidRPr="003B6802">
        <w:rPr>
          <w:rFonts w:ascii="Arial" w:hAnsi="Arial" w:cs="Arial"/>
        </w:rPr>
        <w:t xml:space="preserve">El análisis estratégico implica la articulación de dos dimensiones fundamentales: el entorno interno de la organización y el entorno externo en el cual esta </w:t>
      </w:r>
      <w:proofErr w:type="spellStart"/>
      <w:r w:rsidRPr="003B6802">
        <w:rPr>
          <w:rFonts w:ascii="Arial" w:hAnsi="Arial" w:cs="Arial"/>
        </w:rPr>
        <w:t>opera</w:t>
      </w:r>
      <w:proofErr w:type="spellEnd"/>
      <w:r w:rsidRPr="003B6802">
        <w:rPr>
          <w:rFonts w:ascii="Arial" w:hAnsi="Arial" w:cs="Arial"/>
        </w:rPr>
        <w:t>. En la dimensión interna se examinan los recursos, capacidades, procesos y competencias distintivas que configuran la estructura organizacional. Este análisis permite identificar fortalezas que pueden ser potenciadas, así como debilidades que requieren intervención. Por su parte, la dimensión externa comprende el estudio de variables como el comportamiento del mercado, la dinámica competitiva, los cambios tecnológicos, las condiciones económicas y los marcos regulatorios. La interacción entre ambas dimensiones determina la posición estratégica de la organización.</w:t>
      </w:r>
    </w:p>
    <w:p w14:paraId="4B1CC895" w14:textId="77777777" w:rsidR="003B6802" w:rsidRPr="003B6802" w:rsidRDefault="003B6802" w:rsidP="003B6802">
      <w:pPr>
        <w:jc w:val="both"/>
        <w:rPr>
          <w:rFonts w:ascii="Arial" w:hAnsi="Arial" w:cs="Arial"/>
        </w:rPr>
      </w:pPr>
      <w:r w:rsidRPr="003B6802">
        <w:rPr>
          <w:rFonts w:ascii="Arial" w:hAnsi="Arial" w:cs="Arial"/>
        </w:rPr>
        <w:t>Dentro de las herramientas metodológicas utilizadas para estructurar este análisis, la matriz DOFA (Debilidades, Oportunidades, Fortalezas y Amenazas) constituye un instrumento ampliamente reconocido por su capacidad de integrar información y facilitar la toma de decisiones. Esta herramienta permite clasificar los factores internos (fortalezas y debilidades) y externos (oportunidades y amenazas), generando una visión sintética de la situación estratégica de la organización. No obstante, su valor no reside únicamente en la identificación de dichos factores, sino en la posibilidad de establecer relaciones entre ellos para formular estrategias coherentes.</w:t>
      </w:r>
    </w:p>
    <w:p w14:paraId="2A47D093" w14:textId="77777777" w:rsidR="003B6802" w:rsidRPr="003B6802" w:rsidRDefault="003B6802" w:rsidP="003B6802">
      <w:pPr>
        <w:jc w:val="both"/>
        <w:rPr>
          <w:rFonts w:ascii="Arial" w:hAnsi="Arial" w:cs="Arial"/>
        </w:rPr>
      </w:pPr>
      <w:r w:rsidRPr="003B6802">
        <w:rPr>
          <w:rFonts w:ascii="Arial" w:hAnsi="Arial" w:cs="Arial"/>
        </w:rPr>
        <w:t>Desde una perspectiva estratégica, el cruce de variables dentro de la matriz DOFA permite la construcción de diferentes tipos de estrategias. Las estrategias ofensivas se derivan de la combinación de fortalezas y oportunidades, orientadas a aprovechar condiciones favorables del entorno. Las estrategias adaptativas surgen al vincular debilidades con oportunidades, buscando superar limitaciones internas para acceder a nuevos escenarios. Las estrategias defensivas responden a la interacción entre fortalezas y amenazas, con el propósito de proteger la posición competitiva frente a riesgos externos. Finalmente, las estrategias de supervivencia emergen de la relación entre debilidades y amenazas, enfocándose en la mitigación de riesgos críticos que puedan comprometer la continuidad organizacional.</w:t>
      </w:r>
    </w:p>
    <w:p w14:paraId="20196614" w14:textId="77777777" w:rsidR="003B6802" w:rsidRPr="003B6802" w:rsidRDefault="003B6802" w:rsidP="003B6802">
      <w:pPr>
        <w:jc w:val="both"/>
        <w:rPr>
          <w:rFonts w:ascii="Arial" w:hAnsi="Arial" w:cs="Arial"/>
        </w:rPr>
      </w:pPr>
      <w:r w:rsidRPr="003B6802">
        <w:rPr>
          <w:rFonts w:ascii="Arial" w:hAnsi="Arial" w:cs="Arial"/>
        </w:rPr>
        <w:t xml:space="preserve">En el marco de la transformación digital y la disponibilidad de grandes volúmenes de información, el análisis estratégico ha incorporado herramientas tecnológicas que permiten una mayor precisión en la identificación de patrones y tendencias. Sin embargo, la sofisticación tecnológica no sustituye la capacidad analítica del decisor. La interpretación </w:t>
      </w:r>
      <w:r w:rsidRPr="003B6802">
        <w:rPr>
          <w:rFonts w:ascii="Arial" w:hAnsi="Arial" w:cs="Arial"/>
        </w:rPr>
        <w:lastRenderedPageBreak/>
        <w:t>de la información, el juicio estratégico y la coherencia en la formulación de acciones continúan siendo elementos determinantes en la efectividad del análisis.</w:t>
      </w:r>
    </w:p>
    <w:p w14:paraId="096DDC78" w14:textId="77777777" w:rsidR="003B6802" w:rsidRPr="003B6802" w:rsidRDefault="003B6802" w:rsidP="003B6802">
      <w:pPr>
        <w:jc w:val="both"/>
        <w:rPr>
          <w:rFonts w:ascii="Arial" w:hAnsi="Arial" w:cs="Arial"/>
        </w:rPr>
      </w:pPr>
      <w:r w:rsidRPr="003B6802">
        <w:rPr>
          <w:rFonts w:ascii="Arial" w:hAnsi="Arial" w:cs="Arial"/>
        </w:rPr>
        <w:t>Adicionalmente, es importante considerar que el análisis estratégico no constituye un ejercicio estático, sino un proceso dinámico que debe actualizarse de manera continua. Las condiciones del entorno cambian con rapidez, por lo que las organizaciones requieren sistemas de monitoreo que les permitan ajustar sus estrategias de forma oportuna. En este sentido, el análisis estratégico se integra con procesos de planeación y control, consolidándose como un componente esencial de la gestión empresarial.</w:t>
      </w:r>
    </w:p>
    <w:p w14:paraId="56AF9AD8" w14:textId="77777777" w:rsidR="003B6802" w:rsidRPr="003B6802" w:rsidRDefault="003B6802" w:rsidP="003B6802">
      <w:pPr>
        <w:jc w:val="both"/>
        <w:rPr>
          <w:rFonts w:ascii="Arial" w:hAnsi="Arial" w:cs="Arial"/>
        </w:rPr>
      </w:pPr>
      <w:r w:rsidRPr="003B6802">
        <w:rPr>
          <w:rFonts w:ascii="Arial" w:hAnsi="Arial" w:cs="Arial"/>
        </w:rPr>
        <w:t>En conclusión, el análisis estratégico, apoyado en herramientas como la matriz DOFA, representa un mecanismo clave para la toma de decisiones informadas en las organizaciones. Su adecuada aplicación permite no solo diagnosticar la situación actual, sino también orientar la acción hacia la construcción de ventajas competitivas sostenibles. En un entorno caracterizado por la incertidumbre, la capacidad de analizar, interpretar y actuar estratégicamente se convierte en un factor determinante para la permanencia y el crecimiento empresarial.</w:t>
      </w:r>
    </w:p>
    <w:p w14:paraId="29D4339A" w14:textId="653EEEC8" w:rsidR="003B6802" w:rsidRPr="003B6802" w:rsidRDefault="003B6802" w:rsidP="003B6802">
      <w:pPr>
        <w:jc w:val="both"/>
        <w:rPr>
          <w:rFonts w:ascii="Arial" w:hAnsi="Arial" w:cs="Arial"/>
        </w:rPr>
      </w:pPr>
    </w:p>
    <w:p w14:paraId="4CCC5A56" w14:textId="2295BB4B" w:rsidR="003B6802" w:rsidRPr="003B6802" w:rsidRDefault="003B6802" w:rsidP="003B6802">
      <w:pPr>
        <w:jc w:val="both"/>
        <w:rPr>
          <w:rFonts w:ascii="Arial" w:hAnsi="Arial" w:cs="Arial"/>
          <w:b/>
          <w:bCs/>
        </w:rPr>
      </w:pPr>
      <w:r w:rsidRPr="003B6802">
        <w:rPr>
          <w:rFonts w:ascii="Arial" w:hAnsi="Arial" w:cs="Arial"/>
          <w:b/>
          <w:bCs/>
        </w:rPr>
        <w:t>Referencias bibliográficas</w:t>
      </w:r>
    </w:p>
    <w:p w14:paraId="56B26258" w14:textId="77777777" w:rsidR="003B6802" w:rsidRPr="003B6802" w:rsidRDefault="003B6802" w:rsidP="003B6802">
      <w:pPr>
        <w:ind w:left="709" w:hanging="709"/>
        <w:jc w:val="both"/>
        <w:rPr>
          <w:rFonts w:ascii="Arial" w:hAnsi="Arial" w:cs="Arial"/>
        </w:rPr>
      </w:pPr>
      <w:r w:rsidRPr="003B6802">
        <w:rPr>
          <w:rFonts w:ascii="Arial" w:hAnsi="Arial" w:cs="Arial"/>
        </w:rPr>
        <w:t xml:space="preserve">Idalberto Chiavenato (2021). </w:t>
      </w:r>
      <w:r w:rsidRPr="003B6802">
        <w:rPr>
          <w:rFonts w:ascii="Arial" w:hAnsi="Arial" w:cs="Arial"/>
          <w:i/>
          <w:iCs/>
        </w:rPr>
        <w:t>Introducción a la teoría general de la administración</w:t>
      </w:r>
      <w:r w:rsidRPr="003B6802">
        <w:rPr>
          <w:rFonts w:ascii="Arial" w:hAnsi="Arial" w:cs="Arial"/>
        </w:rPr>
        <w:t>. McGraw-Hill Interamericana.</w:t>
      </w:r>
    </w:p>
    <w:p w14:paraId="1473A04A" w14:textId="77777777" w:rsidR="003B6802" w:rsidRPr="003B6802" w:rsidRDefault="003B6802" w:rsidP="003B6802">
      <w:pPr>
        <w:ind w:left="709" w:hanging="709"/>
        <w:jc w:val="both"/>
        <w:rPr>
          <w:rFonts w:ascii="Arial" w:hAnsi="Arial" w:cs="Arial"/>
        </w:rPr>
      </w:pPr>
      <w:r w:rsidRPr="003B6802">
        <w:rPr>
          <w:rFonts w:ascii="Arial" w:hAnsi="Arial" w:cs="Arial"/>
        </w:rPr>
        <w:t xml:space="preserve">Fred R. David (2020). </w:t>
      </w:r>
      <w:r w:rsidRPr="003B6802">
        <w:rPr>
          <w:rFonts w:ascii="Arial" w:hAnsi="Arial" w:cs="Arial"/>
          <w:i/>
          <w:iCs/>
        </w:rPr>
        <w:t>Conceptos de administración estratégica</w:t>
      </w:r>
      <w:r w:rsidRPr="003B6802">
        <w:rPr>
          <w:rFonts w:ascii="Arial" w:hAnsi="Arial" w:cs="Arial"/>
        </w:rPr>
        <w:t>. Pearson Educación.</w:t>
      </w:r>
    </w:p>
    <w:p w14:paraId="32D8F3F3" w14:textId="77777777" w:rsidR="003B6802" w:rsidRPr="003B6802" w:rsidRDefault="003B6802" w:rsidP="003B6802">
      <w:pPr>
        <w:ind w:left="709" w:hanging="709"/>
        <w:jc w:val="both"/>
        <w:rPr>
          <w:rFonts w:ascii="Arial" w:hAnsi="Arial" w:cs="Arial"/>
        </w:rPr>
      </w:pPr>
      <w:r w:rsidRPr="003B6802">
        <w:rPr>
          <w:rFonts w:ascii="Arial" w:hAnsi="Arial" w:cs="Arial"/>
        </w:rPr>
        <w:t xml:space="preserve">Philip Kotler &amp; Kevin Lane Keller (2016). </w:t>
      </w:r>
      <w:r w:rsidRPr="003B6802">
        <w:rPr>
          <w:rFonts w:ascii="Arial" w:hAnsi="Arial" w:cs="Arial"/>
          <w:i/>
          <w:iCs/>
        </w:rPr>
        <w:t>Dirección de marketing</w:t>
      </w:r>
      <w:r w:rsidRPr="003B6802">
        <w:rPr>
          <w:rFonts w:ascii="Arial" w:hAnsi="Arial" w:cs="Arial"/>
        </w:rPr>
        <w:t>. Pearson Educación.</w:t>
      </w:r>
    </w:p>
    <w:p w14:paraId="48138C8A" w14:textId="77777777" w:rsidR="003B6802" w:rsidRPr="003B6802" w:rsidRDefault="003B6802" w:rsidP="003B6802">
      <w:pPr>
        <w:ind w:left="709" w:hanging="709"/>
        <w:jc w:val="both"/>
        <w:rPr>
          <w:rFonts w:ascii="Arial" w:hAnsi="Arial" w:cs="Arial"/>
        </w:rPr>
      </w:pPr>
      <w:r w:rsidRPr="003B6802">
        <w:rPr>
          <w:rFonts w:ascii="Arial" w:hAnsi="Arial" w:cs="Arial"/>
        </w:rPr>
        <w:t xml:space="preserve">Michael E. Porter (2020). </w:t>
      </w:r>
      <w:r w:rsidRPr="003B6802">
        <w:rPr>
          <w:rFonts w:ascii="Arial" w:hAnsi="Arial" w:cs="Arial"/>
          <w:i/>
          <w:iCs/>
        </w:rPr>
        <w:t>Ventaja competitiva: creación y sostenimiento de un desempeño superior</w:t>
      </w:r>
      <w:r w:rsidRPr="003B6802">
        <w:rPr>
          <w:rFonts w:ascii="Arial" w:hAnsi="Arial" w:cs="Arial"/>
        </w:rPr>
        <w:t>. Grupo Editorial Patria.</w:t>
      </w:r>
    </w:p>
    <w:p w14:paraId="31036D1D" w14:textId="77777777" w:rsidR="003B6802" w:rsidRPr="003B6802" w:rsidRDefault="003B6802" w:rsidP="003B6802">
      <w:pPr>
        <w:ind w:left="709" w:hanging="709"/>
        <w:jc w:val="both"/>
        <w:rPr>
          <w:rFonts w:ascii="Arial" w:hAnsi="Arial" w:cs="Arial"/>
        </w:rPr>
      </w:pPr>
      <w:r w:rsidRPr="003B6802">
        <w:rPr>
          <w:rFonts w:ascii="Arial" w:hAnsi="Arial" w:cs="Arial"/>
        </w:rPr>
        <w:t xml:space="preserve">José María Sainz de Vicuña (2020). </w:t>
      </w:r>
      <w:r w:rsidRPr="003B6802">
        <w:rPr>
          <w:rFonts w:ascii="Arial" w:hAnsi="Arial" w:cs="Arial"/>
          <w:i/>
          <w:iCs/>
        </w:rPr>
        <w:t>El plan estratégico en la práctica</w:t>
      </w:r>
      <w:r w:rsidRPr="003B6802">
        <w:rPr>
          <w:rFonts w:ascii="Arial" w:hAnsi="Arial" w:cs="Arial"/>
        </w:rPr>
        <w:t>. ESIC Editorial.</w:t>
      </w:r>
    </w:p>
    <w:p w14:paraId="5CD512B1" w14:textId="4A214398" w:rsidR="000F1048" w:rsidRPr="003B6802" w:rsidRDefault="000F1048" w:rsidP="003B6802">
      <w:pPr>
        <w:jc w:val="both"/>
      </w:pPr>
    </w:p>
    <w:sectPr w:rsidR="000F1048" w:rsidRPr="003B6802" w:rsidSect="004903EB">
      <w:headerReference w:type="default" r:id="rId7"/>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3BD52" w14:textId="77777777" w:rsidR="008C33D0" w:rsidRDefault="008C33D0" w:rsidP="004903EB">
      <w:pPr>
        <w:spacing w:after="0" w:line="240" w:lineRule="auto"/>
      </w:pPr>
      <w:r>
        <w:separator/>
      </w:r>
    </w:p>
  </w:endnote>
  <w:endnote w:type="continuationSeparator" w:id="0">
    <w:p w14:paraId="71C3869B" w14:textId="77777777" w:rsidR="008C33D0" w:rsidRDefault="008C33D0"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AAB73" w14:textId="77777777" w:rsidR="008C33D0" w:rsidRDefault="008C33D0" w:rsidP="004903EB">
      <w:pPr>
        <w:spacing w:after="0" w:line="240" w:lineRule="auto"/>
      </w:pPr>
      <w:r>
        <w:separator/>
      </w:r>
    </w:p>
  </w:footnote>
  <w:footnote w:type="continuationSeparator" w:id="0">
    <w:p w14:paraId="37944943" w14:textId="77777777" w:rsidR="008C33D0" w:rsidRDefault="008C33D0"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46484"/>
    <w:rsid w:val="00073A12"/>
    <w:rsid w:val="000F1048"/>
    <w:rsid w:val="000F36A8"/>
    <w:rsid w:val="00156202"/>
    <w:rsid w:val="001846C6"/>
    <w:rsid w:val="002936D9"/>
    <w:rsid w:val="002D43B6"/>
    <w:rsid w:val="0036019B"/>
    <w:rsid w:val="003B6802"/>
    <w:rsid w:val="00487569"/>
    <w:rsid w:val="004903EB"/>
    <w:rsid w:val="008C33D0"/>
    <w:rsid w:val="00B52BAB"/>
    <w:rsid w:val="00BF5C09"/>
    <w:rsid w:val="00D04EB3"/>
    <w:rsid w:val="00F34DF1"/>
    <w:rsid w:val="00F363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453058968">
      <w:bodyDiv w:val="1"/>
      <w:marLeft w:val="0"/>
      <w:marRight w:val="0"/>
      <w:marTop w:val="0"/>
      <w:marBottom w:val="0"/>
      <w:divBdr>
        <w:top w:val="none" w:sz="0" w:space="0" w:color="auto"/>
        <w:left w:val="none" w:sz="0" w:space="0" w:color="auto"/>
        <w:bottom w:val="none" w:sz="0" w:space="0" w:color="auto"/>
        <w:right w:val="none" w:sz="0" w:space="0" w:color="auto"/>
      </w:divBdr>
    </w:div>
    <w:div w:id="947396923">
      <w:bodyDiv w:val="1"/>
      <w:marLeft w:val="0"/>
      <w:marRight w:val="0"/>
      <w:marTop w:val="0"/>
      <w:marBottom w:val="0"/>
      <w:divBdr>
        <w:top w:val="none" w:sz="0" w:space="0" w:color="auto"/>
        <w:left w:val="none" w:sz="0" w:space="0" w:color="auto"/>
        <w:bottom w:val="none" w:sz="0" w:space="0" w:color="auto"/>
        <w:right w:val="none" w:sz="0" w:space="0" w:color="auto"/>
      </w:divBdr>
    </w:div>
    <w:div w:id="1209298165">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 w:id="179486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5E79A7-7A22-4818-99B4-675545E3C4EF}"/>
</file>

<file path=customXml/itemProps2.xml><?xml version="1.0" encoding="utf-8"?>
<ds:datastoreItem xmlns:ds="http://schemas.openxmlformats.org/officeDocument/2006/customXml" ds:itemID="{A567F71D-3EF0-46B9-848B-8479F653F1CD}"/>
</file>

<file path=customXml/itemProps3.xml><?xml version="1.0" encoding="utf-8"?>
<ds:datastoreItem xmlns:ds="http://schemas.openxmlformats.org/officeDocument/2006/customXml" ds:itemID="{A6CEC389-E05F-46AA-A3F3-2EAC37AD3680}"/>
</file>

<file path=docProps/app.xml><?xml version="1.0" encoding="utf-8"?>
<Properties xmlns="http://schemas.openxmlformats.org/officeDocument/2006/extended-properties" xmlns:vt="http://schemas.openxmlformats.org/officeDocument/2006/docPropsVTypes">
  <Template>Normal</Template>
  <TotalTime>4</TotalTime>
  <Pages>2</Pages>
  <Words>754</Words>
  <Characters>4150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Mario Alfonso Morales Cabrera</cp:lastModifiedBy>
  <cp:revision>2</cp:revision>
  <dcterms:created xsi:type="dcterms:W3CDTF">2026-04-27T18:27:00Z</dcterms:created>
  <dcterms:modified xsi:type="dcterms:W3CDTF">2026-04-27T18:27:00Z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Order">
    <vt:r8>86112600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