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E6F16" w:rsidR="00D8067C" w:rsidRDefault="00D8067C" w14:paraId="45EA307B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Pr="00EE6F16" w:rsidR="00D8067C" w:rsidTr="4763A0E5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4452B0BB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E6F16">
              <w:rPr>
                <w:b/>
              </w:rPr>
              <w:t>Video Animado o Motion</w:t>
            </w:r>
          </w:p>
        </w:tc>
      </w:tr>
      <w:tr w:rsidRPr="00EE6F16" w:rsidR="00195B8F" w:rsidTr="4763A0E5" w14:paraId="64FC02C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3CFE" w:rsidR="00EA016C" w:rsidP="009A3CFE" w:rsidRDefault="00EA016C" w14:paraId="3A68D6C3" w14:textId="2D0C5CFA">
            <w:pPr>
              <w:rPr>
                <w:color w:val="595959" w:themeColor="text1" w:themeTint="A6"/>
                <w:sz w:val="20"/>
                <w:szCs w:val="20"/>
              </w:rPr>
            </w:pPr>
            <w:r w:rsidRPr="009A3CFE">
              <w:rPr>
                <w:color w:val="000000" w:themeColor="text1"/>
              </w:rPr>
              <w:t>Fundamentos del presupuesto organizacional y su estructura técnica</w:t>
            </w:r>
            <w:r w:rsidRPr="009A3CFE" w:rsidR="009A3CFE">
              <w:rPr>
                <w:color w:val="000000" w:themeColor="text1"/>
              </w:rPr>
              <w:t>.</w:t>
            </w:r>
          </w:p>
          <w:p w:rsidRPr="009A3CFE" w:rsidR="00195B8F" w:rsidP="00195B8F" w:rsidRDefault="00195B8F" w14:paraId="62835FB8" w14:textId="6FF58E81">
            <w:pPr>
              <w:widowControl w:val="0"/>
              <w:spacing w:line="240" w:lineRule="auto"/>
            </w:pPr>
          </w:p>
        </w:tc>
      </w:tr>
      <w:tr w:rsidRPr="00EE6F16" w:rsidR="00D8067C" w:rsidTr="4763A0E5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Pr="00EE6F16" w:rsidR="00D8067C" w:rsidTr="4763A0E5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3F08ECAA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546C0328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4EC207B9" w14:textId="77777777">
            <w:pPr>
              <w:widowControl w:val="0"/>
              <w:rPr>
                <w:b/>
              </w:rPr>
            </w:pPr>
            <w:r w:rsidRPr="00EE6F16"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D8067C" w:rsidRDefault="00DB2D32" w14:paraId="04AF1728" w14:textId="77777777">
            <w:pPr>
              <w:widowControl w:val="0"/>
              <w:rPr>
                <w:b/>
              </w:rPr>
            </w:pPr>
            <w:r w:rsidRPr="00EE6F16">
              <w:rPr>
                <w:b/>
              </w:rPr>
              <w:t>Texto</w:t>
            </w:r>
          </w:p>
        </w:tc>
      </w:tr>
      <w:tr w:rsidRPr="00EE6F16" w:rsidR="009E6C9E" w:rsidTr="4763A0E5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9E6C9E" w:rsidP="009E6C9E" w:rsidRDefault="009E6C9E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0"/>
            <w:r w:rsidRPr="00EE6F16"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9E6C9E" w:rsidRDefault="006B5091" w14:paraId="3EF6F335" w14:textId="06547E3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4AEBD39" wp14:editId="4E500C9A">
                  <wp:extent cx="2401149" cy="1350645"/>
                  <wp:effectExtent l="0" t="0" r="0" b="1905"/>
                  <wp:docPr id="124708989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2" t="-10099" r="-842" b="10099"/>
                          <a:stretch/>
                        </pic:blipFill>
                        <pic:spPr bwMode="auto">
                          <a:xfrm>
                            <a:off x="0" y="0"/>
                            <a:ext cx="2437426" cy="137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FE" w:rsidP="009A3CFE" w:rsidRDefault="009A3CFE" w14:paraId="469DD534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  <w:color w:val="000000" w:themeColor="text1"/>
                <w:lang w:val="es-CO"/>
              </w:rPr>
            </w:pPr>
            <w:r w:rsidRPr="60EAD132">
              <w:rPr>
                <w:rFonts w:ascii="Calibri" w:hAnsi="Calibri" w:eastAsia="Calibri" w:cs="Calibri"/>
                <w:color w:val="000000" w:themeColor="text1"/>
                <w:lang w:val="es-CO"/>
              </w:rPr>
              <w:t>Estimado aprendiz,</w:t>
            </w:r>
          </w:p>
          <w:p w:rsidRPr="003E4E07" w:rsidR="009E6C9E" w:rsidP="009A3CFE" w:rsidRDefault="009A3CFE" w14:paraId="22DD085B" w14:textId="499A7C42">
            <w:pPr>
              <w:spacing w:before="100" w:beforeAutospacing="1" w:after="100" w:afterAutospacing="1" w:line="240" w:lineRule="auto"/>
              <w:rPr>
                <w:rFonts w:ascii="Calibri" w:hAnsi="Calibri" w:cs="Calibri"/>
              </w:rPr>
            </w:pPr>
            <w:r w:rsidRPr="60EAD132">
              <w:rPr>
                <w:rFonts w:ascii="Calibri" w:hAnsi="Calibri" w:eastAsia="Calibri" w:cs="Calibri"/>
                <w:color w:val="000000" w:themeColor="text1"/>
                <w:lang w:val="es-CO"/>
              </w:rPr>
              <w:t>Le damos la bienvenida al componente formativo titulado “</w:t>
            </w:r>
            <w:r w:rsidRPr="60EAD132">
              <w:rPr>
                <w:color w:val="000000" w:themeColor="text1"/>
                <w:sz w:val="20"/>
                <w:szCs w:val="20"/>
                <w:lang w:val="es-CO"/>
              </w:rPr>
              <w:t>Fundamentos del presupuesto organizacional y su estructura técnica.</w:t>
            </w:r>
            <w:r w:rsidRPr="60EAD132">
              <w:rPr>
                <w:rFonts w:ascii="Calibri" w:hAnsi="Calibri" w:eastAsia="Calibri" w:cs="Calibri"/>
                <w:color w:val="000000" w:themeColor="text1"/>
                <w:lang w:val="es-CO"/>
              </w:rPr>
              <w:t xml:space="preserve">”.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3CFE" w:rsidR="000D21C9" w:rsidP="009A3CFE" w:rsidRDefault="000D21C9" w14:paraId="4F5B78A0" w14:textId="77777777">
            <w:pPr>
              <w:spacing w:before="100" w:beforeAutospacing="1" w:after="100" w:afterAutospacing="1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  <w:r w:rsidRPr="009A3CFE">
              <w:rPr>
                <w:color w:val="000000" w:themeColor="text1"/>
                <w:sz w:val="20"/>
                <w:szCs w:val="20"/>
                <w:lang w:val="es-CO"/>
              </w:rPr>
              <w:t xml:space="preserve">Fundamentos del presupuesto organizacional y su estructura técnica. </w:t>
            </w:r>
          </w:p>
          <w:p w:rsidRPr="009A3CFE" w:rsidR="000D21C9" w:rsidP="009A3CFE" w:rsidRDefault="000D21C9" w14:paraId="187B3BC2" w14:textId="77777777">
            <w:pPr>
              <w:spacing w:before="100" w:beforeAutospacing="1" w:after="100" w:afterAutospacing="1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  <w:p w:rsidRPr="009A3CFE" w:rsidR="000D21C9" w:rsidP="009A3CFE" w:rsidRDefault="000D21C9" w14:paraId="14964535" w14:textId="3FA5C09B">
            <w:pPr>
              <w:spacing w:before="100" w:beforeAutospacing="1" w:after="100" w:afterAutospacing="1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Pr="00EE6F16" w:rsidR="009E6C9E" w:rsidTr="4763A0E5" w14:paraId="7FA94BE1" w14:textId="7777777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9E6C9E" w:rsidP="009E6C9E" w:rsidRDefault="009E6C9E" w14:paraId="17A89BB6" w14:textId="77777777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9E6C9E" w:rsidRDefault="006B5091" w14:paraId="34B2415F" w14:textId="05AC7BF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93769AB" wp14:editId="51EB635F">
                  <wp:extent cx="2284730" cy="1166996"/>
                  <wp:effectExtent l="0" t="0" r="1270" b="0"/>
                  <wp:docPr id="132403311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95"/>
                          <a:stretch/>
                        </pic:blipFill>
                        <pic:spPr bwMode="auto">
                          <a:xfrm>
                            <a:off x="0" y="0"/>
                            <a:ext cx="2315543" cy="118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CFE" w:rsidP="009A3CFE" w:rsidRDefault="009A3CFE" w14:paraId="576B0145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</w:rPr>
            </w:pPr>
            <w:r w:rsidRPr="60EAD132">
              <w:rPr>
                <w:rFonts w:ascii="Calibri" w:hAnsi="Calibri" w:eastAsia="Calibri" w:cs="Calibri"/>
                <w:color w:val="000000" w:themeColor="text1"/>
                <w:lang w:val="es-CO"/>
              </w:rPr>
              <w:t xml:space="preserve">Este espacio </w:t>
            </w:r>
            <w:r w:rsidRPr="60EAD132">
              <w:rPr>
                <w:rFonts w:ascii="Calibri" w:hAnsi="Calibri" w:eastAsia="Calibri" w:cs="Calibri"/>
              </w:rPr>
              <w:t xml:space="preserve">brinda los conocimientos fundamentales para comprender y aplicar la elaboración de presupuestos como herramienta clave en la gestión financiera empresarial. </w:t>
            </w:r>
          </w:p>
          <w:p w:rsidRPr="00EE6F16" w:rsidR="009E6C9E" w:rsidP="003E4E07" w:rsidRDefault="009E6C9E" w14:paraId="3582B3CD" w14:textId="6D790969"/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F300DCE" w:rsidP="542D06DF" w:rsidRDefault="5F300DCE" w14:paraId="172D412A" w14:textId="48F70569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42D06DF" w:rsidR="5F300DCE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Conocimientos fundamentales</w:t>
            </w:r>
          </w:p>
          <w:p w:rsidR="5F300DCE" w:rsidP="1F59785D" w:rsidRDefault="5F300DCE" w14:paraId="7A77BC0A" w14:textId="7322DF91">
            <w:pPr>
              <w:pStyle w:val="Prrafodelista"/>
              <w:numPr>
                <w:ilvl w:val="0"/>
                <w:numId w:val="5"/>
              </w:numPr>
              <w:spacing w:before="240" w:beforeAutospacing="off" w:after="240" w:afterAutospacing="off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1F59785D" w:rsidR="5F300DCE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Elaboración de presupuestos</w:t>
            </w:r>
          </w:p>
          <w:p w:rsidR="5F300DCE" w:rsidP="1F59785D" w:rsidRDefault="5F300DCE" w14:paraId="65CEF883" w14:textId="557F208C">
            <w:pPr>
              <w:pStyle w:val="Prrafodelista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1F59785D" w:rsidR="5F300DCE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 xml:space="preserve">Herramienta clave </w:t>
            </w:r>
          </w:p>
          <w:p w:rsidR="542D06DF" w:rsidP="542D06DF" w:rsidRDefault="542D06DF" w14:paraId="68282C04" w14:textId="60D65976">
            <w:pPr>
              <w:spacing w:beforeAutospacing="on" w:afterAutospacing="on" w:line="240" w:lineRule="auto"/>
              <w:rPr>
                <w:color w:val="000000" w:themeColor="text1" w:themeTint="FF" w:themeShade="FF"/>
                <w:sz w:val="20"/>
                <w:szCs w:val="20"/>
                <w:lang w:val="es-CO"/>
              </w:rPr>
            </w:pPr>
          </w:p>
          <w:p w:rsidRPr="009A3CFE" w:rsidR="000D21C9" w:rsidP="00EA016C" w:rsidRDefault="000D21C9" w14:paraId="09998BAF" w14:textId="77777777">
            <w:pPr>
              <w:widowControl w:val="0"/>
              <w:rPr>
                <w:color w:val="000000" w:themeColor="text1"/>
                <w:sz w:val="20"/>
                <w:szCs w:val="20"/>
                <w:lang w:val="es-CO"/>
              </w:rPr>
            </w:pPr>
          </w:p>
          <w:p w:rsidRPr="009A3CFE" w:rsidR="000D21C9" w:rsidP="00EA016C" w:rsidRDefault="000D21C9" w14:paraId="58ED07A3" w14:textId="77777777">
            <w:pPr>
              <w:widowControl w:val="0"/>
              <w:rPr>
                <w:color w:val="000000" w:themeColor="text1"/>
                <w:sz w:val="20"/>
                <w:szCs w:val="20"/>
                <w:lang w:val="es-CO"/>
              </w:rPr>
            </w:pPr>
          </w:p>
          <w:p w:rsidRPr="009A3CFE" w:rsidR="000D21C9" w:rsidP="00EA016C" w:rsidRDefault="000D21C9" w14:paraId="57ABC391" w14:textId="77777777">
            <w:pPr>
              <w:widowControl w:val="0"/>
              <w:rPr>
                <w:color w:val="000000" w:themeColor="text1"/>
                <w:sz w:val="20"/>
                <w:szCs w:val="20"/>
                <w:lang w:val="es-CO"/>
              </w:rPr>
            </w:pPr>
          </w:p>
          <w:p w:rsidRPr="009A3CFE" w:rsidR="000D21C9" w:rsidP="00EA016C" w:rsidRDefault="000D21C9" w14:paraId="3EBFC77B" w14:textId="77777777">
            <w:pPr>
              <w:widowControl w:val="0"/>
              <w:rPr>
                <w:color w:val="000000" w:themeColor="text1"/>
                <w:sz w:val="20"/>
                <w:szCs w:val="20"/>
                <w:lang w:val="es-CO"/>
              </w:rPr>
            </w:pPr>
          </w:p>
          <w:p w:rsidRPr="009A3CFE" w:rsidR="000D21C9" w:rsidP="00EA016C" w:rsidRDefault="000D21C9" w14:paraId="72389497" w14:textId="046E0C18">
            <w:pPr>
              <w:widowControl w:val="0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Pr="00EE6F16" w:rsidR="00474782" w:rsidTr="4763A0E5" w14:paraId="52F411B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00474782" w:rsidRDefault="00474782" w14:paraId="1CD0EDA7" w14:textId="6F6354EB">
            <w:pPr>
              <w:widowControl w:val="0"/>
              <w:spacing w:line="240" w:lineRule="auto"/>
              <w:rPr>
                <w:b/>
              </w:rPr>
            </w:pPr>
            <w:bookmarkStart w:name="_Hlk176107244" w:id="1"/>
            <w:bookmarkEnd w:id="0"/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00474782" w:rsidRDefault="006B5091" w14:paraId="7E0FFD16" w14:textId="14BE424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4435B1E" wp14:editId="31743393">
                  <wp:extent cx="2172331" cy="1090703"/>
                  <wp:effectExtent l="0" t="0" r="0" b="0"/>
                  <wp:docPr id="2911871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40"/>
                          <a:stretch/>
                        </pic:blipFill>
                        <pic:spPr bwMode="auto">
                          <a:xfrm>
                            <a:off x="0" y="0"/>
                            <a:ext cx="2213204" cy="11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5428" w:rsidR="009A3CFE" w:rsidP="009A3CFE" w:rsidRDefault="009A3CFE" w14:paraId="5B533F98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</w:rPr>
            </w:pPr>
            <w:r w:rsidRPr="1A63E80A">
              <w:rPr>
                <w:rFonts w:ascii="Calibri" w:hAnsi="Calibri" w:eastAsia="Calibri" w:cs="Calibri"/>
              </w:rPr>
              <w:t>A lo largo del proceso formativo se abordarán conceptos esenciales como los tipos de presupuestos, sus componentes, la normativa contable asociada y las etapas necesarias para su construcción y análisis.</w:t>
            </w:r>
          </w:p>
          <w:p w:rsidRPr="00EE6F16" w:rsidR="00474782" w:rsidP="009E005E" w:rsidRDefault="00474782" w14:paraId="466D259C" w14:textId="28C2FC3C">
            <w:pPr>
              <w:spacing w:before="100" w:beforeAutospacing="1" w:after="100" w:afterAutospacing="1" w:line="24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3CFE" w:rsidR="00CC62D1" w:rsidP="1F59785D" w:rsidRDefault="00EA016C" w14:paraId="1A253287" w14:textId="21C7EDD3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1F59785D" w:rsidR="09CF1DAB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Tipos de presupuestos</w:t>
            </w:r>
          </w:p>
          <w:p w:rsidRPr="009A3CFE" w:rsidR="00CC62D1" w:rsidP="1F59785D" w:rsidRDefault="00EA016C" w14:paraId="700A94FE" w14:textId="292B0286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1F59785D" w:rsidR="09CF1DAB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Componentes del presupuesto</w:t>
            </w:r>
          </w:p>
          <w:p w:rsidRPr="009A3CFE" w:rsidR="00CC62D1" w:rsidP="1F59785D" w:rsidRDefault="00EA016C" w14:paraId="69AA574A" w14:textId="1200A7DE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09CF1DAB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 xml:space="preserve">Normativa contable </w:t>
            </w:r>
          </w:p>
          <w:p w:rsidRPr="009A3CFE" w:rsidR="00CC62D1" w:rsidP="1F59785D" w:rsidRDefault="00EA016C" w14:paraId="11BFDD35" w14:textId="6A608610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09CF1DAB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Etapas de construcción y análisis</w:t>
            </w:r>
          </w:p>
          <w:p w:rsidRPr="009A3CFE" w:rsidR="00CC62D1" w:rsidP="1F59785D" w:rsidRDefault="00EA016C" w14:paraId="6448ABCF" w14:textId="6778C231">
            <w:pPr>
              <w:spacing w:before="100" w:beforeAutospacing="on" w:after="100" w:afterAutospacing="on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  <w:bookmarkEnd w:id="1"/>
      <w:tr w:rsidRPr="00EE6F16" w:rsidR="00474782" w:rsidTr="4763A0E5" w14:paraId="40C52A5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00474782" w:rsidRDefault="00474782" w14:paraId="6177AC77" w14:textId="2534A13E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00474782" w:rsidRDefault="00494CA2" w14:paraId="47204B5D" w14:textId="2683F63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82E3AF4" wp14:editId="01660B0E">
                  <wp:extent cx="2025825" cy="1341755"/>
                  <wp:effectExtent l="0" t="0" r="0" b="0"/>
                  <wp:docPr id="20427991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072"/>
                          <a:stretch/>
                        </pic:blipFill>
                        <pic:spPr bwMode="auto">
                          <a:xfrm>
                            <a:off x="0" y="0"/>
                            <a:ext cx="2061042" cy="136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474782" w:rsidP="009A3CFE" w:rsidRDefault="009A3CFE" w14:paraId="3CF80B79" w14:textId="7EAAD592">
            <w:pPr>
              <w:spacing w:before="100" w:beforeAutospacing="1" w:after="100" w:afterAutospacing="1" w:line="240" w:lineRule="auto"/>
            </w:pPr>
            <w:r w:rsidRPr="1A63E80A">
              <w:rPr>
                <w:rFonts w:ascii="Calibri" w:hAnsi="Calibri" w:eastAsia="Calibri" w:cs="Calibri"/>
              </w:rPr>
              <w:t xml:space="preserve">El contenido está diseñado para desarrollar competencias que permitan identificar partidas presupuestales, analizar información histórica, clasificar ingresos y egresos, y establecer coherencia entre los diferentes elementos que conforman un presupuesto.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57BFF2F" w:rsidP="4763A0E5" w:rsidRDefault="357BFF2F" w14:paraId="3FDDE10E" w14:textId="5AAD4358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357BFF2F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Competencias en los aprendices</w:t>
            </w:r>
          </w:p>
          <w:p w:rsidR="357BFF2F" w:rsidP="4763A0E5" w:rsidRDefault="357BFF2F" w14:paraId="62A4C131" w14:textId="2D064278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357BFF2F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Partidas presupuestales</w:t>
            </w:r>
          </w:p>
          <w:p w:rsidR="357BFF2F" w:rsidP="4763A0E5" w:rsidRDefault="357BFF2F" w14:paraId="167BCCAF" w14:textId="4A18B8D5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357BFF2F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Información histórica</w:t>
            </w:r>
          </w:p>
          <w:p w:rsidR="357BFF2F" w:rsidP="4763A0E5" w:rsidRDefault="357BFF2F" w14:paraId="44AFF68E" w14:textId="04735663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357BFF2F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Clasificación de ingresos y egresos</w:t>
            </w:r>
          </w:p>
          <w:p w:rsidR="357BFF2F" w:rsidP="4763A0E5" w:rsidRDefault="357BFF2F" w14:paraId="303ACF0F" w14:textId="23F66B20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357BFF2F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Coherencia entre elementos del presupuesto</w:t>
            </w:r>
          </w:p>
          <w:p w:rsidR="4763A0E5" w:rsidP="4763A0E5" w:rsidRDefault="4763A0E5" w14:paraId="1151A214" w14:textId="4D05BDBA">
            <w:pPr>
              <w:spacing w:beforeAutospacing="on" w:afterAutospacing="on" w:line="240" w:lineRule="auto"/>
              <w:rPr>
                <w:color w:val="000000" w:themeColor="text1" w:themeTint="FF" w:themeShade="FF"/>
                <w:sz w:val="20"/>
                <w:szCs w:val="20"/>
                <w:lang w:val="es-CO"/>
              </w:rPr>
            </w:pPr>
          </w:p>
          <w:p w:rsidRPr="009A3CFE" w:rsidR="000D21C9" w:rsidP="009A3CFE" w:rsidRDefault="000D21C9" w14:paraId="5D4D3A00" w14:textId="77777777">
            <w:pPr>
              <w:spacing w:before="100" w:beforeAutospacing="1" w:after="100" w:afterAutospacing="1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  <w:p w:rsidRPr="009A3CFE" w:rsidR="000D21C9" w:rsidP="009A3CFE" w:rsidRDefault="000D21C9" w14:paraId="12DCEEE3" w14:textId="74A05CFD">
            <w:pPr>
              <w:spacing w:before="100" w:beforeAutospacing="1" w:after="100" w:afterAutospacing="1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Pr="00EE6F16" w:rsidR="00811185" w:rsidTr="4763A0E5" w14:paraId="22E681A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811185" w:rsidRDefault="000D21C9" w14:paraId="7DF981C4" w14:textId="7A8A92B5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 xml:space="preserve">Escena </w:t>
            </w:r>
            <w:r>
              <w:rPr>
                <w:b/>
              </w:rPr>
              <w:t>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3803D8" w:rsidRDefault="00F40EF5" w14:paraId="67F435CF" w14:textId="71C4A21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CCE9D3E" wp14:editId="364ABD89">
                  <wp:extent cx="2422876" cy="1362868"/>
                  <wp:effectExtent l="0" t="0" r="0" b="8890"/>
                  <wp:docPr id="125192708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094" cy="13787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5428" w:rsidR="009A3CFE" w:rsidP="009A3CFE" w:rsidRDefault="009A3CFE" w14:paraId="68AB63FE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</w:rPr>
            </w:pPr>
            <w:r w:rsidRPr="1A63E80A">
              <w:rPr>
                <w:rFonts w:ascii="Calibri" w:hAnsi="Calibri" w:eastAsia="Calibri" w:cs="Calibri"/>
              </w:rPr>
              <w:t>Asimismo, se promueve la interpretación crítica de datos financieros, la aplicación de criterios técnicos y el desarrollo de una visión estratégica orientada al uso eficiente de los recursos.</w:t>
            </w:r>
          </w:p>
          <w:p w:rsidRPr="009A3CFE" w:rsidR="00811185" w:rsidP="00811185" w:rsidRDefault="00811185" w14:paraId="1EC13EE9" w14:textId="6575863B">
            <w:pPr>
              <w:pStyle w:val="NormalWeb"/>
              <w:rPr>
                <w:lang w:val="es-MX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A3CFE" w:rsidR="00811185" w:rsidP="4763A0E5" w:rsidRDefault="000D21C9" w14:paraId="5CC8A65E" w14:textId="6F13AF0E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7E1B57F9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Interpretación crítica de datos financieros</w:t>
            </w:r>
          </w:p>
          <w:p w:rsidRPr="009A3CFE" w:rsidR="00811185" w:rsidP="4763A0E5" w:rsidRDefault="000D21C9" w14:paraId="15A08B22" w14:textId="4B569612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7E1B57F9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Aplicación de criterios técnicos</w:t>
            </w:r>
          </w:p>
          <w:p w:rsidRPr="009A3CFE" w:rsidR="00811185" w:rsidP="4763A0E5" w:rsidRDefault="000D21C9" w14:paraId="725AFCFA" w14:textId="1B97205F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7E1B57F9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Visión estratégica</w:t>
            </w:r>
          </w:p>
          <w:p w:rsidRPr="009A3CFE" w:rsidR="00811185" w:rsidP="4763A0E5" w:rsidRDefault="000D21C9" w14:paraId="32E6B089" w14:textId="7A034F9F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</w:pPr>
            <w:r w:rsidRPr="4763A0E5" w:rsidR="7E1B57F9">
              <w:rPr>
                <w:rFonts w:ascii="Arial" w:hAnsi="Arial" w:eastAsia="Arial" w:cs="Arial"/>
                <w:noProof w:val="0"/>
                <w:sz w:val="20"/>
                <w:szCs w:val="20"/>
                <w:lang w:val="es-CO"/>
              </w:rPr>
              <w:t>Uso eficiente de los recursos</w:t>
            </w:r>
          </w:p>
          <w:p w:rsidRPr="009A3CFE" w:rsidR="00811185" w:rsidP="4763A0E5" w:rsidRDefault="000D21C9" w14:paraId="76973C05" w14:textId="7F641F2C">
            <w:pPr>
              <w:spacing w:before="100" w:beforeAutospacing="on" w:after="100" w:afterAutospacing="on" w:line="240" w:lineRule="auto"/>
              <w:rPr>
                <w:color w:val="000000" w:themeColor="text1"/>
                <w:sz w:val="20"/>
                <w:szCs w:val="20"/>
                <w:lang w:val="es-CO"/>
              </w:rPr>
            </w:pPr>
          </w:p>
        </w:tc>
      </w:tr>
      <w:tr w:rsidRPr="00EE6F16" w:rsidR="00811185" w:rsidTr="4763A0E5" w14:paraId="5CFD8D97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811185" w:rsidRDefault="000D21C9" w14:paraId="7E756048" w14:textId="0F0E890F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lastRenderedPageBreak/>
              <w:t xml:space="preserve">Escena </w:t>
            </w:r>
            <w:r>
              <w:rPr>
                <w:b/>
              </w:rPr>
              <w:t>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811185" w:rsidRDefault="00F40EF5" w14:paraId="77FB97FF" w14:textId="33E4BD5C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3B547F" wp14:editId="102D560C">
                  <wp:extent cx="2437130" cy="1370886"/>
                  <wp:effectExtent l="0" t="0" r="1270" b="1270"/>
                  <wp:docPr id="73477731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645" cy="13824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5335A" w:rsidR="009A3CFE" w:rsidP="009A3CFE" w:rsidRDefault="009A3CFE" w14:paraId="76B907E9" w14:textId="77777777">
            <w:pPr>
              <w:spacing w:before="100" w:beforeAutospacing="1" w:after="100" w:afterAutospacing="1" w:line="240" w:lineRule="auto"/>
              <w:rPr>
                <w:rFonts w:ascii="Calibri" w:hAnsi="Calibri" w:eastAsia="Calibri" w:cs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s-CO"/>
              </w:rPr>
              <w:t xml:space="preserve">¡Le invitamos a apropiarse y aplicar los conceptos y métodos disponibles para llevar a cabo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la elaboración de un presupuesto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s-CO"/>
              </w:rPr>
              <w:t>!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:rsidRPr="00EE6F16" w:rsidR="00811185" w:rsidP="00811185" w:rsidRDefault="00811185" w14:paraId="0A031CC8" w14:textId="44E74118"/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EB1FDD" w:rsidP="4763A0E5" w:rsidRDefault="000D21C9" w14:paraId="38A889D4" w14:textId="3F62E713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763A0E5" w:rsidR="6F40C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Conceptos de presupuestación</w:t>
            </w:r>
          </w:p>
          <w:p w:rsidRPr="00EE6F16" w:rsidR="00EB1FDD" w:rsidP="4763A0E5" w:rsidRDefault="000D21C9" w14:paraId="3503DEDD" w14:textId="19152320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763A0E5" w:rsidR="6F40C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Métodos de elaboración de presupuestos</w:t>
            </w:r>
          </w:p>
          <w:p w:rsidRPr="00EE6F16" w:rsidR="00EB1FDD" w:rsidP="4763A0E5" w:rsidRDefault="000D21C9" w14:paraId="3ED04941" w14:textId="64FC1564">
            <w:pPr>
              <w:pStyle w:val="Prrafodelista"/>
              <w:numPr>
                <w:ilvl w:val="0"/>
                <w:numId w:val="4"/>
              </w:numPr>
              <w:spacing w:before="240" w:beforeAutospacing="off" w:after="240" w:afterAutospacing="off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763A0E5" w:rsidR="6F40CD2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Aplicación práctica en la elaboración de un presupuesto</w:t>
            </w:r>
          </w:p>
          <w:p w:rsidRPr="00EE6F16" w:rsidR="00EB1FDD" w:rsidP="4763A0E5" w:rsidRDefault="000D21C9" w14:paraId="3473E3F9" w14:textId="394AB0FE">
            <w:pPr>
              <w:spacing w:before="100" w:beforeAutospacing="on" w:after="100" w:afterAutospacing="on" w:line="240" w:lineRule="auto"/>
              <w:rPr>
                <w:rStyle w:val="normaltextrun"/>
                <w:rFonts w:ascii="Calibri" w:hAnsi="Calibri" w:cs="Calibri"/>
                <w:color w:val="000000" w:themeColor="text1" w:themeTint="FF" w:themeShade="FF"/>
                <w:lang w:val="es-CO"/>
              </w:rPr>
            </w:pPr>
          </w:p>
        </w:tc>
      </w:tr>
      <w:tr w:rsidRPr="00EE6F16" w:rsidR="00811185" w:rsidTr="4763A0E5" w14:paraId="2A3025C1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811185" w:rsidRDefault="000D21C9" w14:paraId="43375BF8" w14:textId="2AAF89AD">
            <w:pPr>
              <w:widowControl w:val="0"/>
              <w:spacing w:line="240" w:lineRule="auto"/>
              <w:rPr>
                <w:b/>
              </w:rPr>
            </w:pPr>
            <w:r w:rsidRPr="00EE6F16">
              <w:rPr>
                <w:b/>
              </w:rPr>
              <w:t xml:space="preserve">Escena </w:t>
            </w:r>
            <w:r>
              <w:rPr>
                <w:b/>
              </w:rPr>
              <w:t>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3803D8" w:rsidRDefault="00297EB2" w14:paraId="3DD0200C" w14:textId="24F7BEF7">
            <w:pPr>
              <w:widowControl w:val="0"/>
              <w:spacing w:line="240" w:lineRule="auto"/>
            </w:pPr>
            <w:r w:rsidRPr="005C51FA">
              <w:rPr>
                <w:noProof/>
              </w:rPr>
              <w:drawing>
                <wp:inline distT="0" distB="0" distL="0" distR="0" wp14:anchorId="4F65BFFA" wp14:editId="0D82C725">
                  <wp:extent cx="2489200" cy="794385"/>
                  <wp:effectExtent l="0" t="0" r="635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9A3CFE" w:rsidRDefault="00811185" w14:paraId="746A35DC" w14:textId="6B34251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6F16" w:rsidR="00811185" w:rsidP="000D21C9" w:rsidRDefault="00811185" w14:paraId="29A14065" w14:textId="08CE96F9"/>
        </w:tc>
      </w:tr>
    </w:tbl>
    <w:p w:rsidRPr="00EE6F16" w:rsidR="00D8067C" w:rsidRDefault="00D8067C" w14:paraId="7859954A" w14:textId="77777777">
      <w:pPr>
        <w:spacing w:line="240" w:lineRule="auto"/>
        <w:rPr>
          <w:b/>
        </w:rPr>
      </w:pPr>
    </w:p>
    <w:sectPr w:rsidRPr="00EE6F16" w:rsidR="00D8067C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AFC" w:rsidRDefault="00B94AFC" w14:paraId="1FEC9668" w14:textId="77777777">
      <w:pPr>
        <w:spacing w:line="240" w:lineRule="auto"/>
      </w:pPr>
      <w:r>
        <w:separator/>
      </w:r>
    </w:p>
  </w:endnote>
  <w:endnote w:type="continuationSeparator" w:id="0">
    <w:p w:rsidR="00B94AFC" w:rsidRDefault="00B94AFC" w14:paraId="510E4E7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AFC" w:rsidRDefault="00B94AFC" w14:paraId="6930565A" w14:textId="77777777">
      <w:pPr>
        <w:spacing w:line="240" w:lineRule="auto"/>
      </w:pPr>
      <w:r>
        <w:separator/>
      </w:r>
    </w:p>
  </w:footnote>
  <w:footnote w:type="continuationSeparator" w:id="0">
    <w:p w:rsidR="00B94AFC" w:rsidRDefault="00B94AFC" w14:paraId="5204029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nsid w:val="500d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d6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e57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b2d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166240"/>
    <w:multiLevelType w:val="hybridMultilevel"/>
    <w:tmpl w:val="EF7872A4"/>
    <w:lvl w:ilvl="0">
      <w:numFmt w:val="bullet"/>
      <w:lvlText w:val="-"/>
      <w:lvlJc w:val="left"/>
      <w:pPr>
        <w:ind w:left="720" w:hanging="360"/>
      </w:pPr>
      <w:rPr>
        <w:rFonts w:hint="default" w:ascii="Arial" w:hAnsi="Arial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AD7D10"/>
    <w:multiLevelType w:val="hybridMultilevel"/>
    <w:tmpl w:val="42983CA4"/>
    <w:lvl w:ilvl="0">
      <w:numFmt w:val="bullet"/>
      <w:lvlText w:val="-"/>
      <w:lvlJc w:val="left"/>
      <w:pPr>
        <w:ind w:left="720" w:hanging="360"/>
      </w:pPr>
      <w:rPr>
        <w:rFonts w:hint="default" w:ascii="Arial" w:hAnsi="Aria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377DB"/>
    <w:rsid w:val="00046193"/>
    <w:rsid w:val="0004784D"/>
    <w:rsid w:val="00094D9F"/>
    <w:rsid w:val="000A1B94"/>
    <w:rsid w:val="000C0156"/>
    <w:rsid w:val="000D21C9"/>
    <w:rsid w:val="001463E7"/>
    <w:rsid w:val="00151017"/>
    <w:rsid w:val="0017631A"/>
    <w:rsid w:val="00195B8F"/>
    <w:rsid w:val="001C4886"/>
    <w:rsid w:val="0022079D"/>
    <w:rsid w:val="00227DC0"/>
    <w:rsid w:val="00233059"/>
    <w:rsid w:val="00234C35"/>
    <w:rsid w:val="00250477"/>
    <w:rsid w:val="00252854"/>
    <w:rsid w:val="002634B7"/>
    <w:rsid w:val="002642F9"/>
    <w:rsid w:val="00297EB2"/>
    <w:rsid w:val="002A06A0"/>
    <w:rsid w:val="002A1992"/>
    <w:rsid w:val="002A3F95"/>
    <w:rsid w:val="002F0431"/>
    <w:rsid w:val="00305DF6"/>
    <w:rsid w:val="00321510"/>
    <w:rsid w:val="003803D8"/>
    <w:rsid w:val="003946CE"/>
    <w:rsid w:val="003A52BE"/>
    <w:rsid w:val="003A7743"/>
    <w:rsid w:val="003C55F6"/>
    <w:rsid w:val="003E4E07"/>
    <w:rsid w:val="003F3A7A"/>
    <w:rsid w:val="00415B29"/>
    <w:rsid w:val="00415BB5"/>
    <w:rsid w:val="0041609A"/>
    <w:rsid w:val="00455806"/>
    <w:rsid w:val="00474782"/>
    <w:rsid w:val="00494CA2"/>
    <w:rsid w:val="00495795"/>
    <w:rsid w:val="00495D91"/>
    <w:rsid w:val="004A1081"/>
    <w:rsid w:val="004E6699"/>
    <w:rsid w:val="004F2F2A"/>
    <w:rsid w:val="004F7D0D"/>
    <w:rsid w:val="005043C5"/>
    <w:rsid w:val="00544957"/>
    <w:rsid w:val="00544ABC"/>
    <w:rsid w:val="00556F7C"/>
    <w:rsid w:val="005C51FA"/>
    <w:rsid w:val="005E08D9"/>
    <w:rsid w:val="005F5A90"/>
    <w:rsid w:val="00606818"/>
    <w:rsid w:val="0065075F"/>
    <w:rsid w:val="006B5091"/>
    <w:rsid w:val="006F04B0"/>
    <w:rsid w:val="00704F2E"/>
    <w:rsid w:val="00710A18"/>
    <w:rsid w:val="007130EB"/>
    <w:rsid w:val="007260B0"/>
    <w:rsid w:val="00766507"/>
    <w:rsid w:val="00772A82"/>
    <w:rsid w:val="007A00F0"/>
    <w:rsid w:val="007A4AFD"/>
    <w:rsid w:val="00811185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2699"/>
    <w:rsid w:val="0090647F"/>
    <w:rsid w:val="009150DA"/>
    <w:rsid w:val="00915332"/>
    <w:rsid w:val="009471C6"/>
    <w:rsid w:val="009A3CFE"/>
    <w:rsid w:val="009B4CCB"/>
    <w:rsid w:val="009E005E"/>
    <w:rsid w:val="009E6C9E"/>
    <w:rsid w:val="00A01FDB"/>
    <w:rsid w:val="00A14CF6"/>
    <w:rsid w:val="00A56F5C"/>
    <w:rsid w:val="00A63399"/>
    <w:rsid w:val="00A704A2"/>
    <w:rsid w:val="00A97573"/>
    <w:rsid w:val="00AB34C2"/>
    <w:rsid w:val="00AE6115"/>
    <w:rsid w:val="00AE6DF0"/>
    <w:rsid w:val="00B146F8"/>
    <w:rsid w:val="00B46D83"/>
    <w:rsid w:val="00B61920"/>
    <w:rsid w:val="00B94AFC"/>
    <w:rsid w:val="00BD35BE"/>
    <w:rsid w:val="00BD58A5"/>
    <w:rsid w:val="00BE607A"/>
    <w:rsid w:val="00C14816"/>
    <w:rsid w:val="00C21B45"/>
    <w:rsid w:val="00C30F6B"/>
    <w:rsid w:val="00C433B7"/>
    <w:rsid w:val="00C51E5C"/>
    <w:rsid w:val="00CA3401"/>
    <w:rsid w:val="00CC556F"/>
    <w:rsid w:val="00CC62D1"/>
    <w:rsid w:val="00D07483"/>
    <w:rsid w:val="00D46B27"/>
    <w:rsid w:val="00D8067C"/>
    <w:rsid w:val="00D8098E"/>
    <w:rsid w:val="00DB2D32"/>
    <w:rsid w:val="00E071B0"/>
    <w:rsid w:val="00E33A80"/>
    <w:rsid w:val="00E33E66"/>
    <w:rsid w:val="00E40997"/>
    <w:rsid w:val="00E41B5B"/>
    <w:rsid w:val="00E510DC"/>
    <w:rsid w:val="00E5475D"/>
    <w:rsid w:val="00E63326"/>
    <w:rsid w:val="00EA016C"/>
    <w:rsid w:val="00EA620D"/>
    <w:rsid w:val="00EB1FDD"/>
    <w:rsid w:val="00EB674E"/>
    <w:rsid w:val="00EB7AD3"/>
    <w:rsid w:val="00EE316C"/>
    <w:rsid w:val="00EE6F16"/>
    <w:rsid w:val="00F11750"/>
    <w:rsid w:val="00F334C2"/>
    <w:rsid w:val="00F352A4"/>
    <w:rsid w:val="00F40EF5"/>
    <w:rsid w:val="00F472DE"/>
    <w:rsid w:val="00F81BC3"/>
    <w:rsid w:val="00F96082"/>
    <w:rsid w:val="00FB76EA"/>
    <w:rsid w:val="09CF1DAB"/>
    <w:rsid w:val="0F1A6B3F"/>
    <w:rsid w:val="1F59785D"/>
    <w:rsid w:val="28B7FC48"/>
    <w:rsid w:val="357BFF2F"/>
    <w:rsid w:val="39D6EB13"/>
    <w:rsid w:val="4763A0E5"/>
    <w:rsid w:val="542D06DF"/>
    <w:rsid w:val="5F300DCE"/>
    <w:rsid w:val="6F40CD2A"/>
    <w:rsid w:val="7E1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9022CC47-95CA-41E1-85A6-AFC07885E6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Nelson Ivan Vera Briceño</lastModifiedBy>
  <revision>6</revision>
  <dcterms:created xsi:type="dcterms:W3CDTF">2025-08-22T13:52:00.0000000Z</dcterms:created>
  <dcterms:modified xsi:type="dcterms:W3CDTF">2025-09-18T17:51:13.7757950Z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66861700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