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05B2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405B29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11C08EC0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05B29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05B29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05B2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05B29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405B2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405B29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405B2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05B29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010DEF72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405B29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405B29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405B29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405B2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7669B50" w:rsidR="00C57B0F" w:rsidRPr="00405B29" w:rsidRDefault="0072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</w:t>
            </w:r>
            <w:r w:rsidRPr="00723773">
              <w:rPr>
                <w:color w:val="auto"/>
                <w:sz w:val="20"/>
                <w:szCs w:val="20"/>
              </w:rPr>
              <w:t>rotocolos de atención y analítica digital</w:t>
            </w:r>
          </w:p>
        </w:tc>
      </w:tr>
      <w:tr w:rsidR="00C57B0F" w:rsidRPr="00405B2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CC949A4" w:rsidR="00C57B0F" w:rsidRPr="00405B29" w:rsidRDefault="00723773" w:rsidP="003947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3773">
              <w:rPr>
                <w:color w:val="000000" w:themeColor="text1"/>
                <w:sz w:val="20"/>
                <w:szCs w:val="20"/>
              </w:rPr>
              <w:t>Verificar la comprensión del aprendiz sobre los protocolos de atención en redes sociales, el manejo de crisis, las herramientas de analítica digital y la interpretación de gráficos mediante la resolución de preguntas de verdadero o falso, a partir de la identificación de conceptos clave desarrollados en el componente formativo relacionados con atención al cliente digital, medición de resultados y análisis de información.</w:t>
            </w:r>
          </w:p>
        </w:tc>
      </w:tr>
      <w:tr w:rsidR="00C57B0F" w:rsidRPr="00405B2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405B29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05B2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05B29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05B2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405B29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405B29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582944C7" w:rsidR="00C57B0F" w:rsidRPr="0097025D" w:rsidRDefault="008961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961DC">
              <w:rPr>
                <w:rFonts w:eastAsia="Calibri"/>
                <w:color w:val="auto"/>
                <w:sz w:val="20"/>
                <w:szCs w:val="20"/>
              </w:rPr>
              <w:t>Un protocolo de atención al cliente estandariza procesos dentro de la organización.</w:t>
            </w:r>
          </w:p>
        </w:tc>
        <w:tc>
          <w:tcPr>
            <w:tcW w:w="2160" w:type="dxa"/>
          </w:tcPr>
          <w:p w14:paraId="7F132666" w14:textId="77777777" w:rsidR="00C57B0F" w:rsidRPr="00405B29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C57B0F" w:rsidRPr="00405B2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1463B86" w:rsidR="00C57B0F" w:rsidRPr="00405B29" w:rsidRDefault="009702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1EA8AA4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CDE04FA" w:rsidR="00C57B0F" w:rsidRPr="00405B29" w:rsidRDefault="00253803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C57B0F" w:rsidRPr="00405B2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405B29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ED0C3C3" w:rsidR="00C57B0F" w:rsidRPr="004C14CE" w:rsidRDefault="008961DC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961DC">
              <w:rPr>
                <w:rFonts w:eastAsia="Calibri"/>
                <w:bCs/>
                <w:color w:val="auto"/>
                <w:sz w:val="20"/>
                <w:szCs w:val="20"/>
              </w:rPr>
              <w:t>Los protocolos de atención generan pérdida financiera para las organizaciones.</w:t>
            </w:r>
          </w:p>
        </w:tc>
      </w:tr>
      <w:tr w:rsidR="00C57B0F" w:rsidRPr="00405B29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70A54533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3D9AC3C9" w:rsidR="00C57B0F" w:rsidRPr="00405B29" w:rsidRDefault="009702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628EB38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0FB9" w:rsidRPr="00E30FB9" w14:paraId="222591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06DBA9" w14:textId="77777777" w:rsidR="00E30FB9" w:rsidRPr="00E30FB9" w:rsidRDefault="00E30FB9" w:rsidP="00E30FB9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165264EE" w14:textId="77777777" w:rsidR="00E30FB9" w:rsidRPr="00E30FB9" w:rsidRDefault="00E30FB9" w:rsidP="00E30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5"/>
            </w:tblGrid>
            <w:tr w:rsidR="00E30FB9" w:rsidRPr="00E30FB9" w14:paraId="2225FE11" w14:textId="77777777">
              <w:trPr>
                <w:tblCellSpacing w:w="15" w:type="dxa"/>
              </w:trPr>
              <w:tc>
                <w:tcPr>
                  <w:tcW w:w="6475" w:type="dxa"/>
                  <w:vAlign w:val="center"/>
                  <w:hideMark/>
                </w:tcPr>
                <w:p w14:paraId="71F6BFB9" w14:textId="77777777" w:rsidR="00E30FB9" w:rsidRPr="00E30FB9" w:rsidRDefault="00E30FB9" w:rsidP="00E30FB9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E30FB9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La fiabilidad es una dimensión del protocolo de atención al cliente.</w:t>
                  </w:r>
                </w:p>
              </w:tc>
            </w:tr>
          </w:tbl>
          <w:p w14:paraId="61D73A45" w14:textId="770B1A8F" w:rsidR="00C57B0F" w:rsidRPr="00E30FB9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C57B0F" w:rsidRPr="00405B29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7F03D4FF" w:rsidR="00C57B0F" w:rsidRPr="00405B29" w:rsidRDefault="009702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14142570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A6DDC70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0FB9" w:rsidRPr="00E30FB9" w14:paraId="6E5E103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12F56D" w14:textId="77777777" w:rsidR="00E30FB9" w:rsidRPr="00E30FB9" w:rsidRDefault="00E30FB9" w:rsidP="00E30FB9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29A101F9" w14:textId="77777777" w:rsidR="00E30FB9" w:rsidRPr="00E30FB9" w:rsidRDefault="00E30FB9" w:rsidP="00E30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5"/>
            </w:tblGrid>
            <w:tr w:rsidR="00E30FB9" w:rsidRPr="00E30FB9" w14:paraId="35FCF699" w14:textId="77777777">
              <w:trPr>
                <w:tblCellSpacing w:w="15" w:type="dxa"/>
              </w:trPr>
              <w:tc>
                <w:tcPr>
                  <w:tcW w:w="6475" w:type="dxa"/>
                  <w:vAlign w:val="center"/>
                  <w:hideMark/>
                </w:tcPr>
                <w:p w14:paraId="20D567D4" w14:textId="0FC5E2EE" w:rsidR="00E30FB9" w:rsidRPr="00E30FB9" w:rsidRDefault="00E30FB9" w:rsidP="00E30FB9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E30FB9">
                    <w:rPr>
                      <w:rFonts w:eastAsia="Calibri"/>
                      <w:bCs/>
                      <w:sz w:val="20"/>
                      <w:szCs w:val="20"/>
                    </w:rPr>
                    <w:t>La empatía implica participación efectiva de empresa en la realidad del cliente.</w:t>
                  </w:r>
                </w:p>
              </w:tc>
            </w:tr>
          </w:tbl>
          <w:p w14:paraId="4D6D2B7B" w14:textId="4CB96E7C" w:rsidR="00C57B0F" w:rsidRPr="0097025D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C57B0F" w:rsidRPr="00405B29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E5D6965" w:rsidR="00C57B0F" w:rsidRPr="00405B29" w:rsidRDefault="009702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405B29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0B09D205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654941E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ED0EB3C" w:rsidR="00C57B0F" w:rsidRPr="004C14CE" w:rsidRDefault="00D91DBC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91DBC">
              <w:rPr>
                <w:rFonts w:eastAsia="Calibri"/>
                <w:bCs/>
                <w:color w:val="auto"/>
                <w:sz w:val="20"/>
                <w:szCs w:val="20"/>
              </w:rPr>
              <w:t>La intangibilidad es característica exclusiva de productos físicos comerciales.</w:t>
            </w:r>
          </w:p>
        </w:tc>
      </w:tr>
      <w:tr w:rsidR="00C57B0F" w:rsidRPr="00405B29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405B2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1C39CBB" w:rsidR="00C57B0F" w:rsidRPr="00405B2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405B2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0D777A3B" w:rsidR="00C57B0F" w:rsidRPr="00405B29" w:rsidRDefault="009702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954CEC8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405B2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405B29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45097E6" w:rsidR="00C57B0F" w:rsidRPr="004C14CE" w:rsidRDefault="00D91D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D91DBC">
              <w:rPr>
                <w:color w:val="auto"/>
                <w:sz w:val="20"/>
                <w:szCs w:val="20"/>
              </w:rPr>
              <w:t xml:space="preserve">La gestión de crisis busca reducir efectos </w:t>
            </w:r>
            <w:r w:rsidR="00513225">
              <w:rPr>
                <w:color w:val="auto"/>
                <w:sz w:val="20"/>
                <w:szCs w:val="20"/>
              </w:rPr>
              <w:t>posi</w:t>
            </w:r>
            <w:r w:rsidRPr="00D91DBC">
              <w:rPr>
                <w:color w:val="auto"/>
                <w:sz w:val="20"/>
                <w:szCs w:val="20"/>
              </w:rPr>
              <w:t>tivos sobre imagen y reputación.</w:t>
            </w:r>
          </w:p>
        </w:tc>
      </w:tr>
      <w:tr w:rsidR="00C57B0F" w:rsidRPr="00405B29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405B2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0C0AA75C" w:rsidR="00C57B0F" w:rsidRPr="00405B2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405B29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405B29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405B2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413B62F3" w:rsidR="00C57B0F" w:rsidRPr="00405B29" w:rsidRDefault="009702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4CB35BA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35F00A4" w:rsidR="00075BDE" w:rsidRPr="004C14CE" w:rsidRDefault="00513225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3225">
              <w:rPr>
                <w:rFonts w:eastAsia="Calibri"/>
                <w:color w:val="auto"/>
                <w:sz w:val="20"/>
                <w:szCs w:val="20"/>
              </w:rPr>
              <w:t>Las crisis organizacionales nunca afectan la reputación digital de las empresas.</w:t>
            </w:r>
          </w:p>
        </w:tc>
      </w:tr>
      <w:tr w:rsidR="00075BDE" w:rsidRPr="00405B29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667AD249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2E8C281" w:rsidR="00075BDE" w:rsidRPr="00405B29" w:rsidRDefault="00513225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6597EDA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AFFEA8B" w:rsidR="00075BDE" w:rsidRPr="0032757F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56E13" w:rsidRPr="00756E13" w14:paraId="3E22088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876B09" w14:textId="77777777" w:rsidR="00756E13" w:rsidRPr="00756E13" w:rsidRDefault="00756E13" w:rsidP="00756E13">
                  <w:pP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3AAD9E66" w14:textId="77777777" w:rsidR="00756E13" w:rsidRPr="00756E13" w:rsidRDefault="00756E13" w:rsidP="00756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3"/>
            </w:tblGrid>
            <w:tr w:rsidR="00756E13" w:rsidRPr="00756E13" w14:paraId="41E95C31" w14:textId="77777777">
              <w:trPr>
                <w:tblCellSpacing w:w="15" w:type="dxa"/>
              </w:trPr>
              <w:tc>
                <w:tcPr>
                  <w:tcW w:w="5603" w:type="dxa"/>
                  <w:vAlign w:val="center"/>
                  <w:hideMark/>
                </w:tcPr>
                <w:p w14:paraId="31A27EDB" w14:textId="77777777" w:rsidR="00756E13" w:rsidRPr="00756E13" w:rsidRDefault="00756E13" w:rsidP="00756E13">
                  <w:pPr>
                    <w:spacing w:line="240" w:lineRule="auto"/>
                    <w:rPr>
                      <w:sz w:val="20"/>
                      <w:szCs w:val="20"/>
                      <w:lang w:val="es-CO"/>
                    </w:rPr>
                  </w:pPr>
                  <w:r w:rsidRPr="00756E13">
                    <w:rPr>
                      <w:sz w:val="20"/>
                      <w:szCs w:val="20"/>
                      <w:lang w:val="es-CO"/>
                    </w:rPr>
                    <w:t>Las etapas de crisis incluyen pre crisis, crisis y post crisis.</w:t>
                  </w:r>
                </w:p>
              </w:tc>
            </w:tr>
          </w:tbl>
          <w:p w14:paraId="08018C5E" w14:textId="3C7A3D1E" w:rsidR="00075BDE" w:rsidRPr="004C14CE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</w:p>
        </w:tc>
      </w:tr>
      <w:tr w:rsidR="00075BDE" w:rsidRPr="00405B29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3CE4FB4B" w:rsidR="00075BDE" w:rsidRPr="00405B29" w:rsidRDefault="00756E1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3789457D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10BF710" w:rsidR="00A9514B" w:rsidRPr="00405B29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56E13" w:rsidRPr="00756E13" w14:paraId="6BE783A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40180D" w14:textId="77777777" w:rsidR="00756E13" w:rsidRPr="00756E13" w:rsidRDefault="00756E13" w:rsidP="00756E13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2BB2DB8A" w14:textId="77777777" w:rsidR="00756E13" w:rsidRPr="00756E13" w:rsidRDefault="00756E13" w:rsidP="00756E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95"/>
            </w:tblGrid>
            <w:tr w:rsidR="00756E13" w:rsidRPr="00756E13" w14:paraId="2C654FB9" w14:textId="77777777">
              <w:trPr>
                <w:tblCellSpacing w:w="15" w:type="dxa"/>
              </w:trPr>
              <w:tc>
                <w:tcPr>
                  <w:tcW w:w="6835" w:type="dxa"/>
                  <w:vAlign w:val="center"/>
                  <w:hideMark/>
                </w:tcPr>
                <w:p w14:paraId="079CFB67" w14:textId="77777777" w:rsidR="00756E13" w:rsidRPr="00756E13" w:rsidRDefault="00756E13" w:rsidP="00756E13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756E13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La gestión de crisis ignora la legislación vigente en las organizaciones.</w:t>
                  </w:r>
                </w:p>
              </w:tc>
            </w:tr>
          </w:tbl>
          <w:p w14:paraId="71B24040" w14:textId="7BEF814B" w:rsidR="00075BDE" w:rsidRPr="004C14CE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075BDE" w:rsidRPr="00405B29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2E0B82AC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405B29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4AA81A73" w:rsidR="00075BDE" w:rsidRPr="00405B29" w:rsidRDefault="00756E1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405B29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2E6948E" w:rsidR="00A9514B" w:rsidRPr="00405B29" w:rsidRDefault="00CE2C5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405B2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405B2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DC9A146" w14:textId="77777777" w:rsidR="009F5F27" w:rsidRPr="009F5F27" w:rsidRDefault="009F5F27" w:rsidP="009F5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p w14:paraId="1DFCF96C" w14:textId="2EAC8937" w:rsidR="00075BDE" w:rsidRPr="0097025D" w:rsidRDefault="009F5F27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F5F27">
              <w:rPr>
                <w:rFonts w:eastAsia="Calibri"/>
                <w:color w:val="auto"/>
                <w:sz w:val="20"/>
                <w:szCs w:val="20"/>
                <w:lang w:val="es-CO"/>
              </w:rPr>
              <w:t>La anticipación en la planificación es parte de gestión de crisis.</w:t>
            </w:r>
          </w:p>
        </w:tc>
      </w:tr>
      <w:tr w:rsidR="00075BDE" w:rsidRPr="00405B29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405B2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1DF52BF6" w:rsidR="00075BDE" w:rsidRPr="00405B29" w:rsidRDefault="00081887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405B29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405B29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405B2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61A44CB0" w:rsidR="00075BDE" w:rsidRPr="00405B2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405B2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32757F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871EFD8" w:rsidR="00A9514B" w:rsidRPr="0032757F" w:rsidRDefault="00CE2C5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A9514B" w:rsidRPr="00405B2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405B29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405B2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05B2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FF1B018" w:rsidR="009921BA" w:rsidRPr="004C14CE" w:rsidRDefault="00081887" w:rsidP="00DC691D">
            <w:pPr>
              <w:rPr>
                <w:rFonts w:eastAsia="Calibri"/>
                <w:sz w:val="20"/>
                <w:szCs w:val="20"/>
              </w:rPr>
            </w:pPr>
            <w:r w:rsidRPr="00081887">
              <w:rPr>
                <w:rFonts w:eastAsia="Calibri"/>
                <w:sz w:val="20"/>
                <w:szCs w:val="20"/>
              </w:rPr>
              <w:t>La analítica digital recopila información generada por usuarios al visitar sitios web.</w:t>
            </w:r>
          </w:p>
        </w:tc>
      </w:tr>
      <w:tr w:rsidR="009921BA" w:rsidRPr="00405B2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2F42BC5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61A602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477FC70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85F829C" w:rsidR="009921BA" w:rsidRPr="0097025D" w:rsidRDefault="00081887" w:rsidP="00DC691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081887">
              <w:rPr>
                <w:rFonts w:eastAsia="Calibri"/>
                <w:sz w:val="20"/>
                <w:szCs w:val="20"/>
                <w:lang w:val="es-CO"/>
              </w:rPr>
              <w:t>La analítica digital no permite comprender comportamiento de usuarios en internet.</w:t>
            </w:r>
          </w:p>
        </w:tc>
      </w:tr>
      <w:tr w:rsidR="009921BA" w:rsidRPr="00405B2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7DBA3915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60212D7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24F2F77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1D217CD" w:rsidR="009921BA" w:rsidRPr="004C14CE" w:rsidRDefault="00317CC9" w:rsidP="00D85D40">
            <w:pPr>
              <w:rPr>
                <w:rFonts w:eastAsia="Calibri"/>
                <w:sz w:val="20"/>
                <w:szCs w:val="20"/>
              </w:rPr>
            </w:pPr>
            <w:r w:rsidRPr="00317CC9">
              <w:rPr>
                <w:rFonts w:eastAsia="Calibri"/>
                <w:sz w:val="20"/>
                <w:szCs w:val="20"/>
              </w:rPr>
              <w:t>Las herramientas de analítica permiten medir interacciones en redes sociales.</w:t>
            </w:r>
          </w:p>
        </w:tc>
      </w:tr>
      <w:tr w:rsidR="009921BA" w:rsidRPr="00405B2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44E06077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V</w:t>
            </w:r>
          </w:p>
        </w:tc>
      </w:tr>
      <w:tr w:rsidR="009921BA" w:rsidRPr="00405B2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9B0F6C1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5343615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92240B0" w:rsidR="009921BA" w:rsidRPr="004C14CE" w:rsidRDefault="00317CC9" w:rsidP="00DC691D">
            <w:pPr>
              <w:rPr>
                <w:rFonts w:eastAsia="Calibri"/>
                <w:sz w:val="20"/>
                <w:szCs w:val="20"/>
              </w:rPr>
            </w:pPr>
            <w:r w:rsidRPr="00317CC9">
              <w:rPr>
                <w:rFonts w:eastAsia="Calibri"/>
                <w:sz w:val="20"/>
                <w:szCs w:val="20"/>
              </w:rPr>
              <w:t xml:space="preserve">Twitter </w:t>
            </w:r>
            <w:proofErr w:type="spellStart"/>
            <w:r w:rsidRPr="00317CC9">
              <w:rPr>
                <w:rFonts w:eastAsia="Calibri"/>
                <w:sz w:val="20"/>
                <w:szCs w:val="20"/>
              </w:rPr>
              <w:t>Analytics</w:t>
            </w:r>
            <w:proofErr w:type="spellEnd"/>
            <w:r w:rsidRPr="00317CC9">
              <w:rPr>
                <w:rFonts w:eastAsia="Calibri"/>
                <w:sz w:val="20"/>
                <w:szCs w:val="20"/>
              </w:rPr>
              <w:t xml:space="preserve"> es una herramienta de medición disponible en redes sociales.</w:t>
            </w:r>
          </w:p>
        </w:tc>
      </w:tr>
      <w:tr w:rsidR="009921BA" w:rsidRPr="00405B2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42187116" w:rsidR="009921BA" w:rsidRPr="00405B29" w:rsidRDefault="00317CC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EB727F8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0B9C36A8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405B2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0EE2169" w:rsidR="009921BA" w:rsidRPr="004C14CE" w:rsidRDefault="002C670F" w:rsidP="00DC691D">
            <w:pPr>
              <w:rPr>
                <w:rFonts w:eastAsia="Calibri"/>
                <w:sz w:val="20"/>
                <w:szCs w:val="20"/>
              </w:rPr>
            </w:pPr>
            <w:r w:rsidRPr="002C670F">
              <w:rPr>
                <w:rFonts w:eastAsia="Calibri"/>
                <w:sz w:val="20"/>
                <w:szCs w:val="20"/>
              </w:rPr>
              <w:t>Las descripciones de productos ayudan al comprador en decisión de compra.</w:t>
            </w:r>
          </w:p>
        </w:tc>
      </w:tr>
      <w:tr w:rsidR="009921BA" w:rsidRPr="00405B2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2E8A624D" w:rsidR="009921BA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405B2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405B29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2B5FE02F" w:rsidR="009921BA" w:rsidRPr="00405B29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405B2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4701E56" w:rsidR="009921BA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9921BA" w:rsidRPr="00405B2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405B29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405B29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3F4EB51" w:rsidR="003605E9" w:rsidRPr="004C14CE" w:rsidRDefault="002C670F" w:rsidP="00DC691D">
            <w:pPr>
              <w:rPr>
                <w:rFonts w:eastAsia="Calibri"/>
                <w:sz w:val="20"/>
                <w:szCs w:val="20"/>
              </w:rPr>
            </w:pPr>
            <w:r w:rsidRPr="002C670F">
              <w:rPr>
                <w:rFonts w:eastAsia="Calibri"/>
                <w:sz w:val="20"/>
                <w:szCs w:val="20"/>
              </w:rPr>
              <w:t>Las descripciones de productos no influyen en decisiones de compra online.</w:t>
            </w:r>
          </w:p>
        </w:tc>
      </w:tr>
      <w:tr w:rsidR="003605E9" w:rsidRPr="00405B2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63BA79C4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2290710A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91E2B62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DEE73FA" w:rsidR="003605E9" w:rsidRPr="004C14CE" w:rsidRDefault="002C670F" w:rsidP="00DC691D">
            <w:pPr>
              <w:rPr>
                <w:rFonts w:eastAsia="Calibri"/>
                <w:sz w:val="20"/>
                <w:szCs w:val="20"/>
              </w:rPr>
            </w:pPr>
            <w:r w:rsidRPr="002C670F">
              <w:rPr>
                <w:rFonts w:eastAsia="Calibri"/>
                <w:sz w:val="20"/>
                <w:szCs w:val="20"/>
              </w:rPr>
              <w:t>Los gráficos ayudan a interpretar grandes volúmenes de datos estadísticos.</w:t>
            </w:r>
          </w:p>
        </w:tc>
      </w:tr>
      <w:tr w:rsidR="003605E9" w:rsidRPr="00405B2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11989B85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7949154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CC3D5A8" w:rsidR="003605E9" w:rsidRPr="00405B29" w:rsidRDefault="00CE2C5A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8B1819E" w:rsidR="003605E9" w:rsidRPr="0097025D" w:rsidRDefault="00EB5126" w:rsidP="00DC691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EB5126">
              <w:rPr>
                <w:rFonts w:eastAsia="Calibri"/>
                <w:sz w:val="20"/>
                <w:szCs w:val="20"/>
                <w:lang w:val="es-CO"/>
              </w:rPr>
              <w:t>Los gráficos deben inducir al error para facilitar interpretación de datos.</w:t>
            </w:r>
          </w:p>
        </w:tc>
      </w:tr>
      <w:tr w:rsidR="003605E9" w:rsidRPr="00405B2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622B0738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5A9B5EE9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058F988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04AA8DF" w:rsidR="003605E9" w:rsidRPr="004C14CE" w:rsidRDefault="00EB5126" w:rsidP="00DC691D">
            <w:pPr>
              <w:rPr>
                <w:rFonts w:eastAsia="Calibri"/>
                <w:sz w:val="20"/>
                <w:szCs w:val="20"/>
              </w:rPr>
            </w:pPr>
            <w:r w:rsidRPr="00EB5126">
              <w:rPr>
                <w:rFonts w:eastAsia="Calibri"/>
                <w:sz w:val="20"/>
                <w:szCs w:val="20"/>
              </w:rPr>
              <w:t>La analítica retrospectiva interpreta datos basados en acontecimientos del pasado.</w:t>
            </w:r>
          </w:p>
        </w:tc>
      </w:tr>
      <w:tr w:rsidR="003605E9" w:rsidRPr="00405B2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7E5EEAEB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5D1D5293" w:rsidR="003605E9" w:rsidRPr="00405B29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3605E9" w:rsidRPr="00405B2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0873EF9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405B2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04D237E" w:rsidR="003605E9" w:rsidRPr="004C14CE" w:rsidRDefault="00EB5126" w:rsidP="00DC691D">
            <w:pPr>
              <w:rPr>
                <w:rFonts w:eastAsia="Calibri"/>
                <w:sz w:val="20"/>
                <w:szCs w:val="20"/>
              </w:rPr>
            </w:pPr>
            <w:r w:rsidRPr="00EB5126">
              <w:rPr>
                <w:rFonts w:eastAsia="Calibri"/>
                <w:sz w:val="20"/>
                <w:szCs w:val="20"/>
              </w:rPr>
              <w:t>Las métricas digitales no miden seguidores ni interacción en redes.</w:t>
            </w:r>
          </w:p>
        </w:tc>
      </w:tr>
      <w:tr w:rsidR="003605E9" w:rsidRPr="00405B2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4D248B46" w:rsidR="003605E9" w:rsidRPr="00405B29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405B2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405B29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27133670" w:rsidR="003605E9" w:rsidRPr="00405B29" w:rsidRDefault="009702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405B2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53DDFD3" w:rsidR="003605E9" w:rsidRPr="00405B29" w:rsidRDefault="00CE2C5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F552BA">
              <w:rPr>
                <w:rFonts w:eastAsia="Calibri"/>
                <w:color w:val="000000"/>
                <w:sz w:val="20"/>
                <w:szCs w:val="20"/>
              </w:rPr>
              <w:t>Protocolos de atención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605E9" w:rsidRPr="00405B2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405B29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405B29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05B2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05B29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405B2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405B29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405B2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405B29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405B29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05B2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05B2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05B2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05B29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05B2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05B29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05B29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405B29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405B29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 xml:space="preserve">Revisión 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405B29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132DBF9" w:rsidR="00A9514B" w:rsidRPr="00405B29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55E28B3" w:rsidR="00A9514B" w:rsidRPr="00405B29" w:rsidRDefault="00B62B1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 w:rsidR="007366B1"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="00982B0D" w:rsidRPr="00405B29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="00C0495F" w:rsidRPr="00405B2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05B29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405B29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405B29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930C3C6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3FF6E21" w:rsidR="00C0495F" w:rsidRPr="00405B29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405B29" w:rsidRDefault="00C57B0F">
      <w:pPr>
        <w:rPr>
          <w:sz w:val="20"/>
          <w:szCs w:val="20"/>
        </w:rPr>
      </w:pPr>
    </w:p>
    <w:sectPr w:rsidR="00C57B0F" w:rsidRPr="00405B2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A917" w14:textId="77777777" w:rsidR="00EF5B33" w:rsidRDefault="00EF5B33">
      <w:pPr>
        <w:spacing w:line="240" w:lineRule="auto"/>
      </w:pPr>
      <w:r>
        <w:separator/>
      </w:r>
    </w:p>
  </w:endnote>
  <w:endnote w:type="continuationSeparator" w:id="0">
    <w:p w14:paraId="4E3FB493" w14:textId="77777777" w:rsidR="00EF5B33" w:rsidRDefault="00EF5B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7743" w14:textId="77777777" w:rsidR="00EF5B33" w:rsidRDefault="00EF5B33">
      <w:pPr>
        <w:spacing w:line="240" w:lineRule="auto"/>
      </w:pPr>
      <w:r>
        <w:separator/>
      </w:r>
    </w:p>
  </w:footnote>
  <w:footnote w:type="continuationSeparator" w:id="0">
    <w:p w14:paraId="0D928686" w14:textId="77777777" w:rsidR="00EF5B33" w:rsidRDefault="00EF5B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347F0"/>
    <w:rsid w:val="00050BA9"/>
    <w:rsid w:val="0005478D"/>
    <w:rsid w:val="00060F5D"/>
    <w:rsid w:val="00062AC6"/>
    <w:rsid w:val="0006318D"/>
    <w:rsid w:val="00064FD9"/>
    <w:rsid w:val="00075BDE"/>
    <w:rsid w:val="00081887"/>
    <w:rsid w:val="00086384"/>
    <w:rsid w:val="0009090B"/>
    <w:rsid w:val="00092C0A"/>
    <w:rsid w:val="00093640"/>
    <w:rsid w:val="00094ABF"/>
    <w:rsid w:val="0009710C"/>
    <w:rsid w:val="0009747F"/>
    <w:rsid w:val="000A1AA9"/>
    <w:rsid w:val="000B4252"/>
    <w:rsid w:val="000C68FF"/>
    <w:rsid w:val="000D5BEE"/>
    <w:rsid w:val="000D6787"/>
    <w:rsid w:val="000E3ADC"/>
    <w:rsid w:val="000E5164"/>
    <w:rsid w:val="000F12F7"/>
    <w:rsid w:val="000F39CD"/>
    <w:rsid w:val="00100424"/>
    <w:rsid w:val="00107802"/>
    <w:rsid w:val="00113B83"/>
    <w:rsid w:val="001268B9"/>
    <w:rsid w:val="0013183F"/>
    <w:rsid w:val="00132124"/>
    <w:rsid w:val="00134D14"/>
    <w:rsid w:val="00135091"/>
    <w:rsid w:val="001770E3"/>
    <w:rsid w:val="0018141D"/>
    <w:rsid w:val="001923BE"/>
    <w:rsid w:val="00192E9C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15539"/>
    <w:rsid w:val="00222F41"/>
    <w:rsid w:val="00225AC9"/>
    <w:rsid w:val="00230CDA"/>
    <w:rsid w:val="00233275"/>
    <w:rsid w:val="00243D0B"/>
    <w:rsid w:val="00253803"/>
    <w:rsid w:val="002541D2"/>
    <w:rsid w:val="00257389"/>
    <w:rsid w:val="002626F3"/>
    <w:rsid w:val="00273E38"/>
    <w:rsid w:val="00276BA7"/>
    <w:rsid w:val="00280E46"/>
    <w:rsid w:val="00281B17"/>
    <w:rsid w:val="00295CF6"/>
    <w:rsid w:val="00296853"/>
    <w:rsid w:val="002976FE"/>
    <w:rsid w:val="002B458C"/>
    <w:rsid w:val="002C5672"/>
    <w:rsid w:val="002C670F"/>
    <w:rsid w:val="002D2A46"/>
    <w:rsid w:val="002D2F66"/>
    <w:rsid w:val="002D3052"/>
    <w:rsid w:val="002E196F"/>
    <w:rsid w:val="002E1EFD"/>
    <w:rsid w:val="002E46FB"/>
    <w:rsid w:val="002E67FA"/>
    <w:rsid w:val="002F0D8C"/>
    <w:rsid w:val="00303B5D"/>
    <w:rsid w:val="0031475B"/>
    <w:rsid w:val="00317CC9"/>
    <w:rsid w:val="0032757F"/>
    <w:rsid w:val="0033416F"/>
    <w:rsid w:val="00337F68"/>
    <w:rsid w:val="0034205F"/>
    <w:rsid w:val="003445E8"/>
    <w:rsid w:val="0034642C"/>
    <w:rsid w:val="00352C4F"/>
    <w:rsid w:val="003605E9"/>
    <w:rsid w:val="00362E05"/>
    <w:rsid w:val="0037115D"/>
    <w:rsid w:val="00372787"/>
    <w:rsid w:val="00373396"/>
    <w:rsid w:val="003772F5"/>
    <w:rsid w:val="00383143"/>
    <w:rsid w:val="00391997"/>
    <w:rsid w:val="003947B1"/>
    <w:rsid w:val="003A0EAD"/>
    <w:rsid w:val="003A4D38"/>
    <w:rsid w:val="003A6E3D"/>
    <w:rsid w:val="003B0514"/>
    <w:rsid w:val="003B0BC1"/>
    <w:rsid w:val="003B4592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11A84"/>
    <w:rsid w:val="00422E62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C14CE"/>
    <w:rsid w:val="004C61E7"/>
    <w:rsid w:val="004C69DE"/>
    <w:rsid w:val="004D5FC9"/>
    <w:rsid w:val="004E2452"/>
    <w:rsid w:val="004E274A"/>
    <w:rsid w:val="004E2A10"/>
    <w:rsid w:val="004E5DC0"/>
    <w:rsid w:val="00504F66"/>
    <w:rsid w:val="00513225"/>
    <w:rsid w:val="0051353F"/>
    <w:rsid w:val="005209ED"/>
    <w:rsid w:val="005333B0"/>
    <w:rsid w:val="0053355A"/>
    <w:rsid w:val="0054653C"/>
    <w:rsid w:val="00554FE0"/>
    <w:rsid w:val="005675AA"/>
    <w:rsid w:val="005735C2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74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9233F"/>
    <w:rsid w:val="00695A8D"/>
    <w:rsid w:val="006B4B2B"/>
    <w:rsid w:val="006C411F"/>
    <w:rsid w:val="006C52FA"/>
    <w:rsid w:val="006E3F79"/>
    <w:rsid w:val="006E6F26"/>
    <w:rsid w:val="006F219D"/>
    <w:rsid w:val="00723773"/>
    <w:rsid w:val="00725E57"/>
    <w:rsid w:val="00734951"/>
    <w:rsid w:val="00736566"/>
    <w:rsid w:val="007366B1"/>
    <w:rsid w:val="00756E13"/>
    <w:rsid w:val="00763ED4"/>
    <w:rsid w:val="007742F8"/>
    <w:rsid w:val="0078087A"/>
    <w:rsid w:val="00782B1E"/>
    <w:rsid w:val="007844D1"/>
    <w:rsid w:val="007878C4"/>
    <w:rsid w:val="00795A33"/>
    <w:rsid w:val="00795B5D"/>
    <w:rsid w:val="007964CC"/>
    <w:rsid w:val="007A10EC"/>
    <w:rsid w:val="007A3F82"/>
    <w:rsid w:val="007B4FCD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5B52"/>
    <w:rsid w:val="0084724A"/>
    <w:rsid w:val="00852539"/>
    <w:rsid w:val="0085630E"/>
    <w:rsid w:val="00857BC7"/>
    <w:rsid w:val="00862211"/>
    <w:rsid w:val="00863C63"/>
    <w:rsid w:val="00890A75"/>
    <w:rsid w:val="008961DC"/>
    <w:rsid w:val="008A2184"/>
    <w:rsid w:val="008B244F"/>
    <w:rsid w:val="008D3097"/>
    <w:rsid w:val="008E1685"/>
    <w:rsid w:val="008E6807"/>
    <w:rsid w:val="008F3C20"/>
    <w:rsid w:val="008F4966"/>
    <w:rsid w:val="008F63E6"/>
    <w:rsid w:val="008F7BC0"/>
    <w:rsid w:val="00902CCE"/>
    <w:rsid w:val="00906963"/>
    <w:rsid w:val="00907059"/>
    <w:rsid w:val="00911A44"/>
    <w:rsid w:val="00911E83"/>
    <w:rsid w:val="00913D70"/>
    <w:rsid w:val="00916FED"/>
    <w:rsid w:val="00917B02"/>
    <w:rsid w:val="0092246B"/>
    <w:rsid w:val="00926600"/>
    <w:rsid w:val="00930143"/>
    <w:rsid w:val="009550D0"/>
    <w:rsid w:val="009559AE"/>
    <w:rsid w:val="00955AC0"/>
    <w:rsid w:val="009601BD"/>
    <w:rsid w:val="009628BA"/>
    <w:rsid w:val="0096492E"/>
    <w:rsid w:val="0097025D"/>
    <w:rsid w:val="00974703"/>
    <w:rsid w:val="00980D38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9F5F27"/>
    <w:rsid w:val="00A052A3"/>
    <w:rsid w:val="00A1442E"/>
    <w:rsid w:val="00A14703"/>
    <w:rsid w:val="00A2096B"/>
    <w:rsid w:val="00A32924"/>
    <w:rsid w:val="00A50801"/>
    <w:rsid w:val="00A61B7E"/>
    <w:rsid w:val="00A648A4"/>
    <w:rsid w:val="00A921C1"/>
    <w:rsid w:val="00A933CC"/>
    <w:rsid w:val="00A9514B"/>
    <w:rsid w:val="00A96BAF"/>
    <w:rsid w:val="00AB15FE"/>
    <w:rsid w:val="00AB23F1"/>
    <w:rsid w:val="00AB6A94"/>
    <w:rsid w:val="00AD2A9D"/>
    <w:rsid w:val="00AD367E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50714"/>
    <w:rsid w:val="00B62B1E"/>
    <w:rsid w:val="00B63D1C"/>
    <w:rsid w:val="00B668FD"/>
    <w:rsid w:val="00B71433"/>
    <w:rsid w:val="00B71C0D"/>
    <w:rsid w:val="00B73479"/>
    <w:rsid w:val="00B80A95"/>
    <w:rsid w:val="00BB0A86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7ED"/>
    <w:rsid w:val="00C2087E"/>
    <w:rsid w:val="00C33AF7"/>
    <w:rsid w:val="00C357B8"/>
    <w:rsid w:val="00C3691B"/>
    <w:rsid w:val="00C44D5A"/>
    <w:rsid w:val="00C57B0F"/>
    <w:rsid w:val="00C61AF1"/>
    <w:rsid w:val="00C65680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4868"/>
    <w:rsid w:val="00CC47A7"/>
    <w:rsid w:val="00CD029C"/>
    <w:rsid w:val="00CD363A"/>
    <w:rsid w:val="00CD3981"/>
    <w:rsid w:val="00CD4B4F"/>
    <w:rsid w:val="00CD65B8"/>
    <w:rsid w:val="00CE2C5A"/>
    <w:rsid w:val="00CF1764"/>
    <w:rsid w:val="00CF24A7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900D8"/>
    <w:rsid w:val="00D91DBC"/>
    <w:rsid w:val="00D96770"/>
    <w:rsid w:val="00DA1A83"/>
    <w:rsid w:val="00DA4AAC"/>
    <w:rsid w:val="00DC0A14"/>
    <w:rsid w:val="00DC25CA"/>
    <w:rsid w:val="00DD40A6"/>
    <w:rsid w:val="00E025D8"/>
    <w:rsid w:val="00E07202"/>
    <w:rsid w:val="00E23F58"/>
    <w:rsid w:val="00E249C9"/>
    <w:rsid w:val="00E26A32"/>
    <w:rsid w:val="00E30FB9"/>
    <w:rsid w:val="00E368E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B5126"/>
    <w:rsid w:val="00EB6400"/>
    <w:rsid w:val="00EC494A"/>
    <w:rsid w:val="00EC68D1"/>
    <w:rsid w:val="00ED2703"/>
    <w:rsid w:val="00ED3B41"/>
    <w:rsid w:val="00ED3F81"/>
    <w:rsid w:val="00EE58C9"/>
    <w:rsid w:val="00EF1E88"/>
    <w:rsid w:val="00EF5B33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429F9"/>
    <w:rsid w:val="00F52AA1"/>
    <w:rsid w:val="00F552BA"/>
    <w:rsid w:val="00F561F4"/>
    <w:rsid w:val="00F634DE"/>
    <w:rsid w:val="00F63FA4"/>
    <w:rsid w:val="00FB0A6C"/>
    <w:rsid w:val="00FB32C0"/>
    <w:rsid w:val="00FB38C9"/>
    <w:rsid w:val="00FB3C0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4FAFABE0-638B-4BA5-87E8-D6ABBCA26EB8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1349</Words>
  <Characters>8300</Characters>
  <Application>Microsoft Office Word</Application>
  <DocSecurity>0</DocSecurity>
  <Lines>377</Lines>
  <Paragraphs>283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Nicolás Cruz Ríos</cp:lastModifiedBy>
  <cp:revision>64</cp:revision>
  <dcterms:created xsi:type="dcterms:W3CDTF">2025-07-31T15:50:00Z</dcterms:created>
  <dcterms:modified xsi:type="dcterms:W3CDTF">2026-03-16T12:25:00Z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