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406C" w14:textId="41A0C3BD" w:rsidR="00023319" w:rsidRDefault="007575CF" w:rsidP="007575CF">
      <w:pPr>
        <w:spacing w:after="0" w:line="276" w:lineRule="auto"/>
        <w:jc w:val="center"/>
        <w:rPr>
          <w:rFonts w:ascii="Arial" w:hAnsi="Arial" w:cs="Arial"/>
          <w:b/>
          <w:bCs/>
        </w:rPr>
      </w:pPr>
      <w:r>
        <w:rPr>
          <w:rFonts w:ascii="Arial" w:hAnsi="Arial" w:cs="Arial"/>
          <w:b/>
          <w:bCs/>
        </w:rPr>
        <w:t>I</w:t>
      </w:r>
      <w:r w:rsidRPr="00023319">
        <w:rPr>
          <w:rFonts w:ascii="Arial" w:hAnsi="Arial" w:cs="Arial"/>
          <w:b/>
          <w:bCs/>
        </w:rPr>
        <w:t>NTEGRACIÓN DE ANÁLISIS, DECISIÓN Y VALOR COMPETITIVO</w:t>
      </w:r>
    </w:p>
    <w:p w14:paraId="30B519D9" w14:textId="77777777" w:rsidR="00023319" w:rsidRPr="00023319" w:rsidRDefault="00023319" w:rsidP="00023319">
      <w:pPr>
        <w:spacing w:after="0" w:line="276" w:lineRule="auto"/>
        <w:jc w:val="both"/>
        <w:rPr>
          <w:rFonts w:ascii="Arial" w:hAnsi="Arial" w:cs="Arial"/>
          <w:b/>
          <w:bCs/>
        </w:rPr>
      </w:pPr>
    </w:p>
    <w:p w14:paraId="64224A58" w14:textId="77777777" w:rsidR="00023319" w:rsidRDefault="00023319" w:rsidP="00023319">
      <w:pPr>
        <w:spacing w:after="0" w:line="276" w:lineRule="auto"/>
        <w:jc w:val="both"/>
        <w:rPr>
          <w:rFonts w:ascii="Arial" w:hAnsi="Arial" w:cs="Arial"/>
        </w:rPr>
      </w:pPr>
      <w:r w:rsidRPr="00023319">
        <w:rPr>
          <w:rFonts w:ascii="Arial" w:hAnsi="Arial" w:cs="Arial"/>
        </w:rPr>
        <w:t>La planeación estratégica de marketing en el Sistema Moda se configura como un proceso determinante para transformar la creatividad en resultados sostenibles dentro de un entorno caracterizado por alta volatilidad, ciclos de producto cortos y una constante resignificación simbólica del consumo. En este contexto, la toma de decisiones no puede depender exclusivamente de la intuición o de la observación superficial de tendencias, ya que la dinámica del mercado exige una comprensión profunda de las interacciones entre consumidor, producto y entorno competitivo. La ausencia de planeación conduce a desarticulación entre diseño, comunicación y comercialización, generando ineficiencias que afectan tanto la rentabilidad como el posicionamiento. Por el contrario, cuando la estrategia se fundamenta en análisis estructurado, permite anticipar escenarios, orientar recursos y alinear las acciones con objetivos claros, convirtiendo el marketing en un sistema de decisión y no en un conjunto de actividades aisladas.</w:t>
      </w:r>
    </w:p>
    <w:p w14:paraId="47978391" w14:textId="77777777" w:rsidR="003B0D49" w:rsidRPr="00023319" w:rsidRDefault="003B0D49" w:rsidP="00023319">
      <w:pPr>
        <w:spacing w:after="0" w:line="276" w:lineRule="auto"/>
        <w:jc w:val="both"/>
        <w:rPr>
          <w:rFonts w:ascii="Arial" w:hAnsi="Arial" w:cs="Arial"/>
        </w:rPr>
      </w:pPr>
    </w:p>
    <w:p w14:paraId="128B0D61" w14:textId="77777777" w:rsidR="00023319" w:rsidRDefault="00023319" w:rsidP="00023319">
      <w:pPr>
        <w:spacing w:after="0" w:line="276" w:lineRule="auto"/>
        <w:jc w:val="both"/>
        <w:rPr>
          <w:rFonts w:ascii="Arial" w:hAnsi="Arial" w:cs="Arial"/>
        </w:rPr>
      </w:pPr>
      <w:r w:rsidRPr="00023319">
        <w:rPr>
          <w:rFonts w:ascii="Arial" w:hAnsi="Arial" w:cs="Arial"/>
        </w:rPr>
        <w:t>En términos estructurales, la planeación estratégica en moda se sustenta en la articulación de variables clave como el análisis del entorno, la segmentación del mercado, la definición de la propuesta de valor y la coherencia de marca. Estas variables no operan de forma independiente, sino que configuran un sistema interrelacionado donde cada decisión impacta las demás. Por ejemplo, la comprensión del consumidor no solo define el diseño del producto, sino también el tono comunicativo y los canales de distribución. Asimismo, la propuesta de valor debe responder tanto a factores funcionales como simbólicos, ya que en moda el producto actúa como vehículo de identidad. Esta interdependencia obliga a las organizaciones a construir marcos estratégicos que integren información cualitativa y cuantitativa, evitando decisiones fragmentadas. En consecuencia, la planeación se convierte en un mecanismo de coherencia organizacional que permite que cada acción responda a una lógica común orientada al mercado.</w:t>
      </w:r>
    </w:p>
    <w:p w14:paraId="6A23D84B" w14:textId="77777777" w:rsidR="003B0D49" w:rsidRPr="00023319" w:rsidRDefault="003B0D49" w:rsidP="00023319">
      <w:pPr>
        <w:spacing w:after="0" w:line="276" w:lineRule="auto"/>
        <w:jc w:val="both"/>
        <w:rPr>
          <w:rFonts w:ascii="Arial" w:hAnsi="Arial" w:cs="Arial"/>
        </w:rPr>
      </w:pPr>
    </w:p>
    <w:p w14:paraId="7B8CFBEE" w14:textId="77777777" w:rsidR="00023319" w:rsidRDefault="00023319" w:rsidP="00023319">
      <w:pPr>
        <w:spacing w:after="0" w:line="276" w:lineRule="auto"/>
        <w:jc w:val="both"/>
        <w:rPr>
          <w:rFonts w:ascii="Arial" w:hAnsi="Arial" w:cs="Arial"/>
        </w:rPr>
      </w:pPr>
      <w:r w:rsidRPr="00023319">
        <w:rPr>
          <w:rFonts w:ascii="Arial" w:hAnsi="Arial" w:cs="Arial"/>
        </w:rPr>
        <w:t>La operacionalización de esta planeación requiere el uso de herramientas y metodologías que permitan traducir el análisis en acciones concretas. Instrumentos como el análisis DOFA, la definición de objetivos SMART, la construcción de perfiles de cliente y la gestión de indicadores de desempeño facilitan la estructuración del proceso estratégico. Sin embargo, su valor no reside en su aplicación aislada, sino en su integración dentro de un flujo continuo de análisis, ejecución y evaluación. En el Sistema Moda, esta integración adquiere mayor relevancia debido a la velocidad de cambio del entorno digital y la influencia de actores como los creadores de contenido. Por ello, la implementación estratégica implica no solo diseñar campañas o colecciones, sino establecer mecanismos de medición que permitan ajustar las decisiones en tiempo real. De esta manera, la planeación deja de ser un documento estático y se convierte en un sistema dinámico de aprendizaje organizacional.</w:t>
      </w:r>
    </w:p>
    <w:p w14:paraId="6C92BBB0" w14:textId="77777777" w:rsidR="007D019C" w:rsidRPr="00023319" w:rsidRDefault="007D019C" w:rsidP="00023319">
      <w:pPr>
        <w:spacing w:after="0" w:line="276" w:lineRule="auto"/>
        <w:jc w:val="both"/>
        <w:rPr>
          <w:rFonts w:ascii="Arial" w:hAnsi="Arial" w:cs="Arial"/>
        </w:rPr>
      </w:pPr>
    </w:p>
    <w:p w14:paraId="0411C79F" w14:textId="77777777" w:rsidR="00023319" w:rsidRPr="00023319" w:rsidRDefault="00023319" w:rsidP="00023319">
      <w:pPr>
        <w:spacing w:after="0" w:line="276" w:lineRule="auto"/>
        <w:jc w:val="both"/>
        <w:rPr>
          <w:rFonts w:ascii="Arial" w:hAnsi="Arial" w:cs="Arial"/>
          <w:b/>
          <w:bCs/>
        </w:rPr>
      </w:pPr>
      <w:r w:rsidRPr="00023319">
        <w:rPr>
          <w:rFonts w:ascii="Arial" w:hAnsi="Arial" w:cs="Arial"/>
          <w:b/>
          <w:bCs/>
        </w:rPr>
        <w:t>Referencias</w:t>
      </w:r>
    </w:p>
    <w:p w14:paraId="3923D4DC" w14:textId="77777777" w:rsidR="00023319" w:rsidRPr="00023319" w:rsidRDefault="00023319" w:rsidP="007772C4">
      <w:pPr>
        <w:spacing w:after="0" w:line="276" w:lineRule="auto"/>
        <w:ind w:left="709" w:hanging="709"/>
        <w:jc w:val="both"/>
        <w:rPr>
          <w:rFonts w:ascii="Arial" w:hAnsi="Arial" w:cs="Arial"/>
        </w:rPr>
      </w:pPr>
      <w:r w:rsidRPr="00023319">
        <w:rPr>
          <w:rFonts w:ascii="Arial" w:hAnsi="Arial" w:cs="Arial"/>
        </w:rPr>
        <w:lastRenderedPageBreak/>
        <w:t xml:space="preserve">Kotler, P., &amp; Keller, K. L. (2016). </w:t>
      </w:r>
      <w:r w:rsidRPr="00023319">
        <w:rPr>
          <w:rFonts w:ascii="Arial" w:hAnsi="Arial" w:cs="Arial"/>
          <w:i/>
          <w:iCs/>
        </w:rPr>
        <w:t>Dirección de marketing</w:t>
      </w:r>
      <w:r w:rsidRPr="00023319">
        <w:rPr>
          <w:rFonts w:ascii="Arial" w:hAnsi="Arial" w:cs="Arial"/>
        </w:rPr>
        <w:t xml:space="preserve"> (15.ª ed.). Pearson Educación.</w:t>
      </w:r>
    </w:p>
    <w:p w14:paraId="2EA9DB4F" w14:textId="77777777" w:rsidR="00023319" w:rsidRPr="00023319" w:rsidRDefault="00023319" w:rsidP="007772C4">
      <w:pPr>
        <w:spacing w:after="0" w:line="276" w:lineRule="auto"/>
        <w:ind w:left="709" w:hanging="709"/>
        <w:jc w:val="both"/>
        <w:rPr>
          <w:rFonts w:ascii="Arial" w:hAnsi="Arial" w:cs="Arial"/>
          <w:lang w:val="en-GB"/>
        </w:rPr>
      </w:pPr>
      <w:r w:rsidRPr="00023319">
        <w:rPr>
          <w:rFonts w:ascii="Arial" w:hAnsi="Arial" w:cs="Arial"/>
        </w:rPr>
        <w:t xml:space="preserve">Porter, M. E. (2020). </w:t>
      </w:r>
      <w:r w:rsidRPr="00023319">
        <w:rPr>
          <w:rFonts w:ascii="Arial" w:hAnsi="Arial" w:cs="Arial"/>
          <w:i/>
          <w:iCs/>
        </w:rPr>
        <w:t>Ventaja competitiva: Creación y sostenimiento de un desempeño superior</w:t>
      </w:r>
      <w:r w:rsidRPr="00023319">
        <w:rPr>
          <w:rFonts w:ascii="Arial" w:hAnsi="Arial" w:cs="Arial"/>
        </w:rPr>
        <w:t xml:space="preserve">. </w:t>
      </w:r>
      <w:r w:rsidRPr="00023319">
        <w:rPr>
          <w:rFonts w:ascii="Arial" w:hAnsi="Arial" w:cs="Arial"/>
          <w:lang w:val="en-GB"/>
        </w:rPr>
        <w:t>Grupo Editorial Patria.</w:t>
      </w:r>
    </w:p>
    <w:p w14:paraId="454F21F1" w14:textId="77777777" w:rsidR="00023319" w:rsidRPr="00023319" w:rsidRDefault="00023319" w:rsidP="007772C4">
      <w:pPr>
        <w:spacing w:after="0" w:line="276" w:lineRule="auto"/>
        <w:ind w:left="709" w:hanging="709"/>
        <w:jc w:val="both"/>
        <w:rPr>
          <w:rFonts w:ascii="Arial" w:hAnsi="Arial" w:cs="Arial"/>
          <w:lang w:val="en-GB"/>
        </w:rPr>
      </w:pPr>
      <w:r w:rsidRPr="00023319">
        <w:rPr>
          <w:rFonts w:ascii="Arial" w:hAnsi="Arial" w:cs="Arial"/>
          <w:lang w:val="en-GB"/>
        </w:rPr>
        <w:t xml:space="preserve">Chaffey, D., &amp; Ellis-Chadwick, F. (2019). </w:t>
      </w:r>
      <w:r w:rsidRPr="00023319">
        <w:rPr>
          <w:rFonts w:ascii="Arial" w:hAnsi="Arial" w:cs="Arial"/>
          <w:i/>
          <w:iCs/>
          <w:lang w:val="en-GB"/>
        </w:rPr>
        <w:t>Digital marketing</w:t>
      </w:r>
      <w:r w:rsidRPr="00023319">
        <w:rPr>
          <w:rFonts w:ascii="Arial" w:hAnsi="Arial" w:cs="Arial"/>
          <w:lang w:val="en-GB"/>
        </w:rPr>
        <w:t xml:space="preserve"> (7th ed.). Pearson.</w:t>
      </w:r>
    </w:p>
    <w:p w14:paraId="07D5F5E4" w14:textId="77777777" w:rsidR="00023319" w:rsidRPr="00023319" w:rsidRDefault="00023319" w:rsidP="007772C4">
      <w:pPr>
        <w:spacing w:after="0" w:line="276" w:lineRule="auto"/>
        <w:ind w:left="709" w:hanging="709"/>
        <w:jc w:val="both"/>
        <w:rPr>
          <w:rFonts w:ascii="Arial" w:hAnsi="Arial" w:cs="Arial"/>
        </w:rPr>
      </w:pPr>
      <w:r w:rsidRPr="00023319">
        <w:rPr>
          <w:rFonts w:ascii="Arial" w:hAnsi="Arial" w:cs="Arial"/>
          <w:lang w:val="en-GB"/>
        </w:rPr>
        <w:t xml:space="preserve">Solomon, M. R. (2020). </w:t>
      </w:r>
      <w:r w:rsidRPr="00023319">
        <w:rPr>
          <w:rFonts w:ascii="Arial" w:hAnsi="Arial" w:cs="Arial"/>
          <w:i/>
          <w:iCs/>
          <w:lang w:val="en-GB"/>
        </w:rPr>
        <w:t>Consumer behavior: Buying, having, and being</w:t>
      </w:r>
      <w:r w:rsidRPr="00023319">
        <w:rPr>
          <w:rFonts w:ascii="Arial" w:hAnsi="Arial" w:cs="Arial"/>
          <w:lang w:val="en-GB"/>
        </w:rPr>
        <w:t xml:space="preserve"> (13th ed.). </w:t>
      </w:r>
      <w:r w:rsidRPr="00023319">
        <w:rPr>
          <w:rFonts w:ascii="Arial" w:hAnsi="Arial" w:cs="Arial"/>
        </w:rPr>
        <w:t>Pearson.</w:t>
      </w:r>
    </w:p>
    <w:p w14:paraId="3646EF6A" w14:textId="77777777" w:rsidR="00023319" w:rsidRPr="00023319" w:rsidRDefault="00023319" w:rsidP="007772C4">
      <w:pPr>
        <w:spacing w:after="0" w:line="276" w:lineRule="auto"/>
        <w:ind w:left="709" w:hanging="709"/>
        <w:jc w:val="both"/>
        <w:rPr>
          <w:rFonts w:ascii="Arial" w:hAnsi="Arial" w:cs="Arial"/>
        </w:rPr>
      </w:pPr>
      <w:r w:rsidRPr="00023319">
        <w:rPr>
          <w:rFonts w:ascii="Arial" w:hAnsi="Arial" w:cs="Arial"/>
        </w:rPr>
        <w:t xml:space="preserve">McKinsey &amp; Company. (2023). </w:t>
      </w:r>
      <w:r w:rsidRPr="00023319">
        <w:rPr>
          <w:rFonts w:ascii="Arial" w:hAnsi="Arial" w:cs="Arial"/>
          <w:i/>
          <w:iCs/>
        </w:rPr>
        <w:t>The State of Fashion 2023</w:t>
      </w:r>
      <w:r w:rsidRPr="00023319">
        <w:rPr>
          <w:rFonts w:ascii="Arial" w:hAnsi="Arial" w:cs="Arial"/>
        </w:rPr>
        <w:t>. McKinsey Insights.</w:t>
      </w:r>
    </w:p>
    <w:p w14:paraId="7E48EFD0" w14:textId="234435B4" w:rsidR="0036019B" w:rsidRPr="0036019B" w:rsidRDefault="0036019B" w:rsidP="0036019B">
      <w:pPr>
        <w:spacing w:after="0" w:line="276" w:lineRule="auto"/>
        <w:jc w:val="both"/>
        <w:rPr>
          <w:rFonts w:ascii="Arial" w:hAnsi="Arial" w:cs="Arial"/>
        </w:rPr>
      </w:pPr>
    </w:p>
    <w:sectPr w:rsidR="0036019B" w:rsidRPr="0036019B"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38C6" w14:textId="77777777" w:rsidR="008A7E5D" w:rsidRDefault="008A7E5D" w:rsidP="004903EB">
      <w:pPr>
        <w:spacing w:after="0" w:line="240" w:lineRule="auto"/>
      </w:pPr>
      <w:r>
        <w:separator/>
      </w:r>
    </w:p>
  </w:endnote>
  <w:endnote w:type="continuationSeparator" w:id="0">
    <w:p w14:paraId="3BB7697B" w14:textId="77777777" w:rsidR="008A7E5D" w:rsidRDefault="008A7E5D"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B42B6" w14:textId="77777777" w:rsidR="008A7E5D" w:rsidRDefault="008A7E5D" w:rsidP="004903EB">
      <w:pPr>
        <w:spacing w:after="0" w:line="240" w:lineRule="auto"/>
      </w:pPr>
      <w:r>
        <w:separator/>
      </w:r>
    </w:p>
  </w:footnote>
  <w:footnote w:type="continuationSeparator" w:id="0">
    <w:p w14:paraId="4FD73A20" w14:textId="77777777" w:rsidR="008A7E5D" w:rsidRDefault="008A7E5D"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23319"/>
    <w:rsid w:val="00046484"/>
    <w:rsid w:val="000557B3"/>
    <w:rsid w:val="00073A12"/>
    <w:rsid w:val="000F1048"/>
    <w:rsid w:val="000F36A8"/>
    <w:rsid w:val="00156202"/>
    <w:rsid w:val="001846C6"/>
    <w:rsid w:val="00271F22"/>
    <w:rsid w:val="002936D9"/>
    <w:rsid w:val="002D43B6"/>
    <w:rsid w:val="0036019B"/>
    <w:rsid w:val="003A264C"/>
    <w:rsid w:val="003B0D49"/>
    <w:rsid w:val="00487569"/>
    <w:rsid w:val="004903EB"/>
    <w:rsid w:val="007575CF"/>
    <w:rsid w:val="007772C4"/>
    <w:rsid w:val="007D019C"/>
    <w:rsid w:val="007D58D5"/>
    <w:rsid w:val="008A7E5D"/>
    <w:rsid w:val="00B41E63"/>
    <w:rsid w:val="00B52BAB"/>
    <w:rsid w:val="00BF5C09"/>
    <w:rsid w:val="00CD1E1C"/>
    <w:rsid w:val="00D04EB3"/>
    <w:rsid w:val="00DC6D63"/>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FA46442-B605-452C-8821-FD42B3C6EBB4}"/>
</file>

<file path=docProps/app.xml><?xml version="1.0" encoding="utf-8"?>
<Properties xmlns="http://schemas.openxmlformats.org/officeDocument/2006/extended-properties" xmlns:vt="http://schemas.openxmlformats.org/officeDocument/2006/docPropsVTypes">
  <Template>Normal</Template>
  <TotalTime>7</TotalTime>
  <Pages>2</Pages>
  <Words>542</Words>
  <Characters>2986</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Nicolás Cruz Ríos</cp:lastModifiedBy>
  <cp:revision>8</cp:revision>
  <dcterms:created xsi:type="dcterms:W3CDTF">2026-05-06T22:00:00Z</dcterms:created>
  <dcterms:modified xsi:type="dcterms:W3CDTF">2026-05-06T22:05:00Z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y fmtid="{D5CDD505-2E9C-101B-9397-08002B2CF9AE}" pid="12" name="Order">
    <vt:r8>83776400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