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C37DB" w:rsidR="00C57B0F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C37DB" w:rsidR="00C57B0F" w:rsidRDefault="008F7BC0" w14:paraId="500712FF" w14:textId="68258E6B">
            <w:pPr>
              <w:jc w:val="center"/>
              <w:rPr>
                <w:rFonts w:ascii="Calibri" w:hAnsi="Calibri" w:eastAsia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58A3302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EC37DB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EC37DB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EC37DB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EC37DB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EC37DB" w:rsidR="00C57B0F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C37DB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C37DB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C37DB" w:rsidR="00230CDA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</w:t>
            </w:r>
          </w:p>
          <w:p w:rsidRPr="00EC37DB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C37DB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C37DB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EC37DB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C37DB" w:rsidR="00C0495F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C37DB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EC37DB" w:rsidR="00C57B0F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EC37DB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EC37DB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:rsidRPr="00EC37DB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EC37DB" w:rsidR="009D553E" w:rsidRDefault="006F219D" w14:paraId="7F3322B2" w14:textId="5BEBC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Esta actividad le permitirá determinar el grado de apropiación de los contenidos del componente formativo</w:t>
            </w:r>
            <w:r w:rsidRPr="00EC37DB" w:rsidR="00230CDA">
              <w:rPr>
                <w:rFonts w:ascii="Calibri" w:hAnsi="Calibri" w:eastAsia="Calibri" w:cs="Calibri"/>
                <w:color w:val="000000"/>
              </w:rPr>
              <w:t xml:space="preserve"> </w:t>
            </w:r>
            <w:r w:rsidRPr="00A41419" w:rsidR="00A41419">
              <w:rPr>
                <w:rFonts w:ascii="Calibri" w:hAnsi="Calibri" w:eastAsia="Calibri" w:cs="Calibri"/>
                <w:color w:val="000000"/>
              </w:rPr>
              <w:t>Principios de la cadena de suministro sostenible.</w:t>
            </w:r>
          </w:p>
          <w:p w:rsidRPr="00EC37DB" w:rsidR="009D553E" w:rsidRDefault="009D553E" w14:paraId="57F23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EC37DB" w:rsidR="00C57B0F" w:rsidRDefault="006F219D" w14:paraId="365D957F" w14:textId="67C6F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C37DB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EC37DB" w:rsidR="00C57B0F" w:rsidRDefault="006F219D" w14:paraId="23B636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Lea la afirmación de cada ítem y luego señale verdadero o falso según corresponda.</w:t>
            </w:r>
          </w:p>
          <w:p w:rsidRPr="00EC37DB" w:rsidR="00C57B0F" w:rsidRDefault="00C57B0F" w14:paraId="204F56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EC37DB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Pr="00EC37DB" w:rsidR="00E27EE2" w:rsidTr="008000F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E27EE2" w:rsidP="00E27EE2" w:rsidRDefault="00E27EE2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:rsidRPr="00E27EE2" w:rsidR="00E27EE2" w:rsidP="00E27EE2" w:rsidRDefault="00E27EE2" w14:paraId="60B4012D" w14:textId="62616D1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27EE2">
              <w:rPr>
                <w:rFonts w:ascii="Calibri" w:hAnsi="Calibri" w:eastAsia="Calibri" w:cs="Calibri"/>
                <w:color w:val="auto"/>
              </w:rPr>
              <w:t>Aspectos teóricos de la conexión y postventa digital.</w:t>
            </w:r>
          </w:p>
        </w:tc>
      </w:tr>
      <w:tr w:rsidRPr="00EC37DB" w:rsidR="00E27EE2" w:rsidTr="008000F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E27EE2" w:rsidP="00E27EE2" w:rsidRDefault="00E27EE2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:rsidRPr="00E27EE2" w:rsidR="00E27EE2" w:rsidP="00E27EE2" w:rsidRDefault="00E27EE2" w14:paraId="79A04D82" w14:textId="0041AB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27EE2">
              <w:rPr>
                <w:rFonts w:ascii="Calibri" w:hAnsi="Calibri" w:eastAsia="Calibri" w:cs="Calibri"/>
                <w:color w:val="auto"/>
              </w:rPr>
              <w:t>Evaluar la comprensión sobre la conexión y postventa digital con el cliente.</w:t>
            </w:r>
          </w:p>
        </w:tc>
      </w:tr>
      <w:tr w:rsidRPr="00EC37DB" w:rsidR="00C57B0F" w:rsidTr="00C57B0F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0FCDD5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EC37DB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EC37DB" w:rsidR="00C57B0F" w:rsidTr="00C57B0F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EC37DB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EC37DB" w:rsidR="00C57B0F" w:rsidTr="00C57B0F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:rsidRPr="00EC37DB" w:rsidR="00C57B0F" w:rsidP="00EC74AB" w:rsidRDefault="00E27EE2" w14:paraId="73542B6F" w14:textId="429DE21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27EE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asesoría al cliente consiste únicamente en responder dudas sobre productos y servicios.</w:t>
            </w:r>
          </w:p>
        </w:tc>
        <w:tc>
          <w:tcPr>
            <w:tcW w:w="2160" w:type="dxa"/>
          </w:tcPr>
          <w:p w:rsidRPr="00EC37DB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proofErr w:type="spellStart"/>
            <w:r w:rsidRPr="00EC37DB">
              <w:rPr>
                <w:rFonts w:ascii="Calibri" w:hAnsi="Calibri" w:eastAsia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hAnsi="Calibri" w:eastAsia="Calibri" w:cs="Calibri"/>
                <w:color w:val="AEAAAA"/>
              </w:rPr>
              <w:t>(s) correcta(s) (x)</w:t>
            </w:r>
          </w:p>
        </w:tc>
      </w:tr>
      <w:tr w:rsidRPr="00EC37DB" w:rsidR="00C57B0F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C57B0F" w14:paraId="4CEC4D6E" w14:textId="3A5A93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B9567D" w14:paraId="0F73ACCC" w14:textId="3FDC50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C57B0F" w:rsidP="00A9514B" w:rsidRDefault="00CA2567" w14:paraId="5B7DC219" w14:textId="076591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</w:t>
            </w:r>
            <w:r w:rsidRPr="00EC37DB" w:rsidR="00A9514B">
              <w:rPr>
                <w:rFonts w:ascii="Calibri" w:hAnsi="Calibri" w:eastAsia="Calibri" w:cs="Calibri"/>
                <w:color w:val="auto"/>
              </w:rPr>
              <w:t>ne un claro entendimiento sobre las</w:t>
            </w:r>
            <w:r w:rsidRPr="00EC37DB" w:rsidR="00A9514B">
              <w:t xml:space="preserve"> </w:t>
            </w:r>
            <w:r w:rsidRPr="00EC37DB" w:rsidR="003C3BBA">
              <w:rPr>
                <w:rFonts w:ascii="Calibri" w:hAnsi="Calibri" w:eastAsia="Calibri" w:cs="Calibri"/>
                <w:color w:val="auto"/>
              </w:rPr>
              <w:t>normas</w:t>
            </w:r>
            <w:r w:rsidRPr="00EC37DB" w:rsidR="00A9514B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EC37DB" w:rsidR="00C57B0F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C57B0F" w:rsidRDefault="006F219D" w14:paraId="025BEC1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C37DB" w:rsidR="00C57B0F" w:rsidP="00222EAF" w:rsidRDefault="00E27EE2" w14:paraId="1B7CAEBC" w14:textId="4055B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27EE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Un CRM permite centralizar información de clientes, registrar interacciones y analizar patrones de consumo para mejorar la atención.</w:t>
            </w:r>
          </w:p>
        </w:tc>
      </w:tr>
      <w:tr w:rsidRPr="00EC37DB" w:rsidR="00C57B0F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EC37DB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:rsidRPr="00EC37DB" w:rsidR="00C57B0F" w:rsidRDefault="00B9567D" w14:paraId="03389B73" w14:textId="44DEF4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EC37DB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:rsidRPr="00EC37DB" w:rsidR="00C57B0F" w:rsidRDefault="00C57B0F" w14:paraId="20A71059" w14:textId="13B94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317B5FC6" w14:textId="731EE0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 w:rsidR="003C3BBA">
              <w:rPr>
                <w:rFonts w:ascii="Calibri" w:hAnsi="Calibri" w:eastAsia="Calibri" w:cs="Calibri"/>
                <w:color w:val="auto"/>
              </w:rPr>
              <w:t>normas</w:t>
            </w:r>
            <w:r w:rsidRPr="00EC37DB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EC37DB" w:rsidR="00A9514B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476BD9A2" w14:textId="08D50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14D8F26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:rsidRPr="00EC37DB" w:rsidR="00C57B0F" w:rsidP="00222EAF" w:rsidRDefault="00E27EE2" w14:paraId="61D73A45" w14:textId="654F4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27EE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El protocolo de asesoría digital busca garantizar uniformidad y profesionalismo en la atención al cliente.</w:t>
            </w:r>
          </w:p>
        </w:tc>
      </w:tr>
      <w:tr w:rsidRPr="00EC37DB" w:rsidR="00C57B0F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EC37DB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:rsidRPr="00EC37DB" w:rsidR="00C57B0F" w:rsidRDefault="00AE0626" w14:paraId="2DEA1E69" w14:textId="2FB2919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EC37DB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:rsidRPr="00EC37DB" w:rsidR="00C57B0F" w:rsidRDefault="00C57B0F" w14:paraId="7459CED2" w14:textId="708808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78C5ECCB" w14:textId="46D47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2902B640" w14:textId="1690F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C57B0F" w:rsidRDefault="006F219D" w14:paraId="40EFDFE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C37DB" w:rsidR="00C57B0F" w:rsidP="00222EAF" w:rsidRDefault="00E27EE2" w14:paraId="4D6D2B7B" w14:textId="4B9245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27EE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etapa de seguimiento consiste solo en verificar que el producto fue entregado, sin importar la satisfacción del cliente.</w:t>
            </w:r>
          </w:p>
        </w:tc>
      </w:tr>
      <w:tr w:rsidRPr="00EC37DB" w:rsidR="00C57B0F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C57B0F" w14:paraId="67A2608D" w14:textId="6DECB7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AE0626" w14:paraId="4363353C" w14:textId="2D400BD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747E4A24" w14:textId="29A33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231C98AB" w14:textId="6EC1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3E6EF9D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:rsidRPr="00EC37DB" w:rsidR="00C57B0F" w:rsidP="00222EAF" w:rsidRDefault="004575F5" w14:paraId="42742D49" w14:textId="3051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4575F5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percepción del cliente depende únicamente de la calidad objetiva del producto.</w:t>
            </w:r>
          </w:p>
        </w:tc>
      </w:tr>
      <w:tr w:rsidRPr="00EC37DB" w:rsidR="00C57B0F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C57B0F" w14:paraId="5DFF5F4F" w14:textId="407E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4575F5" w14:paraId="6CAA8A0E" w14:textId="4B09AED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547EA69B" w14:textId="0B660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5ED92D06" w14:textId="041B6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C57B0F" w:rsidRDefault="006F219D" w14:paraId="5C7778E8" w14:textId="5B9F316A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EC37DB" w:rsidR="00EA1809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C37DB" w:rsidR="00C57B0F" w:rsidP="009C39D1" w:rsidRDefault="007B1039" w14:paraId="6E665151" w14:textId="57DCB5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7B1039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confianza del cliente es uno de los criterios que influyen en su percepción sobre la empresa.</w:t>
            </w:r>
          </w:p>
        </w:tc>
      </w:tr>
      <w:tr w:rsidRPr="00EC37DB" w:rsidR="00C57B0F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54031499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7B1039" w14:paraId="7144C3D7" w14:textId="426843B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5EEFD0D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C57B0F" w14:paraId="0F224258" w14:textId="493647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3C855C1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632BB5D3" w14:textId="2C931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44B83E0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6B3062F0" w14:textId="4C90A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075BDE" w:rsidP="00C411F0" w:rsidRDefault="00075BDE" w14:paraId="6151D01D" w14:textId="3BC09AE1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:rsidRPr="00EC37DB" w:rsidR="00075BDE" w:rsidP="009C39D1" w:rsidRDefault="007B1039" w14:paraId="1AA9E5AB" w14:textId="7D1EEC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7B1039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resolución de conflictos busca minimizar impactos negativos sobre la satisfacción del cliente y la imagen de la empresa.</w:t>
            </w:r>
          </w:p>
        </w:tc>
      </w:tr>
      <w:tr w:rsidRPr="00EC37DB" w:rsidR="00075BDE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075BDE" w:rsidP="00C411F0" w:rsidRDefault="00075BDE" w14:paraId="62CBDCC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5A4609" w14:paraId="600CF4DF" w14:textId="2D6576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075BDE" w:rsidP="00C411F0" w:rsidRDefault="00075BDE" w14:paraId="61D388C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075BDE" w14:paraId="67FEF3BA" w14:textId="28856F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356CA5B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241E9E6C" w14:textId="16612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1B0CAFD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50C17735" w14:textId="6B6C1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075BDE" w:rsidP="00C411F0" w:rsidRDefault="00075BDE" w14:paraId="4A75105D" w14:textId="471587AE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C37DB" w:rsidR="00075BDE" w:rsidP="009C39D1" w:rsidRDefault="007B1039" w14:paraId="08018C5E" w14:textId="091FF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7B1039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mediación</w:t>
            </w:r>
            <w:r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 xml:space="preserve"> no</w:t>
            </w:r>
            <w:r w:rsidRPr="007B1039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 xml:space="preserve"> es una técnica de resolución de conflictos donde un tercero neutral facilita la comunicación entre las partes.</w:t>
            </w:r>
          </w:p>
        </w:tc>
      </w:tr>
      <w:tr w:rsidRPr="00EC37DB" w:rsidR="00075BDE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075BDE" w:rsidP="00C411F0" w:rsidRDefault="00075BDE" w14:paraId="4D3214D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075BDE" w14:paraId="3D3D3203" w14:textId="7704C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075BDE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075BDE" w:rsidP="00C411F0" w:rsidRDefault="00075BDE" w14:paraId="77942D8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AE0626" w14:paraId="41107FE9" w14:textId="0CDFB7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14E40D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0BDDBE87" w14:textId="6A2CF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411F0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1F97FD5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24DEA7BB" w14:textId="708C8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075BDE" w:rsidP="00C411F0" w:rsidRDefault="00075BDE" w14:paraId="5FFFC194" w14:textId="0D986116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:rsidRPr="00EC37DB" w:rsidR="00075BDE" w:rsidP="009C39D1" w:rsidRDefault="007B1039" w14:paraId="71B24040" w14:textId="6E4D9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7B1039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Una solicitud solo se considera atendida cuando se recibe el requerimiento; no importa el seguimiento ni la resolución.</w:t>
            </w:r>
          </w:p>
        </w:tc>
      </w:tr>
      <w:tr w:rsidRPr="00EC37DB" w:rsidR="00075BDE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075BDE" w:rsidP="00C411F0" w:rsidRDefault="00075BDE" w14:paraId="69DD5B4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075BDE" w14:paraId="047B674B" w14:textId="6185EAF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075BDE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075BDE" w:rsidP="00C411F0" w:rsidRDefault="00075BDE" w14:paraId="7C0A3B9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7B1039" w14:paraId="5921DDBC" w14:textId="5841708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00C411F0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70884D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380941A9" w14:textId="388067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75B53389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075BDE" w:rsidP="00C411F0" w:rsidRDefault="00075BDE" w14:paraId="725ABC76" w14:textId="3598DB6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C37DB" w:rsidR="00075BDE" w:rsidP="00E617CF" w:rsidRDefault="006149F8" w14:paraId="1DFCF96C" w14:textId="1F51C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6149F8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 xml:space="preserve">El </w:t>
            </w:r>
            <w:r w:rsidRPr="006149F8">
              <w:rPr>
                <w:rFonts w:ascii="Calibri" w:hAnsi="Calibri" w:eastAsia="Calibri" w:cs="Calibri"/>
                <w:b/>
                <w:i/>
                <w:iCs/>
                <w:color w:val="auto"/>
                <w:sz w:val="20"/>
                <w:szCs w:val="20"/>
              </w:rPr>
              <w:t>marketing</w:t>
            </w:r>
            <w:r w:rsidRPr="006149F8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 xml:space="preserve"> relacional se enfoca en mantener relaciones duraderas con los clientes, no únicamente en la transacción de venta.</w:t>
            </w:r>
          </w:p>
        </w:tc>
      </w:tr>
      <w:tr w:rsidRPr="00EC37DB" w:rsidR="00075BDE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075BDE" w:rsidP="00C411F0" w:rsidRDefault="00075BDE" w14:paraId="5935BE4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AE0626" w14:paraId="719B547A" w14:textId="45A95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075BDE" w:rsidP="00C411F0" w:rsidRDefault="00075BDE" w14:paraId="2283AC5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075BDE" w14:paraId="5D33B248" w14:textId="45E6E3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1C942E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7BD9C98F" w14:textId="7277C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11C80B6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Tr="4821269C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2E46FB" w:rsidR="009921BA" w:rsidP="00DC691D" w:rsidRDefault="009921BA" w14:paraId="03639DCA" w14:textId="4C958FE2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2E46FB">
              <w:rPr>
                <w:rFonts w:ascii="Calibri" w:hAnsi="Calibri" w:eastAsia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C14D60" w:rsidRDefault="006149F8" w14:paraId="1FA8F7AC" w14:textId="0971213C">
            <w:pPr>
              <w:rPr>
                <w:rFonts w:ascii="Calibri" w:hAnsi="Calibri" w:eastAsia="Calibri" w:cs="Calibri"/>
                <w:color w:val="AEAAAA"/>
                <w:lang w:val="es-ES"/>
              </w:rPr>
            </w:pPr>
            <w:r w:rsidRPr="4821269C" w:rsidR="006149F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La personalización de la oferta es una estrategia del</w:t>
            </w:r>
            <w:r w:rsidRPr="4821269C" w:rsidR="006149F8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sz w:val="20"/>
                <w:szCs w:val="20"/>
              </w:rPr>
              <w:t xml:space="preserve"> marketing</w:t>
            </w:r>
            <w:r w:rsidRPr="4821269C" w:rsidR="006149F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relacional que adapta productos y comunicaciones al perfil del cliente.</w:t>
            </w:r>
          </w:p>
        </w:tc>
      </w:tr>
      <w:tr w:rsidRPr="00EA1809" w:rsidR="009921BA" w:rsidTr="4821269C" w14:paraId="7364B266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9921BA" w:rsidP="00DC691D" w:rsidRDefault="009921BA" w14:paraId="11A22D7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90306" w:rsidR="009921BA" w:rsidP="00DC691D" w:rsidRDefault="009921BA" w14:paraId="15B78953" w14:textId="77777777">
            <w:pPr>
              <w:rPr>
                <w:rFonts w:ascii="Calibri" w:hAnsi="Calibri" w:eastAsia="Calibri" w:cs="Calibri"/>
              </w:rPr>
            </w:pPr>
            <w:r w:rsidRPr="00390306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90306" w:rsidR="009921BA" w:rsidP="00DC691D" w:rsidRDefault="00AE0626" w14:paraId="3D1BED20" w14:textId="1D7E1463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4821269C" w14:paraId="53B78634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791CE1B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90306" w:rsidR="009921BA" w:rsidP="00DC691D" w:rsidRDefault="009921BA" w14:paraId="640C5AFC" w14:textId="77777777">
            <w:pPr>
              <w:rPr>
                <w:rFonts w:ascii="Calibri" w:hAnsi="Calibri" w:eastAsia="Calibri" w:cs="Calibri"/>
              </w:rPr>
            </w:pPr>
            <w:r w:rsidRPr="00390306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90306" w:rsidR="009921BA" w:rsidP="00DC691D" w:rsidRDefault="009921BA" w14:paraId="490B5B39" w14:textId="6D818953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4821269C" w14:paraId="4CA5DFD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9921BA" w:rsidR="009921BA" w:rsidP="00DC691D" w:rsidRDefault="009921BA" w14:paraId="42A45354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351DA092" w14:textId="484F1C65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4821269C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128872E1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17ABD152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4821269C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158FB807" w14:textId="44292346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9E34B2" w:rsidRDefault="00727941" w14:paraId="45939313" w14:textId="62E929B6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727941">
              <w:rPr>
                <w:rFonts w:ascii="Calibri" w:hAnsi="Calibri" w:eastAsia="Calibri" w:cs="Calibri"/>
                <w:b/>
                <w:sz w:val="20"/>
                <w:szCs w:val="20"/>
              </w:rPr>
              <w:t>La postventa digital es un proceso reactivo que solo actúa cuando el cliente tiene problemas.</w:t>
            </w:r>
          </w:p>
        </w:tc>
      </w:tr>
      <w:tr w:rsidRPr="00EA1809" w:rsidR="009921BA" w:rsidTr="4821269C" w14:paraId="18AC1DD0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9921BA" w:rsidP="00DC691D" w:rsidRDefault="009921BA" w14:paraId="04864D0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2F456E51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15A5E76E" w14:textId="312D1C76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4821269C" w14:paraId="33BECFBE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1E00668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106A9BE5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AE0626" w14:paraId="64EB58E9" w14:textId="07D27DB4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4821269C" w14:paraId="55F84E2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9921BA" w:rsidR="009921BA" w:rsidP="00DC691D" w:rsidRDefault="009921BA" w14:paraId="3A34717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08F26423" w14:textId="2CE1821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4821269C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31DA49C4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1E4CAEC2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4821269C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03843485" w14:textId="2E44233C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9E34B2" w:rsidRDefault="00727941" w14:paraId="01DF753D" w14:textId="49A11749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727941">
              <w:rPr>
                <w:rFonts w:ascii="Calibri" w:hAnsi="Calibri" w:eastAsia="Calibri" w:cs="Calibri"/>
                <w:b/>
                <w:sz w:val="20"/>
                <w:szCs w:val="20"/>
              </w:rPr>
              <w:t>Una correcta postventa digital incluye etapas de confirmación de compra, seguimiento, soporte, retroalimentación y fidelización.</w:t>
            </w:r>
          </w:p>
        </w:tc>
      </w:tr>
      <w:tr w:rsidRPr="00EA1809" w:rsidR="009921BA" w:rsidTr="4821269C" w14:paraId="66F869E2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9921BA" w:rsidP="00DC691D" w:rsidRDefault="009921BA" w14:paraId="6AC70E6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71814AD4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3F431E" w14:paraId="0820A220" w14:textId="383C240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4821269C" w14:paraId="09EAF596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6302EF2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029D5BC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69D77687" w14:textId="763FF218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4821269C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15DC2C2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3A9576AE" w14:textId="69DC5B4E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4821269C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213FFEB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2F1C7725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4821269C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5134C5C9" w14:textId="14703DCF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7D71B5" w:rsidRDefault="00727941" w14:paraId="70949CAA" w14:textId="1C9DDE26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727941">
              <w:rPr>
                <w:rFonts w:ascii="Calibri" w:hAnsi="Calibri" w:eastAsia="Calibri" w:cs="Calibri"/>
                <w:b/>
                <w:sz w:val="20"/>
                <w:szCs w:val="20"/>
              </w:rPr>
              <w:t>El procedimiento de escalamiento de casos busca que todos los problemas se resuelvan sin necesidad de pasar a niveles superiores.</w:t>
            </w:r>
          </w:p>
        </w:tc>
      </w:tr>
      <w:tr w:rsidRPr="00EA1809" w:rsidR="009921BA" w:rsidTr="4821269C" w14:paraId="3B350F66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9921BA" w:rsidP="00DC691D" w:rsidRDefault="009921BA" w14:paraId="2A6A093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40F14FAA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0489F2D2" w14:textId="4FF497A9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4821269C" w14:paraId="19856D6D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7D9C7CD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776F2F0E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110A34" w14:paraId="7F6D2731" w14:textId="756B1B6A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4821269C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2EC3B45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24EAE505" w14:textId="4D103DF6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4821269C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3503AF72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696E8B3E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4821269C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4E37D725" w14:textId="3819A0A8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7D71B5" w:rsidRDefault="00727941" w14:paraId="4F459350" w14:textId="33B8AD3E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727941">
              <w:rPr>
                <w:rFonts w:ascii="Calibri" w:hAnsi="Calibri" w:eastAsia="Calibri" w:cs="Calibri"/>
                <w:b/>
                <w:sz w:val="20"/>
                <w:szCs w:val="20"/>
              </w:rPr>
              <w:t>Los niveles de cumplimiento miden el grado en que la empresa satisface los compromisos adquiridos con el cliente.</w:t>
            </w:r>
          </w:p>
        </w:tc>
      </w:tr>
      <w:tr w:rsidRPr="00EA1809" w:rsidR="009921BA" w:rsidTr="4821269C" w14:paraId="194EF9E6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9921BA" w:rsidP="00DC691D" w:rsidRDefault="009921BA" w14:paraId="6AB07DA2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0FD09083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110A34" w14:paraId="4F44B134" w14:textId="64B60B36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4821269C" w14:paraId="7C6598A8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05D5B683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72C77DC7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6A31325A" w14:textId="38B72292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4821269C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609E6FC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3933CE3C" w14:textId="623BFEB6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4821269C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09D8425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4876B7B6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4821269C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0A7C9E3" w14:textId="37AAFE80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007D71B5" w:rsidRDefault="00CA31C1" w14:paraId="5FF8DC8F" w14:textId="64A13681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CA31C1">
              <w:rPr>
                <w:rFonts w:ascii="Calibri" w:hAnsi="Calibri" w:eastAsia="Calibri" w:cs="Calibri"/>
                <w:b/>
                <w:sz w:val="20"/>
                <w:szCs w:val="20"/>
              </w:rPr>
              <w:t>El indicador CSAT permite medir la percepción del cliente respecto al cumplimiento de sus expectativas.</w:t>
            </w:r>
          </w:p>
        </w:tc>
      </w:tr>
      <w:tr w:rsidRPr="00EA1809" w:rsidR="003605E9" w:rsidTr="4821269C" w14:paraId="56C426A3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3605E9" w:rsidP="00DC691D" w:rsidRDefault="003605E9" w14:paraId="488060F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01469E1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CA31C1" w14:paraId="2A2E8C2B" w14:textId="17B4E8F4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4821269C" w14:paraId="2B70C3E1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3E0B1A9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4B084230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16E006C7" w14:textId="1259964F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4821269C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017626F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3C28120B" w14:textId="603AD469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4821269C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53E035D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5B7F3F44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4821269C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590620B9" w14:textId="6E959CDF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007D71B5" w:rsidRDefault="00CA31C1" w14:paraId="5B224CF8" w14:textId="0C5BFFF6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CA31C1">
              <w:rPr>
                <w:rFonts w:ascii="Calibri" w:hAnsi="Calibri" w:eastAsia="Calibri" w:cs="Calibri"/>
                <w:b/>
                <w:sz w:val="20"/>
                <w:szCs w:val="20"/>
              </w:rPr>
              <w:t>La medición de los niveles de cumplimiento no requiere sistemas tecnológicos ni registro de datos.</w:t>
            </w:r>
          </w:p>
        </w:tc>
      </w:tr>
      <w:tr w:rsidRPr="00EA1809" w:rsidR="003605E9" w:rsidTr="4821269C" w14:paraId="71E0805B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3605E9" w:rsidP="00DC691D" w:rsidRDefault="003605E9" w14:paraId="007D9B7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6DC200F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46ACE52B" w14:textId="40773784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4821269C" w14:paraId="79A5F800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4CA905D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B50E5F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CA31C1" w14:paraId="3993E431" w14:textId="389990C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4821269C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F280DC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6EA5C689" w14:textId="5F639C4E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4821269C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D4DA86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5741569F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Pr="00EA1809" w:rsidR="003605E9" w:rsidTr="4821269C" w14:paraId="6DC135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06EB1A7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4633A53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3605E9" w:rsidTr="4821269C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8333329" w14:textId="256116AB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003F431E" w:rsidRDefault="00CA31C1" w14:paraId="4F3E856F" w14:textId="65A813B3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CA31C1">
              <w:rPr>
                <w:rFonts w:ascii="Calibri" w:hAnsi="Calibri" w:eastAsia="Calibri" w:cs="Calibri"/>
                <w:b/>
                <w:sz w:val="20"/>
                <w:szCs w:val="20"/>
              </w:rPr>
              <w:t>El manejo estratégico de los niveles de cumplimiento incluye enfoques preventivo, correctivo y estratégico</w:t>
            </w:r>
          </w:p>
        </w:tc>
      </w:tr>
      <w:tr w:rsidRPr="00EA1809" w:rsidR="003605E9" w:rsidTr="4821269C" w14:paraId="24A2C86E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3605E9" w:rsidP="00DC691D" w:rsidRDefault="003605E9" w14:paraId="70D1B1E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37A37776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CA31C1" w14:paraId="152AC3B6" w14:textId="7461CC2C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4821269C" w14:paraId="57B20FA5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13EFD6F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73177622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661BE877" w14:textId="7C08B056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4821269C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50F14CA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0E9D8026" w14:textId="6FC3558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4821269C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C5B336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1D0A1FC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4821269C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18AF5C50" w14:textId="3D0AF47B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00644858" w:rsidRDefault="005E18B4" w14:paraId="1A7539C3" w14:textId="42366C08">
            <w:pPr>
              <w:rPr>
                <w:rFonts w:ascii="Calibri" w:hAnsi="Calibri" w:eastAsia="Calibri" w:cs="Calibri"/>
                <w:color w:val="AEAAAA"/>
                <w:lang w:val="es-ES"/>
              </w:rPr>
            </w:pPr>
            <w:r w:rsidRPr="005E18B4">
              <w:rPr>
                <w:rFonts w:ascii="Calibri" w:hAnsi="Calibri" w:eastAsia="Calibri" w:cs="Calibri"/>
                <w:b/>
                <w:sz w:val="20"/>
                <w:szCs w:val="20"/>
              </w:rPr>
              <w:t>La resolución proactiva de conflictos busca anticipar problemas antes de que escalen y mejorar la percepción del cliente.</w:t>
            </w:r>
          </w:p>
        </w:tc>
      </w:tr>
      <w:tr w:rsidRPr="00EA1809" w:rsidR="003605E9" w:rsidTr="4821269C" w14:paraId="1852A647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3605E9" w:rsidP="00DC691D" w:rsidRDefault="003605E9" w14:paraId="0E15289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5CC2C95F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B082E" w14:paraId="37B43B45" w14:textId="20FFC7CF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4821269C" w14:paraId="1E86B579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35C1ADF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623B8ABC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21463C5E" w14:textId="0FA1022E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4821269C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30EC95D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7F3CF307" w14:textId="1E0D5B3D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4821269C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376D623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7A5DED3C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4821269C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851E16E" w14:textId="277E4D24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3F431E" w:rsidR="003605E9" w:rsidP="007D71B5" w:rsidRDefault="005E18B4" w14:paraId="2842357E" w14:textId="69B98C0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5E18B4">
              <w:rPr>
                <w:rFonts w:ascii="Calibri" w:hAnsi="Calibri" w:eastAsia="Calibri" w:cs="Calibri"/>
                <w:b/>
                <w:sz w:val="20"/>
                <w:szCs w:val="20"/>
              </w:rPr>
              <w:t>La gestión de solicitudes solo consiste en recibirlas; no es necesario registrarlas ni clasificarlas para su resolución.</w:t>
            </w:r>
          </w:p>
        </w:tc>
      </w:tr>
      <w:tr w:rsidRPr="00EA1809" w:rsidR="003605E9" w:rsidTr="4821269C" w14:paraId="6D9EEA78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3605E9" w:rsidP="00DC691D" w:rsidRDefault="003605E9" w14:paraId="32E32C3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5023CF7C" w14:textId="77777777">
            <w:pPr>
              <w:rPr>
                <w:rFonts w:ascii="Calibri" w:hAnsi="Calibri" w:eastAsia="Calibri" w:cs="Calibri"/>
              </w:rPr>
            </w:pPr>
            <w:r w:rsidRPr="003F431E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F431E" w:rsidR="003605E9" w:rsidP="00DC691D" w:rsidRDefault="003605E9" w14:paraId="08DBA6E9" w14:textId="775358DA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4821269C" w14:paraId="79A10AE3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0495F5C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0802BA9F" w14:textId="77777777">
            <w:pPr>
              <w:rPr>
                <w:rFonts w:ascii="Calibri" w:hAnsi="Calibri" w:eastAsia="Calibri" w:cs="Calibri"/>
              </w:rPr>
            </w:pPr>
            <w:r w:rsidRPr="003F431E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F431E" w:rsidR="003605E9" w:rsidP="00DC691D" w:rsidRDefault="005E18B4" w14:paraId="6BBE2BBE" w14:textId="0E3DE3A8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4821269C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322B91D7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C3BBA" w14:paraId="4C86A3D2" w14:textId="0EBA329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4821269C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7956677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29889CED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="00B11CF2" w:rsidP="00B11CF2" w:rsidRDefault="00B11CF2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B11CF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B11CF2" w:rsidP="00B11CF2" w:rsidRDefault="00B11CF2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996CB7" w:rsidR="00B11CF2" w:rsidP="00B11CF2" w:rsidRDefault="00B11CF2" w14:paraId="674AF642" w14:textId="5795A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5D6C01">
              <w:rPr>
                <w:rFonts w:ascii="Calibri" w:hAnsi="Calibri" w:eastAsia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B11CF2" w:rsidP="00B11CF2" w:rsidRDefault="00B11CF2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:rsidRPr="00996CB7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5D6C01">
              <w:rPr>
                <w:rFonts w:ascii="Calibri" w:hAnsi="Calibri" w:eastAsia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="00C57B0F" w:rsidP="005E18B4" w:rsidRDefault="00C57B0F" w14:paraId="282C4038" w14:textId="22D0ADFA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Tr="1A0ACE95" w14:paraId="0A96D572" w14:textId="77777777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Tr="1A0ACE95" w14:paraId="005ED745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="00E04750" w:rsidTr="1A0ACE95" w14:paraId="1130B9B3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A72D93" w:rsidRDefault="00E04750" w14:paraId="3F15125C" w14:textId="1B876CEF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A72D93" w:rsidRDefault="00E04750" w14:paraId="266E2D1D" w14:textId="30602CE1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A72D93" w:rsidRDefault="00EC74AB" w14:paraId="6BC57545" w14:textId="72C83FD4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Febrero de 2026</w:t>
            </w:r>
          </w:p>
        </w:tc>
      </w:tr>
      <w:tr w:rsidR="00E04750" w:rsidTr="1A0ACE95" w14:paraId="1A70A9BF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1A0ACE95" w:rsidRDefault="00E04750" w14:paraId="0FCA66BF" w14:noSpellErr="1" w14:textId="72FCF6F8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1A0ACE95" w:rsidR="00E04750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1A0ACE95" w:rsidRDefault="00E04750" w14:paraId="62D46FB2" w14:textId="6C682C65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1A0ACE95" w:rsidR="7FA63301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1A0ACE95" w:rsidRDefault="00E04750" w14:paraId="0ACDF65B" w14:textId="49A7A33C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1A0ACE95" w:rsidR="7FA63301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Marzo 2026</w:t>
            </w:r>
          </w:p>
        </w:tc>
      </w:tr>
    </w:tbl>
    <w:p w:rsidR="00293A88" w:rsidP="003F431E" w:rsidRDefault="00293A88" w14:paraId="0D5C50D7" w14:textId="77777777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1F9C" w:rsidRDefault="004A1F9C" w14:paraId="19F62F75" w14:textId="77777777">
      <w:pPr>
        <w:spacing w:line="240" w:lineRule="auto"/>
      </w:pPr>
      <w:r>
        <w:separator/>
      </w:r>
    </w:p>
  </w:endnote>
  <w:endnote w:type="continuationSeparator" w:id="0">
    <w:p w:rsidR="004A1F9C" w:rsidRDefault="004A1F9C" w14:paraId="2918606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1F9C" w:rsidRDefault="004A1F9C" w14:paraId="51C89C7F" w14:textId="77777777">
      <w:pPr>
        <w:spacing w:line="240" w:lineRule="auto"/>
      </w:pPr>
      <w:r>
        <w:separator/>
      </w:r>
    </w:p>
  </w:footnote>
  <w:footnote w:type="continuationSeparator" w:id="0">
    <w:p w:rsidR="004A1F9C" w:rsidRDefault="004A1F9C" w14:paraId="66BEC2C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2"/>
  </w:num>
  <w:num w:numId="2" w16cid:durableId="484932436">
    <w:abstractNumId w:val="2"/>
  </w:num>
  <w:num w:numId="3" w16cid:durableId="132406852">
    <w:abstractNumId w:val="8"/>
  </w:num>
  <w:num w:numId="4" w16cid:durableId="490829284">
    <w:abstractNumId w:val="6"/>
  </w:num>
  <w:num w:numId="5" w16cid:durableId="289670536">
    <w:abstractNumId w:val="14"/>
  </w:num>
  <w:num w:numId="6" w16cid:durableId="136724248">
    <w:abstractNumId w:val="1"/>
  </w:num>
  <w:num w:numId="7" w16cid:durableId="1717389203">
    <w:abstractNumId w:val="4"/>
  </w:num>
  <w:num w:numId="8" w16cid:durableId="118767564">
    <w:abstractNumId w:val="10"/>
  </w:num>
  <w:num w:numId="9" w16cid:durableId="621958319">
    <w:abstractNumId w:val="7"/>
  </w:num>
  <w:num w:numId="10" w16cid:durableId="2019457068">
    <w:abstractNumId w:val="0"/>
  </w:num>
  <w:num w:numId="11" w16cid:durableId="1482042009">
    <w:abstractNumId w:val="11"/>
  </w:num>
  <w:num w:numId="12" w16cid:durableId="1684817111">
    <w:abstractNumId w:val="13"/>
  </w:num>
  <w:num w:numId="13" w16cid:durableId="1938250476">
    <w:abstractNumId w:val="5"/>
  </w:num>
  <w:num w:numId="14" w16cid:durableId="666905484">
    <w:abstractNumId w:val="9"/>
  </w:num>
  <w:num w:numId="15" w16cid:durableId="1814788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39CD"/>
    <w:rsid w:val="00110A34"/>
    <w:rsid w:val="0018141D"/>
    <w:rsid w:val="001B5CD5"/>
    <w:rsid w:val="001C2159"/>
    <w:rsid w:val="001D65D0"/>
    <w:rsid w:val="001F0B68"/>
    <w:rsid w:val="00222EAF"/>
    <w:rsid w:val="00230CDA"/>
    <w:rsid w:val="00293A88"/>
    <w:rsid w:val="002D3052"/>
    <w:rsid w:val="002E46FB"/>
    <w:rsid w:val="002F214B"/>
    <w:rsid w:val="00305FD9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75F5"/>
    <w:rsid w:val="00472738"/>
    <w:rsid w:val="00475EC9"/>
    <w:rsid w:val="00482C46"/>
    <w:rsid w:val="004A00B2"/>
    <w:rsid w:val="004A1F9C"/>
    <w:rsid w:val="004E274A"/>
    <w:rsid w:val="004E3906"/>
    <w:rsid w:val="004E57B2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2A3D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4FBB"/>
    <w:rsid w:val="00CD3981"/>
    <w:rsid w:val="00CE2854"/>
    <w:rsid w:val="00CF6CED"/>
    <w:rsid w:val="00D135D6"/>
    <w:rsid w:val="00D154B7"/>
    <w:rsid w:val="00D16CEB"/>
    <w:rsid w:val="00D70868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8117C"/>
    <w:rsid w:val="00EA1809"/>
    <w:rsid w:val="00EA1C3A"/>
    <w:rsid w:val="00EA4920"/>
    <w:rsid w:val="00EB32CB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1A0ACE95"/>
    <w:rsid w:val="394AC140"/>
    <w:rsid w:val="4821269C"/>
    <w:rsid w:val="7FA6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hAnsiTheme="minorHAnsi" w:eastAsiaTheme="minorHAnsi" w:cstheme="minorBidi"/>
      <w:kern w:val="2"/>
      <w:lang w:val="es-CO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1B4C55-E04D-4844-AC7F-38CFE2A5FCF8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Jair Enrique Coll Gallardo</lastModifiedBy>
  <revision>12</revision>
  <dcterms:created xsi:type="dcterms:W3CDTF">2026-02-18T21:35:00.0000000Z</dcterms:created>
  <dcterms:modified xsi:type="dcterms:W3CDTF">2026-03-03T22:21:16.6499359Z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