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C37DB" w:rsidR="00C57B0F" w:rsidTr="57FC1E1E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C37DB" w:rsidR="00C57B0F" w:rsidRDefault="008F7BC0" w14:paraId="500712FF" w14:textId="68258E6B">
            <w:pPr>
              <w:jc w:val="center"/>
              <w:rPr>
                <w:rFonts w:ascii="Calibri" w:hAnsi="Calibri" w:eastAsia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5597EE5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EC37DB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EC37DB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EC37DB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EC37DB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EC37DB" w:rsidR="00C57B0F" w:rsidTr="57FC1E1E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C37DB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C37DB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C37DB" w:rsidR="00230CDA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</w:t>
            </w:r>
          </w:p>
          <w:p w:rsidRPr="00EC37DB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C37DB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C37DB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EC37DB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C37DB" w:rsidR="00C0495F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C37DB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EC37DB" w:rsidR="00C57B0F" w:rsidTr="57FC1E1E" w14:paraId="08A5677D" w14:textId="77777777">
        <w:tc>
          <w:tcPr>
            <w:tcW w:w="2534" w:type="dxa"/>
            <w:gridSpan w:val="2"/>
            <w:tcMar/>
          </w:tcPr>
          <w:p w:rsidRPr="00EC37DB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EC37DB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EC37DB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tcW w:w="7620" w:type="dxa"/>
            <w:gridSpan w:val="2"/>
            <w:tcMar/>
          </w:tcPr>
          <w:p w:rsidRPr="00EC37DB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9D553E" w:rsidRDefault="006F219D" w14:paraId="7F3322B2" w14:textId="5BEBC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Pr="00EC37DB" w:rsidR="00230CDA">
              <w:rPr>
                <w:rFonts w:ascii="Calibri" w:hAnsi="Calibri" w:eastAsia="Calibri" w:cs="Calibri"/>
                <w:color w:val="000000"/>
              </w:rPr>
              <w:t xml:space="preserve"> </w:t>
            </w:r>
            <w:r w:rsidRPr="00A41419" w:rsidR="00A41419">
              <w:rPr>
                <w:rFonts w:ascii="Calibri" w:hAnsi="Calibri" w:eastAsia="Calibri" w:cs="Calibri"/>
                <w:color w:val="000000"/>
              </w:rPr>
              <w:t>Principios de la cadena de suministro sostenible.</w:t>
            </w:r>
          </w:p>
          <w:p w:rsidRPr="00EC37DB" w:rsidR="009D553E" w:rsidRDefault="009D553E" w14:paraId="57F23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365D957F" w14:textId="67C6F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C37DB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23B636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  <w:p w:rsidRPr="00EC37DB" w:rsidR="00C57B0F" w:rsidRDefault="00C57B0F" w14:paraId="204F56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Pr="00EC37DB" w:rsidR="00EC74AB" w:rsidTr="57FC1E1E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C37DB" w:rsidR="00EC74AB" w:rsidP="00EC74AB" w:rsidRDefault="00EC74AB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tcMar/>
            <w:vAlign w:val="center"/>
          </w:tcPr>
          <w:p w:rsidRPr="00EC74AB" w:rsidR="00EC74AB" w:rsidP="00EC74AB" w:rsidRDefault="00EC74AB" w14:paraId="60B4012D" w14:textId="3A15F9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74AB">
              <w:rPr>
                <w:rFonts w:eastAsia="Times New Roman"/>
                <w:bCs/>
                <w:color w:val="auto"/>
                <w:sz w:val="20"/>
                <w:szCs w:val="20"/>
              </w:rPr>
              <w:t>Aspectos teóricos del</w:t>
            </w:r>
            <w:r w:rsidRPr="00EC74AB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EC74AB">
              <w:rPr>
                <w:bCs/>
                <w:color w:val="auto"/>
                <w:sz w:val="20"/>
                <w:szCs w:val="20"/>
              </w:rPr>
              <w:t>comercio electrónico y análisis organizacional</w:t>
            </w:r>
            <w:r w:rsidRPr="00EC74AB">
              <w:rPr>
                <w:rFonts w:eastAsia="Times New Roman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EC37DB" w:rsidR="00A41419" w:rsidTr="57FC1E1E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EC37DB" w:rsidR="00A41419" w:rsidP="00A41419" w:rsidRDefault="00A41419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41419" w:rsidR="00A41419" w:rsidP="00A41419" w:rsidRDefault="00EC74AB" w14:paraId="79A04D82" w14:textId="0A0FD27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57FC1E1E" w:rsidR="00EC74AB">
              <w:rPr>
                <w:rFonts w:eastAsia="Times New Roman"/>
                <w:color w:val="auto"/>
                <w:sz w:val="20"/>
                <w:szCs w:val="20"/>
              </w:rPr>
              <w:t xml:space="preserve">Evaluar la comprensión de los principios del </w:t>
            </w:r>
            <w:r w:rsidRPr="57FC1E1E" w:rsidR="00EC74AB">
              <w:rPr>
                <w:color w:val="auto"/>
                <w:sz w:val="20"/>
                <w:szCs w:val="20"/>
              </w:rPr>
              <w:t>comercio electrónico y análisis organizacional</w:t>
            </w:r>
            <w:r w:rsidRPr="57FC1E1E" w:rsidR="00EC74AB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Pr="00EC37DB" w:rsidR="00C57B0F" w:rsidTr="57FC1E1E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C37DB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EC37DB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EC37DB" w:rsidR="00C57B0F" w:rsidTr="57FC1E1E" w14:paraId="513BC1FE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EC37DB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EC37DB" w:rsidR="00C57B0F" w:rsidTr="57FC1E1E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tcW w:w="5460" w:type="dxa"/>
            <w:tcMar/>
          </w:tcPr>
          <w:p w:rsidRPr="00EC74AB" w:rsidR="00EC74AB" w:rsidP="00EC74AB" w:rsidRDefault="00EC74AB" w14:paraId="36BA5523" w14:textId="6E1619DC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74AB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El internet es la base tecnológica que permite la interacción y el intercambio de información en los negocios electrónicos.</w:t>
            </w:r>
          </w:p>
          <w:p w:rsidRPr="00EC37DB" w:rsidR="00C57B0F" w:rsidP="00EC74AB" w:rsidRDefault="00C57B0F" w14:paraId="73542B6F" w14:textId="61917CE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tcMar/>
          </w:tcPr>
          <w:p w:rsidRPr="00EC37DB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proofErr w:type="spellStart"/>
            <w:r w:rsidRPr="00EC37DB">
              <w:rPr>
                <w:rFonts w:ascii="Calibri" w:hAnsi="Calibri" w:eastAsia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hAnsi="Calibri" w:eastAsia="Calibri" w:cs="Calibri"/>
                <w:color w:val="AEAAAA"/>
              </w:rPr>
              <w:t>(s) correcta(s) (x)</w:t>
            </w:r>
          </w:p>
        </w:tc>
      </w:tr>
      <w:tr w:rsidRPr="00EC37DB" w:rsidR="00C57B0F" w:rsidTr="57FC1E1E" w14:paraId="20634E81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EC74AB" w14:paraId="4CEC4D6E" w14:textId="1B81FF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57FC1E1E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0F73ACCC" w14:textId="32C06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57FC1E1E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C57B0F" w:rsidP="00A9514B" w:rsidRDefault="00CA2567" w14:paraId="5B7DC219" w14:textId="076591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ne un claro entendimiento sobre las</w:t>
            </w:r>
            <w:r w:rsidRPr="00EC37DB" w:rsidR="00A9514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C57B0F" w:rsidTr="57FC1E1E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57FC1E1E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025BEC1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74AB" w:rsidR="00EC74AB" w:rsidP="00EC74AB" w:rsidRDefault="00EC74AB" w14:paraId="6DC82856" w14:textId="4B00AD20">
            <w:p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74AB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 xml:space="preserve">El comercio electrónico se limita únicamente a la compra y venta de productos físicos. </w:t>
            </w:r>
          </w:p>
          <w:p w:rsidRPr="00EC37DB" w:rsidR="00C57B0F" w:rsidP="00222EAF" w:rsidRDefault="00C57B0F" w14:paraId="1B7CAEBC" w14:textId="25728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</w:p>
        </w:tc>
      </w:tr>
      <w:tr w:rsidRPr="00EC37DB" w:rsidR="00C57B0F" w:rsidTr="57FC1E1E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C57B0F" w14:paraId="03389B73" w14:textId="73FE82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57FC1E1E" w14:paraId="442AF42F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EC74AB" w14:paraId="20A71059" w14:textId="37E955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57FC1E1E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317B5FC6" w14:textId="731EE0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A9514B" w:rsidTr="57FC1E1E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57FC1E1E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14D8F26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EC37DB" w:rsidR="00C57B0F" w:rsidP="00222EAF" w:rsidRDefault="00EC74AB" w14:paraId="61D73A45" w14:textId="7CFF0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74AB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Los negocios electrónicos integran procesos internos, externos y relaciones con clientes y proveedores mediante tecnologías digitales.</w:t>
            </w:r>
          </w:p>
        </w:tc>
      </w:tr>
      <w:tr w:rsidRPr="00EC37DB" w:rsidR="00C57B0F" w:rsidTr="57FC1E1E" w14:paraId="099D6702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EC74AB" w14:paraId="2DEA1E69" w14:textId="5E11E49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57FC1E1E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C57B0F" w14:paraId="7459CED2" w14:textId="6F7A66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57FC1E1E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78C5ECCB" w14:textId="46D47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57FC1E1E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57FC1E1E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40EFDFE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C57B0F" w:rsidP="00222EAF" w:rsidRDefault="00EC74AB" w14:paraId="4D6D2B7B" w14:textId="25F225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74AB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evolución de los negocios electrónicos inició con las redes sociales y no con el intercambio de datos empresariales.</w:t>
            </w:r>
          </w:p>
        </w:tc>
      </w:tr>
      <w:tr w:rsidRPr="00EC37DB" w:rsidR="00C57B0F" w:rsidTr="57FC1E1E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67A2608D" w14:textId="2D66FEA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57FC1E1E" w14:paraId="4FFE2692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8E7C2D" w14:paraId="4363353C" w14:textId="63431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57FC1E1E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747E4A24" w14:textId="29A33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57FC1E1E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57FC1E1E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3E6EF9D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EC37DB" w:rsidR="00C57B0F" w:rsidP="00222EAF" w:rsidRDefault="004E3906" w14:paraId="42742D49" w14:textId="38F39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4E3906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digitalización ha permitido que los negocios electrónicos mejoren la eficiencia operativa y reduzcan costos</w:t>
            </w:r>
          </w:p>
        </w:tc>
      </w:tr>
      <w:tr w:rsidRPr="00EC37DB" w:rsidR="00C57B0F" w:rsidTr="57FC1E1E" w14:paraId="28F8479A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8E7C2D" w14:paraId="5DFF5F4F" w14:textId="44F946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57FC1E1E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6CAA8A0E" w14:textId="2A1694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57FC1E1E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547EA69B" w14:textId="0B660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57FC1E1E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57FC1E1E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5C7778E8" w14:textId="5B9F316A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EC37DB" w:rsidR="00EA1809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C57B0F" w:rsidP="009C39D1" w:rsidRDefault="005A4609" w14:paraId="6E665151" w14:textId="21537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5A460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segmentación del mercado no influye en la definición de productos y servicios en entornos digitales.</w:t>
            </w:r>
          </w:p>
        </w:tc>
      </w:tr>
      <w:tr w:rsidRPr="00EC37DB" w:rsidR="00C57B0F" w:rsidTr="57FC1E1E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5403149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7144C3D7" w14:textId="781017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57FC1E1E" w14:paraId="3057D19B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5EEFD0D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8E7C2D" w14:paraId="0F224258" w14:textId="1C60760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57FC1E1E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3C855C1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632BB5D3" w14:textId="2C931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57FC1E1E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44B83E0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57FC1E1E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075BDE" w:rsidP="00C411F0" w:rsidRDefault="00075BDE" w14:paraId="6151D01D" w14:textId="3BC09AE1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EC37DB" w:rsidR="00075BDE" w:rsidP="009C39D1" w:rsidRDefault="005A4609" w14:paraId="1AA9E5AB" w14:textId="032B4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5A460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En los negocios electrónicos, los procesos deben alinearse con las necesidades y el comportamiento del consumidor digital.</w:t>
            </w:r>
          </w:p>
        </w:tc>
      </w:tr>
      <w:tr w:rsidRPr="00EC37DB" w:rsidR="00075BDE" w:rsidTr="57FC1E1E" w14:paraId="6C1AF91C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62CBDCC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5A4609" w14:paraId="600CF4DF" w14:textId="2D6576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57FC1E1E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61D388C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67FEF3BA" w14:textId="28856F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57FC1E1E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356CA5B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241E9E6C" w14:textId="16612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57FC1E1E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1B0CAFD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57FC1E1E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075BDE" w:rsidP="00C411F0" w:rsidRDefault="00075BDE" w14:paraId="4A75105D" w14:textId="471587AE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075BDE" w:rsidP="009C39D1" w:rsidRDefault="005A4609" w14:paraId="08018C5E" w14:textId="15787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5A460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planeación estratégica es un proceso improvisado que se ajusta solo a corto plazo.</w:t>
            </w:r>
          </w:p>
        </w:tc>
      </w:tr>
      <w:tr w:rsidRPr="00EC37DB" w:rsidR="00075BDE" w:rsidTr="57FC1E1E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4D3214D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3D3D3203" w14:textId="31FC8E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075BDE" w:rsidTr="57FC1E1E" w14:paraId="3107D786" w14:textId="77777777">
        <w:trPr>
          <w:trHeight w:val="220"/>
        </w:trPr>
        <w:tc>
          <w:tcPr>
            <w:tcW w:w="1267" w:type="dxa"/>
            <w:tcMar/>
          </w:tcPr>
          <w:p w:rsidRPr="00EC37DB" w:rsidR="00075BDE" w:rsidP="00C411F0" w:rsidRDefault="00075BDE" w14:paraId="77942D8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570901" w14:paraId="41107FE9" w14:textId="071B00D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57FC1E1E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14E40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0BDDBE87" w14:textId="6A2CF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57FC1E1E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F97FD5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57FC1E1E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075BDE" w:rsidP="00C411F0" w:rsidRDefault="00075BDE" w14:paraId="5FFFC194" w14:textId="0D986116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EC37DB" w:rsidR="00075BDE" w:rsidP="009C39D1" w:rsidRDefault="005A4609" w14:paraId="71B24040" w14:textId="0B284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5A460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misión define la razón de ser de una organización en el presente.</w:t>
            </w:r>
          </w:p>
        </w:tc>
      </w:tr>
      <w:tr w:rsidRPr="00EC37DB" w:rsidR="00075BDE" w:rsidTr="57FC1E1E" w14:paraId="0D366D42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69DD5B4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570901" w14:paraId="047B674B" w14:textId="038301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57FC1E1E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7C0A3B9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5921DDBC" w14:textId="40FB4B4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57FC1E1E" w14:paraId="5628C90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70884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380941A9" w14:textId="38806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57FC1E1E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75B5338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57FC1E1E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075BDE" w:rsidP="00C411F0" w:rsidRDefault="00075BDE" w14:paraId="725ABC76" w14:textId="3598DB6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075BDE" w:rsidP="00E617CF" w:rsidRDefault="005A4609" w14:paraId="1DFCF96C" w14:textId="3C022B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5A460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visión describe el estado actual de la empresa y sus operaciones diarias.</w:t>
            </w:r>
          </w:p>
        </w:tc>
      </w:tr>
      <w:tr w:rsidRPr="00EC37DB" w:rsidR="00075BDE" w:rsidTr="57FC1E1E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5935BE4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719B547A" w14:textId="3A5B5C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075BDE" w:rsidTr="57FC1E1E" w14:paraId="234B58A3" w14:textId="77777777">
        <w:trPr>
          <w:trHeight w:val="220"/>
        </w:trPr>
        <w:tc>
          <w:tcPr>
            <w:tcW w:w="1267" w:type="dxa"/>
            <w:tcMar/>
          </w:tcPr>
          <w:p w:rsidRPr="00EC37DB" w:rsidR="00075BDE" w:rsidP="00C411F0" w:rsidRDefault="00075BDE" w14:paraId="2283AC5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5A4609" w14:paraId="5D33B248" w14:textId="5E01A9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57FC1E1E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1C942E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7BD9C98F" w14:textId="7277C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57FC1E1E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1C80B6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E46FB" w:rsidR="009921BA" w:rsidP="00DC691D" w:rsidRDefault="009921BA" w14:paraId="03639DCA" w14:textId="4C958FE2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2E46FB">
              <w:rPr>
                <w:rFonts w:ascii="Calibri" w:hAnsi="Calibri" w:eastAsia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C14D60" w:rsidRDefault="005A4609" w14:paraId="1FA8F7AC" w14:textId="578BFFCD">
            <w:pPr>
              <w:rPr>
                <w:rFonts w:ascii="Calibri" w:hAnsi="Calibri" w:eastAsia="Calibri" w:cs="Calibri"/>
                <w:color w:val="AEAAAA"/>
                <w:lang w:val="es-ES"/>
              </w:rPr>
            </w:pPr>
            <w:r w:rsidRPr="005A4609">
              <w:rPr>
                <w:rFonts w:ascii="Calibri" w:hAnsi="Calibri" w:eastAsia="Calibri" w:cs="Calibri"/>
                <w:b/>
                <w:sz w:val="20"/>
                <w:szCs w:val="20"/>
              </w:rPr>
              <w:t>Los objetivos estratégicos deben ser medibles, alcanzables y coherentes con la misión y visión.</w:t>
            </w:r>
          </w:p>
        </w:tc>
      </w:tr>
      <w:tr w:rsidRPr="00EA1809" w:rsidR="009921BA" w:rsidTr="00DC691D" w14:paraId="7364B266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11A22D7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90306" w:rsidR="009921BA" w:rsidP="00DC691D" w:rsidRDefault="009921BA" w14:paraId="15B78953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390306" w:rsidR="009921BA" w:rsidP="00DC691D" w:rsidRDefault="005A4609" w14:paraId="3D1BED20" w14:textId="30E13371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DC691D" w14:paraId="53B78634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791CE1B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90306" w:rsidR="009921BA" w:rsidP="00DC691D" w:rsidRDefault="009921BA" w14:paraId="640C5AFC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390306" w:rsidR="009921BA" w:rsidP="00DC691D" w:rsidRDefault="009921BA" w14:paraId="490B5B39" w14:textId="4A7F32F8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DC691D" w14:paraId="4CA5DFD3" w14:textId="77777777">
        <w:trPr>
          <w:trHeight w:val="220"/>
        </w:trPr>
        <w:tc>
          <w:tcPr>
            <w:tcW w:w="2534" w:type="dxa"/>
            <w:gridSpan w:val="2"/>
          </w:tcPr>
          <w:p w:rsidRPr="009921BA" w:rsidR="009921BA" w:rsidP="00DC691D" w:rsidRDefault="009921BA" w14:paraId="42A4535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351DA092" w14:textId="484F1C65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128872E1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17ABD15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158FB807" w14:textId="44292346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9E34B2" w:rsidRDefault="005A4609" w14:paraId="45939313" w14:textId="7C5F1748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5A4609">
              <w:rPr>
                <w:rFonts w:ascii="Calibri" w:hAnsi="Calibri" w:eastAsia="Calibri" w:cs="Calibri"/>
                <w:b/>
                <w:sz w:val="20"/>
                <w:szCs w:val="20"/>
              </w:rPr>
              <w:t>Las políticas de calidad no tienen relación con la satisfacción del cliente.</w:t>
            </w:r>
          </w:p>
        </w:tc>
      </w:tr>
      <w:tr w:rsidRPr="00EA1809" w:rsidR="009921BA" w:rsidTr="00DC691D" w14:paraId="18AC1DD0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04864D0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2F456E5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9921BA" w14:paraId="15A5E76E" w14:textId="7DFA709E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DC691D" w14:paraId="33BECFBE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1E00668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106A9BE5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5A4609" w14:paraId="64EB58E9" w14:textId="670D22BC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DC691D" w14:paraId="55F84E22" w14:textId="77777777">
        <w:trPr>
          <w:trHeight w:val="220"/>
        </w:trPr>
        <w:tc>
          <w:tcPr>
            <w:tcW w:w="2534" w:type="dxa"/>
            <w:gridSpan w:val="2"/>
          </w:tcPr>
          <w:p w:rsidRPr="009921BA" w:rsidR="009921BA" w:rsidP="00DC691D" w:rsidRDefault="009921BA" w14:paraId="3A34717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08F26423" w14:textId="2CE1821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31DA49C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1E4CAEC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03843485" w14:textId="2E44233C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9E34B2" w:rsidRDefault="007E5CF2" w14:paraId="01DF753D" w14:textId="6FB47BBF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E5CF2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La responsabilidad social en los negocios electrónicos implica prácticas éticas, sostenibles y transparentes. </w:t>
            </w:r>
          </w:p>
        </w:tc>
      </w:tr>
      <w:tr w:rsidRPr="00EA1809" w:rsidR="009921BA" w:rsidTr="00DC691D" w14:paraId="66F869E2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6AC70E6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71814AD4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3F431E" w14:paraId="0820A220" w14:textId="383C240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DC691D" w14:paraId="09EAF596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6302EF2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029D5BC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9921BA" w14:paraId="69D77687" w14:textId="763FF218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15DC2C2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3A9576AE" w14:textId="69DC5B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213FFEB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2F1C7725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5134C5C9" w14:textId="14703DC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7D71B5" w:rsidRDefault="007E5CF2" w14:paraId="70949CAA" w14:textId="0DBC8CD8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E5CF2">
              <w:rPr>
                <w:rFonts w:ascii="Calibri" w:hAnsi="Calibri" w:eastAsia="Calibri" w:cs="Calibri"/>
                <w:b/>
                <w:sz w:val="20"/>
                <w:szCs w:val="20"/>
              </w:rPr>
              <w:t>El análisis de mercado permite identificar oportunidades y amenazas del entorno.</w:t>
            </w:r>
          </w:p>
        </w:tc>
      </w:tr>
      <w:tr w:rsidRPr="00EA1809" w:rsidR="009921BA" w:rsidTr="00DC691D" w14:paraId="3B350F66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2A6A093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40F14FAA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7E5CF2" w14:paraId="0489F2D2" w14:textId="15740506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DC691D" w14:paraId="19856D6D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7D9C7C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776F2F0E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9921BA" w14:paraId="7F6D2731" w14:textId="1EF186C2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2EC3B45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24EAE505" w14:textId="4D103DF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3503AF7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696E8B3E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4E37D725" w14:textId="3819A0A8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9921BA" w:rsidP="007D71B5" w:rsidRDefault="007E5CF2" w14:paraId="4F459350" w14:textId="46C377AD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E5CF2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La matriz DOFA analiza únicamente factores internos de la organización. </w:t>
            </w:r>
          </w:p>
        </w:tc>
      </w:tr>
      <w:tr w:rsidRPr="00EA1809" w:rsidR="009921BA" w:rsidTr="00DC691D" w14:paraId="194EF9E6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9921BA" w:rsidP="00DC691D" w:rsidRDefault="009921BA" w14:paraId="6AB07DA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0FD09083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9921BA" w14:paraId="4F44B134" w14:textId="61B805D0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00DC691D" w14:paraId="7C6598A8" w14:textId="77777777">
        <w:trPr>
          <w:trHeight w:val="220"/>
        </w:trPr>
        <w:tc>
          <w:tcPr>
            <w:tcW w:w="1267" w:type="dxa"/>
          </w:tcPr>
          <w:p w:rsidRPr="009921BA" w:rsidR="009921BA" w:rsidP="00DC691D" w:rsidRDefault="009921BA" w14:paraId="05D5B683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9921BA" w:rsidP="00DC691D" w:rsidRDefault="009921BA" w14:paraId="72C77DC7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9921BA" w:rsidP="00DC691D" w:rsidRDefault="007E5CF2" w14:paraId="6A31325A" w14:textId="53D306C8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609E6FC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3C3BBA" w14:paraId="3933CE3C" w14:textId="623BFEB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9921BA" w:rsidP="00DC691D" w:rsidRDefault="009921BA" w14:paraId="09D8425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9921BA" w:rsidP="00DC691D" w:rsidRDefault="009921BA" w14:paraId="4876B7B6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20A7C9E3" w14:textId="37AAFE80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3605E9" w:rsidP="007D71B5" w:rsidRDefault="007E5CF2" w14:paraId="5FF8DC8F" w14:textId="5F3FFF05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E5CF2">
              <w:rPr>
                <w:rFonts w:ascii="Calibri" w:hAnsi="Calibri" w:eastAsia="Calibri" w:cs="Calibri"/>
                <w:b/>
                <w:sz w:val="20"/>
                <w:szCs w:val="20"/>
              </w:rPr>
              <w:t>Las debilidades y fortalezas hacen parte del análisis interno en la matriz DOFA.</w:t>
            </w:r>
          </w:p>
        </w:tc>
      </w:tr>
      <w:tr w:rsidRPr="00EA1809" w:rsidR="003605E9" w:rsidTr="00DC691D" w14:paraId="56C426A3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488060F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001469E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7D71B5" w14:paraId="2A2E8C2B" w14:textId="07EC3D11">
            <w:pPr>
              <w:widowControl w:val="0"/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DC691D" w14:paraId="2B70C3E1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3E0B1A9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4B084230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605E9" w14:paraId="16E006C7" w14:textId="0CEF58C5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2017626F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C3BBA" w14:paraId="3C28120B" w14:textId="603AD469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53E035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605E9" w14:paraId="5B7F3F44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590620B9" w14:textId="6E959CD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3605E9" w:rsidP="007D71B5" w:rsidRDefault="007E5CF2" w14:paraId="5B224CF8" w14:textId="19BC1E11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E5CF2">
              <w:rPr>
                <w:rFonts w:ascii="Calibri" w:hAnsi="Calibri" w:eastAsia="Calibri" w:cs="Calibri"/>
                <w:b/>
                <w:sz w:val="20"/>
                <w:szCs w:val="20"/>
              </w:rPr>
              <w:t>Las estrategias DOFA surgen de la combinación entre factores internos y externos.</w:t>
            </w:r>
          </w:p>
        </w:tc>
      </w:tr>
      <w:tr w:rsidRPr="00EA1809" w:rsidR="003605E9" w:rsidTr="00DC691D" w14:paraId="71E0805B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007D9B7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6DC200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7E5CF2" w14:paraId="46ACE52B" w14:textId="7D46978C">
            <w:pPr>
              <w:widowControl w:val="0"/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DC691D" w14:paraId="79A5F800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4CA905D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0B50E5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605E9" w14:paraId="3993E431" w14:textId="203A727B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F280DC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C3BBA" w14:paraId="6EA5C689" w14:textId="5F639C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D4DA86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605E9" w14:paraId="5741569F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Pr="00EA1809" w:rsidR="003605E9" w:rsidTr="00DC691D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06EB1A7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605E9" w14:paraId="04633A53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3605E9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28333329" w14:textId="256116A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3605E9" w:rsidP="003F431E" w:rsidRDefault="007E5CF2" w14:paraId="4F3E856F" w14:textId="608319E2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E5CF2">
              <w:rPr>
                <w:rFonts w:ascii="Calibri" w:hAnsi="Calibri" w:eastAsia="Calibri" w:cs="Calibri"/>
                <w:b/>
                <w:sz w:val="20"/>
                <w:szCs w:val="20"/>
              </w:rPr>
              <w:t>El análisis DOFA no aporta información para la toma de decisiones estratégicas.</w:t>
            </w:r>
          </w:p>
        </w:tc>
      </w:tr>
      <w:tr w:rsidRPr="00EA1809" w:rsidR="003605E9" w:rsidTr="00DC691D" w14:paraId="24A2C86E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70D1B1E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37A37776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605E9" w14:paraId="152AC3B6" w14:textId="21B14B7C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DC691D" w14:paraId="57B20FA5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13EFD6F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73177622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7E5CF2" w14:paraId="661BE877" w14:textId="2084CCCB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50F14CA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C3BBA" w14:paraId="0E9D8026" w14:textId="6FC3558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C5B336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605E9" w14:paraId="01D0A1F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18AF5C50" w14:textId="3D0AF47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70901" w:rsidR="003605E9" w:rsidP="00644858" w:rsidRDefault="007E5CF2" w14:paraId="1A7539C3" w14:textId="7F7CBE21">
            <w:pPr>
              <w:rPr>
                <w:rFonts w:ascii="Calibri" w:hAnsi="Calibri" w:eastAsia="Calibri" w:cs="Calibri"/>
                <w:color w:val="AEAAAA"/>
                <w:lang w:val="es-ES"/>
              </w:rPr>
            </w:pPr>
            <w:r w:rsidRPr="007E5CF2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El perfil competitivo (MPC) permite comparar la empresa con sus principales competidores del mercado. </w:t>
            </w:r>
          </w:p>
        </w:tc>
      </w:tr>
      <w:tr w:rsidRPr="00EA1809" w:rsidR="003605E9" w:rsidTr="00DC691D" w14:paraId="1852A647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0E15289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5CC2C95F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7E5CF2" w14:paraId="37B43B45" w14:textId="6F96E4E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DC691D" w14:paraId="1E86B579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35C1ADF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70901" w:rsidR="003605E9" w:rsidP="00DC691D" w:rsidRDefault="003605E9" w14:paraId="623B8ABC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570901" w:rsidR="003605E9" w:rsidP="00DC691D" w:rsidRDefault="003605E9" w14:paraId="21463C5E" w14:textId="0AD982DD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30EC95D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70901" w:rsidR="003605E9" w:rsidP="00DC691D" w:rsidRDefault="003C3BBA" w14:paraId="7F3CF307" w14:textId="1E0D5B3D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376D623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F431E" w:rsidR="003605E9" w:rsidP="00DC691D" w:rsidRDefault="003605E9" w14:paraId="7A5DED3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6851E16E" w14:textId="277E4D24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F431E" w:rsidR="003605E9" w:rsidP="007D71B5" w:rsidRDefault="00BF419B" w14:paraId="2842357E" w14:textId="60CA5B38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BF419B">
              <w:rPr>
                <w:rFonts w:ascii="Calibri" w:hAnsi="Calibri" w:eastAsia="Calibri" w:cs="Calibri"/>
                <w:b/>
                <w:sz w:val="20"/>
                <w:szCs w:val="20"/>
              </w:rPr>
              <w:t>La matriz de perfil competitivo solo evalúa aspectos financieros y deja por fuera factores estratégicos.</w:t>
            </w:r>
          </w:p>
        </w:tc>
      </w:tr>
      <w:tr w:rsidRPr="00EA1809" w:rsidR="003605E9" w:rsidTr="00DC691D" w14:paraId="6D9EEA78" w14:textId="77777777">
        <w:trPr>
          <w:trHeight w:val="220"/>
        </w:trPr>
        <w:tc>
          <w:tcPr>
            <w:tcW w:w="1267" w:type="dxa"/>
            <w:shd w:val="clear" w:color="auto" w:fill="auto"/>
          </w:tcPr>
          <w:p w:rsidRPr="009921BA" w:rsidR="003605E9" w:rsidP="00DC691D" w:rsidRDefault="003605E9" w14:paraId="32E32C3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F431E" w:rsidR="003605E9" w:rsidP="00DC691D" w:rsidRDefault="003605E9" w14:paraId="5023CF7C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3F431E" w:rsidR="003605E9" w:rsidP="00DC691D" w:rsidRDefault="003605E9" w14:paraId="08DBA6E9" w14:textId="62D06D14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00DC691D" w14:paraId="79A10AE3" w14:textId="77777777">
        <w:trPr>
          <w:trHeight w:val="220"/>
        </w:trPr>
        <w:tc>
          <w:tcPr>
            <w:tcW w:w="1267" w:type="dxa"/>
          </w:tcPr>
          <w:p w:rsidRPr="009921BA" w:rsidR="003605E9" w:rsidP="00DC691D" w:rsidRDefault="003605E9" w14:paraId="0495F5C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F431E" w:rsidR="003605E9" w:rsidP="00DC691D" w:rsidRDefault="003605E9" w14:paraId="0802BA9F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3F431E" w:rsidR="003605E9" w:rsidP="00DC691D" w:rsidRDefault="00BF419B" w14:paraId="6BBE2BBE" w14:textId="4E1A5234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322B91D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F431E" w:rsidR="003605E9" w:rsidP="00DC691D" w:rsidRDefault="003C3BBA" w14:paraId="4C86A3D2" w14:textId="0EBA329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921BA" w:rsidR="003605E9" w:rsidP="00DC691D" w:rsidRDefault="003605E9" w14:paraId="2795667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F431E" w:rsidR="003605E9" w:rsidP="00DC691D" w:rsidRDefault="003605E9" w14:paraId="29889CED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="00B11CF2" w:rsidP="00B11CF2" w:rsidRDefault="00B11CF2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B11CF2" w:rsidP="00B11CF2" w:rsidRDefault="00B11CF2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996CB7" w:rsidR="00B11CF2" w:rsidP="00B11CF2" w:rsidRDefault="00B11CF2" w14:paraId="674AF642" w14:textId="5795A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5D6C01">
              <w:rPr>
                <w:rFonts w:ascii="Calibri" w:hAnsi="Calibri" w:eastAsia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B11CF2" w:rsidP="00B11CF2" w:rsidRDefault="00B11CF2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:rsidRPr="00996CB7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5D6C01">
              <w:rPr>
                <w:rFonts w:ascii="Calibri" w:hAnsi="Calibri" w:eastAsia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="00C57B0F" w:rsidRDefault="00C57B0F" w14:paraId="72FE7DC7" w14:textId="77777777">
      <w:pPr>
        <w:spacing w:after="160" w:line="259" w:lineRule="auto"/>
        <w:rPr>
          <w:rFonts w:ascii="Calibri" w:hAnsi="Calibri" w:eastAsia="Calibri" w:cs="Calibri"/>
        </w:rPr>
      </w:pPr>
    </w:p>
    <w:p w:rsidR="00C57B0F" w:rsidRDefault="00C57B0F" w14:paraId="282C4038" w14:textId="77777777"/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3F15125C" w14:textId="1B876CEF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266E2D1D" w14:textId="30602CE1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C74AB" w14:paraId="6BC57545" w14:textId="72C83FD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Febrero de 2026</w:t>
            </w:r>
          </w:p>
        </w:tc>
      </w:tr>
      <w:tr w:rsidR="00E04750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0FCA66BF" w14:textId="11647DA8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62D46FB2" w14:textId="70F7799E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0ACDF65B" w14:textId="6E8CB726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</w:tr>
    </w:tbl>
    <w:p w:rsidR="003F431E" w:rsidP="003F431E" w:rsidRDefault="003F431E" w14:paraId="19BF369A" w14:textId="77777777">
      <w:pPr>
        <w:spacing w:before="100" w:beforeAutospacing="1" w:after="100" w:afterAutospacing="1" w:line="240" w:lineRule="auto"/>
      </w:pPr>
    </w:p>
    <w:sectPr w:rsidR="003F431E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214B" w:rsidRDefault="002F214B" w14:paraId="1033AB9E" w14:textId="77777777">
      <w:pPr>
        <w:spacing w:line="240" w:lineRule="auto"/>
      </w:pPr>
      <w:r>
        <w:separator/>
      </w:r>
    </w:p>
  </w:endnote>
  <w:endnote w:type="continuationSeparator" w:id="0">
    <w:p w:rsidR="002F214B" w:rsidRDefault="002F214B" w14:paraId="539D41B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214B" w:rsidRDefault="002F214B" w14:paraId="75A6E6C0" w14:textId="77777777">
      <w:pPr>
        <w:spacing w:line="240" w:lineRule="auto"/>
      </w:pPr>
      <w:r>
        <w:separator/>
      </w:r>
    </w:p>
  </w:footnote>
  <w:footnote w:type="continuationSeparator" w:id="0">
    <w:p w:rsidR="002F214B" w:rsidRDefault="002F214B" w14:paraId="5B0AB0B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6"/>
  </w:num>
  <w:num w:numId="2" w16cid:durableId="484932436">
    <w:abstractNumId w:val="1"/>
  </w:num>
  <w:num w:numId="3" w16cid:durableId="132406852">
    <w:abstractNumId w:val="4"/>
  </w:num>
  <w:num w:numId="4" w16cid:durableId="490829284">
    <w:abstractNumId w:val="3"/>
  </w:num>
  <w:num w:numId="5" w16cid:durableId="289670536">
    <w:abstractNumId w:val="7"/>
  </w:num>
  <w:num w:numId="6" w16cid:durableId="136724248">
    <w:abstractNumId w:val="0"/>
  </w:num>
  <w:num w:numId="7" w16cid:durableId="1717389203">
    <w:abstractNumId w:val="2"/>
  </w:num>
  <w:num w:numId="8" w16cid:durableId="118767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13AC"/>
    <w:rsid w:val="00075BDE"/>
    <w:rsid w:val="0009078B"/>
    <w:rsid w:val="0009090B"/>
    <w:rsid w:val="000B103B"/>
    <w:rsid w:val="000C68FF"/>
    <w:rsid w:val="000D6787"/>
    <w:rsid w:val="000E3ADC"/>
    <w:rsid w:val="000F39CD"/>
    <w:rsid w:val="0018141D"/>
    <w:rsid w:val="001B5CD5"/>
    <w:rsid w:val="001C2159"/>
    <w:rsid w:val="001D65D0"/>
    <w:rsid w:val="001F0B68"/>
    <w:rsid w:val="00222EAF"/>
    <w:rsid w:val="00230CDA"/>
    <w:rsid w:val="002D3052"/>
    <w:rsid w:val="002E46FB"/>
    <w:rsid w:val="002F214B"/>
    <w:rsid w:val="003605E9"/>
    <w:rsid w:val="00362E05"/>
    <w:rsid w:val="003715A4"/>
    <w:rsid w:val="00383143"/>
    <w:rsid w:val="00390306"/>
    <w:rsid w:val="00391997"/>
    <w:rsid w:val="003A42E0"/>
    <w:rsid w:val="003C3BBA"/>
    <w:rsid w:val="003C3F6E"/>
    <w:rsid w:val="003C45F0"/>
    <w:rsid w:val="003F431E"/>
    <w:rsid w:val="004044F1"/>
    <w:rsid w:val="00472738"/>
    <w:rsid w:val="00475EC9"/>
    <w:rsid w:val="00482C46"/>
    <w:rsid w:val="004A00B2"/>
    <w:rsid w:val="004E274A"/>
    <w:rsid w:val="004E3906"/>
    <w:rsid w:val="004E57B2"/>
    <w:rsid w:val="00570901"/>
    <w:rsid w:val="005A4609"/>
    <w:rsid w:val="005D6C01"/>
    <w:rsid w:val="00644858"/>
    <w:rsid w:val="00646822"/>
    <w:rsid w:val="00654A50"/>
    <w:rsid w:val="006634B4"/>
    <w:rsid w:val="00684E23"/>
    <w:rsid w:val="00692A3D"/>
    <w:rsid w:val="006C52FA"/>
    <w:rsid w:val="006F219D"/>
    <w:rsid w:val="00725E57"/>
    <w:rsid w:val="00736566"/>
    <w:rsid w:val="00763ED4"/>
    <w:rsid w:val="0078087A"/>
    <w:rsid w:val="00782B1E"/>
    <w:rsid w:val="007844D1"/>
    <w:rsid w:val="007878C4"/>
    <w:rsid w:val="007D71B5"/>
    <w:rsid w:val="007E5CF2"/>
    <w:rsid w:val="00805A67"/>
    <w:rsid w:val="00807BF3"/>
    <w:rsid w:val="00822675"/>
    <w:rsid w:val="00822B52"/>
    <w:rsid w:val="00825F05"/>
    <w:rsid w:val="00836FBD"/>
    <w:rsid w:val="00862211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A41419"/>
    <w:rsid w:val="00A50801"/>
    <w:rsid w:val="00A65CC2"/>
    <w:rsid w:val="00A9514B"/>
    <w:rsid w:val="00A96AF1"/>
    <w:rsid w:val="00AD367E"/>
    <w:rsid w:val="00B00A40"/>
    <w:rsid w:val="00B02B81"/>
    <w:rsid w:val="00B11CF2"/>
    <w:rsid w:val="00B33D03"/>
    <w:rsid w:val="00B63D1C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85661"/>
    <w:rsid w:val="00C86876"/>
    <w:rsid w:val="00CA2567"/>
    <w:rsid w:val="00CB4FBB"/>
    <w:rsid w:val="00CD3981"/>
    <w:rsid w:val="00CF6CED"/>
    <w:rsid w:val="00D154B7"/>
    <w:rsid w:val="00D16CEB"/>
    <w:rsid w:val="00D70868"/>
    <w:rsid w:val="00D96770"/>
    <w:rsid w:val="00DB28AC"/>
    <w:rsid w:val="00DD23DB"/>
    <w:rsid w:val="00E04750"/>
    <w:rsid w:val="00E23F58"/>
    <w:rsid w:val="00E617CF"/>
    <w:rsid w:val="00E8117C"/>
    <w:rsid w:val="00EA1809"/>
    <w:rsid w:val="00EA1C3A"/>
    <w:rsid w:val="00EA4920"/>
    <w:rsid w:val="00EB32CB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394AC140"/>
    <w:rsid w:val="57FC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59FD90-D028-4B1C-9BE5-846F56A80B84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Mario Alfonso Morales Cabrera</lastModifiedBy>
  <revision>7</revision>
  <dcterms:created xsi:type="dcterms:W3CDTF">2026-02-06T03:33:00.0000000Z</dcterms:created>
  <dcterms:modified xsi:type="dcterms:W3CDTF">2026-02-10T17:07:18.9257257Z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