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D4F3" w14:textId="293DB13C" w:rsidR="00635A98" w:rsidRDefault="0023448F" w:rsidP="0023448F">
      <w:pPr>
        <w:jc w:val="center"/>
        <w:rPr>
          <w:b/>
          <w:bCs/>
        </w:rPr>
      </w:pPr>
      <w:r w:rsidRPr="0023448F">
        <w:rPr>
          <w:b/>
          <w:bCs/>
        </w:rPr>
        <w:t>ACTUAR, VERIFICAR Y MEJORAR: SEGUIMIENTO DE BROTES EN ENTORNOS PENITENCIARIOS</w:t>
      </w:r>
    </w:p>
    <w:p w14:paraId="2B607B4B" w14:textId="77777777" w:rsidR="0023448F" w:rsidRPr="0023448F" w:rsidRDefault="0023448F" w:rsidP="0023448F">
      <w:pPr>
        <w:jc w:val="center"/>
        <w:rPr>
          <w:b/>
          <w:bCs/>
        </w:rPr>
      </w:pPr>
    </w:p>
    <w:p w14:paraId="408955D4" w14:textId="77777777" w:rsidR="00635A98" w:rsidRDefault="00635A98" w:rsidP="0023448F">
      <w:pPr>
        <w:jc w:val="both"/>
      </w:pPr>
      <w:r>
        <w:t>Cuando ocurre un brote epidemiológico en un establecimiento penitenciario, identificar los casos e implementar las primeras medidas de control es fundamental. Sin embargo, hay una pregunta que no puede quedar sin respuesta: ¿cómo sabemos si las acciones implementadas realmente están funcionando?</w:t>
      </w:r>
    </w:p>
    <w:p w14:paraId="6FAE80E7" w14:textId="2F66C4F6" w:rsidR="00635A98" w:rsidRDefault="00635A98" w:rsidP="0023448F">
      <w:pPr>
        <w:jc w:val="both"/>
      </w:pPr>
      <w:r>
        <w:t xml:space="preserve">La atención de un brote no finaliza con la intervención inicial. Después de actuar es necesario observar qué ocurre con los casos, comprobar si las medidas se cumplen, identificar si permanecen los factores de riesgo y determinar si aparecen nuevas situaciones que puedan favorecer la propagación. Esta observación sistemática permite reconocer avances, detectar dificultades y tomar decisiones oportunas. </w:t>
      </w:r>
    </w:p>
    <w:p w14:paraId="1494046C" w14:textId="149EED9B" w:rsidR="00635A98" w:rsidRDefault="00635A98" w:rsidP="0023448F">
      <w:pPr>
        <w:jc w:val="both"/>
      </w:pPr>
      <w:r>
        <w:t xml:space="preserve">Pensemos, por ejemplo, en varios casos de enfermedad respiratoria detectados en un mismo pabellón. Se implementan medidas de aislamiento, búsqueda de contactos y fortalecimiento de la higiene. ¿El trabajo termina allí? No. Es necesario verificar si aparecen nuevos casos, revisar si persisten condiciones como ventilación insuficiente, hacinamiento o contacto cercano y establecer si las medidas adoptadas están contribuyendo efectivamente al control del evento. </w:t>
      </w:r>
    </w:p>
    <w:p w14:paraId="0D7A694C" w14:textId="1BC09B2A" w:rsidR="00635A98" w:rsidRDefault="00635A98" w:rsidP="0023448F">
      <w:pPr>
        <w:jc w:val="both"/>
      </w:pPr>
      <w:r>
        <w:t xml:space="preserve">Para lograrlo, un primer elemento es la articulación intersectorial. Las mesas de seguimiento permiten reunir a las instituciones y actores involucrados para analizar conjuntamente la información, revisar el comportamiento del evento, verificar las acciones realizadas y establecer compromisos. Dependiendo de las características del brote, esta articulación puede involucrar al INPEC, la USPEC, las entidades territoriales de salud y otros actores del sector sanitario. </w:t>
      </w:r>
    </w:p>
    <w:p w14:paraId="2C2635B8" w14:textId="470D6DCE" w:rsidR="00635A98" w:rsidRDefault="00635A98" w:rsidP="0023448F">
      <w:pPr>
        <w:jc w:val="both"/>
      </w:pPr>
      <w:r>
        <w:t xml:space="preserve">Esta coordinación resulta especialmente importante porque la salud en los entornos de privación de la libertad exige respuestas integradas. La OPS ha señalado la necesidad de fortalecer la cooperación intersectorial para afrontar las enfermedades transmisibles en estos contextos. </w:t>
      </w:r>
    </w:p>
    <w:p w14:paraId="50E794A8" w14:textId="693A3F9D" w:rsidR="00635A98" w:rsidRDefault="00635A98" w:rsidP="0023448F">
      <w:pPr>
        <w:jc w:val="both"/>
      </w:pPr>
      <w:r>
        <w:t xml:space="preserve">Un segundo elemento consiste en revisar las guías, lineamientos y protocolos. No basta con que estos documentos existan. Es necesario comprobar que las actuaciones desarrolladas correspondan con sus orientaciones y con las responsabilidades establecidas. Para hacerlo, el componente propone una secuencia sencilla: identificar, verificar, analizar y ajustar. Primero se reconoce el documento aplicable; posteriormente se compara con lo realizado; luego se identifican fortalezas, dificultades o incumplimientos; y, finalmente, se establecen los ajustes necesarios. </w:t>
      </w:r>
    </w:p>
    <w:p w14:paraId="5F3ECF70" w14:textId="7AA76AAF" w:rsidR="00635A98" w:rsidRDefault="00635A98" w:rsidP="0023448F">
      <w:pPr>
        <w:jc w:val="both"/>
      </w:pPr>
      <w:r>
        <w:t xml:space="preserve">Otro aspecto fundamental es el seguimiento de los Eventos de Interés en Salud Pública, EISP. Esto requiere mantener actualizada la información de los casos, hacer seguimiento a las personas afectadas y a sus contactos cuando corresponda, analizar la evolución del evento y verificar la continuidad de las medidas establecidas. Así pueden reconocerse oportunamente nuevos casos o cambios en los factores de riesgo. </w:t>
      </w:r>
    </w:p>
    <w:p w14:paraId="07A8F6CC" w14:textId="5B69BA1E" w:rsidR="00635A98" w:rsidRDefault="00635A98" w:rsidP="0023448F">
      <w:pPr>
        <w:jc w:val="both"/>
      </w:pPr>
      <w:r>
        <w:t xml:space="preserve">En Colombia, el SIVIGILA sustenta la observación y el análisis sistemático de los eventos en salud y proporciona información para orientar la planificación, ejecución, seguimiento y evaluación de las acciones de salud pública. </w:t>
      </w:r>
      <w:r w:rsidR="0023448F">
        <w:t xml:space="preserve">El Ministerio de Salud y Protección Social establece que hacer seguimiento </w:t>
      </w:r>
      <w:r>
        <w:lastRenderedPageBreak/>
        <w:t xml:space="preserve">no significa únicamente notificar. La información recopilada debe analizarse y convertirse en decisiones y acciones de respuesta. El documento base destaca, además, la importancia de revisar los registros de atención para identificar posibles casos que hayan quedado por fuera de la notificación. </w:t>
      </w:r>
    </w:p>
    <w:p w14:paraId="7810B44B" w14:textId="021608F0" w:rsidR="00635A98" w:rsidRDefault="00635A98" w:rsidP="0023448F">
      <w:pPr>
        <w:jc w:val="both"/>
      </w:pPr>
      <w:r>
        <w:t xml:space="preserve">Finalmente, es necesario verificar las acciones implementadas. Esto implica comprobar si el evento fue identificado oportunamente, si se caracterizó adecuadamente según las personas afectadas, el tiempo y el lugar, y si se reconocieron los factores personales, sanitarios y ambientales que pueden favorecer la transmisión. </w:t>
      </w:r>
    </w:p>
    <w:p w14:paraId="33E18653" w14:textId="22619237" w:rsidR="00635A98" w:rsidRDefault="00635A98" w:rsidP="0023448F">
      <w:pPr>
        <w:jc w:val="both"/>
      </w:pPr>
      <w:r>
        <w:t xml:space="preserve">La verificación, entonces, no busca simplemente responder: “¿se hizo la actividad?”. La pregunta más importante es: “¿la acción produjo el resultado esperado?”. Si las medidas funcionan, debe mantenerse el seguimiento hasta alcanzar el control o cierre correspondiente. Si se identifican incumplimientos, debilidades o factores de riesgo persistentes, la información obtenida debe convertirse en oportunidades de mejora y acciones correctivas. Esa es precisamente la secuencia que sintetiza el esquema final del documento: articulación, revisión, seguimiento, verificación y evaluación de resultados. </w:t>
      </w:r>
    </w:p>
    <w:p w14:paraId="6DEAF956" w14:textId="77777777" w:rsidR="00635A98" w:rsidRDefault="00635A98" w:rsidP="0023448F">
      <w:pPr>
        <w:jc w:val="both"/>
      </w:pPr>
      <w:r>
        <w:t>En conclusión, frente a un brote epidemiológico actuar es indispensable, pero verificar es lo que permite saber si realmente estamos avanzando. El seguimiento convierte los datos en decisiones, permite corregir oportunamente las dificultades y fortalece la respuesta institucional. Porque controlar un brote no consiste solamente en implementar medidas: también significa observar, analizar y mejorar continuamente.</w:t>
      </w:r>
    </w:p>
    <w:p w14:paraId="5CD512B1" w14:textId="6A6C5A9D" w:rsidR="000F1048" w:rsidRDefault="00635A98" w:rsidP="00635A98">
      <w:pPr>
        <w:rPr>
          <w:b/>
          <w:bCs/>
        </w:rPr>
      </w:pPr>
      <w:r w:rsidRPr="0023448F">
        <w:rPr>
          <w:b/>
          <w:bCs/>
        </w:rPr>
        <w:t>Referencias bibliográficas</w:t>
      </w:r>
    </w:p>
    <w:p w14:paraId="3D61BC99" w14:textId="110C8037" w:rsidR="0023448F" w:rsidRPr="0023448F" w:rsidRDefault="0023448F" w:rsidP="00635A98">
      <w:r w:rsidRPr="0023448F">
        <w:t xml:space="preserve">Ministerio de Salud y Protección Social. (s. f.). </w:t>
      </w:r>
      <w:r w:rsidRPr="0023448F">
        <w:rPr>
          <w:i/>
          <w:iCs/>
        </w:rPr>
        <w:t>Población privada de la libertad</w:t>
      </w:r>
      <w:r w:rsidRPr="0023448F">
        <w:t>. Ministerio de Salud y Protección Social.</w:t>
      </w:r>
      <w:r w:rsidRPr="0023448F">
        <w:t xml:space="preserve"> </w:t>
      </w:r>
    </w:p>
    <w:p w14:paraId="5119BE5C" w14:textId="29C86D74" w:rsidR="0023448F" w:rsidRDefault="0023448F" w:rsidP="00635A98">
      <w:pPr>
        <w:rPr>
          <w:b/>
          <w:bCs/>
        </w:rPr>
      </w:pPr>
      <w:hyperlink r:id="rId9" w:history="1">
        <w:r w:rsidRPr="005041B7">
          <w:rPr>
            <w:rStyle w:val="Hipervnculo"/>
            <w:b/>
            <w:bCs/>
          </w:rPr>
          <w:t>https://www.minsalud.gov.co/Proteccion-Social/Paginas/afiliacion-poblacion-privada-de-la-libertad.aspx</w:t>
        </w:r>
      </w:hyperlink>
      <w:r>
        <w:rPr>
          <w:b/>
          <w:bCs/>
        </w:rPr>
        <w:t xml:space="preserve"> </w:t>
      </w:r>
    </w:p>
    <w:p w14:paraId="08231CC3" w14:textId="43B7D825" w:rsidR="0023448F" w:rsidRPr="0023448F" w:rsidRDefault="0023448F" w:rsidP="00635A98">
      <w:r w:rsidRPr="0023448F">
        <w:t xml:space="preserve">Ministerio de Salud y Protección Social. (s. f.). </w:t>
      </w:r>
      <w:r w:rsidRPr="0023448F">
        <w:rPr>
          <w:i/>
          <w:iCs/>
        </w:rPr>
        <w:t>Población privada de la libertad</w:t>
      </w:r>
      <w:r w:rsidRPr="0023448F">
        <w:t>. Ministerio de Salud y Protección Social.</w:t>
      </w:r>
    </w:p>
    <w:p w14:paraId="6467FACE" w14:textId="00FC806A" w:rsidR="0023448F" w:rsidRPr="0023448F" w:rsidRDefault="0023448F" w:rsidP="00635A98">
      <w:hyperlink r:id="rId10" w:history="1">
        <w:r w:rsidRPr="0023448F">
          <w:rPr>
            <w:rStyle w:val="Hipervnculo"/>
          </w:rPr>
          <w:t>https://www.minsalud.gov.co/salud/Paginas/SIVIGILA.aspx</w:t>
        </w:r>
      </w:hyperlink>
      <w:r w:rsidRPr="0023448F">
        <w:t xml:space="preserve"> </w:t>
      </w:r>
    </w:p>
    <w:p w14:paraId="02639534" w14:textId="6FD5A85B" w:rsidR="0023448F" w:rsidRPr="0023448F" w:rsidRDefault="0023448F" w:rsidP="00635A98">
      <w:r w:rsidRPr="0023448F">
        <w:t xml:space="preserve">Organización Panamericana de la Salud. (2025). </w:t>
      </w:r>
      <w:r w:rsidRPr="0023448F">
        <w:rPr>
          <w:i/>
          <w:iCs/>
        </w:rPr>
        <w:t>Lineamientos para la respuesta a la tuberculosis, el VIH, las ITS y a las hepatitis virales en personas privadas de libertad en América Latina y el Caribe</w:t>
      </w:r>
      <w:r w:rsidRPr="0023448F">
        <w:t>. OPS.</w:t>
      </w:r>
    </w:p>
    <w:p w14:paraId="64A9BDB1" w14:textId="689B9CA5" w:rsidR="0023448F" w:rsidRPr="0023448F" w:rsidRDefault="0023448F" w:rsidP="00635A98">
      <w:hyperlink r:id="rId11" w:history="1">
        <w:r w:rsidRPr="0023448F">
          <w:rPr>
            <w:rStyle w:val="Hipervnculo"/>
          </w:rPr>
          <w:t>https://www.paho.org/es/documentos/lineamientos-para-respuesta-tuberculosis-vih-its-hepatitis-virales-personas-privadas</w:t>
        </w:r>
      </w:hyperlink>
      <w:r w:rsidRPr="0023448F">
        <w:t xml:space="preserve"> </w:t>
      </w:r>
    </w:p>
    <w:sectPr w:rsidR="0023448F" w:rsidRPr="0023448F" w:rsidSect="004903EB">
      <w:headerReference w:type="default" r:id="rId12"/>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2F08A" w14:textId="77777777" w:rsidR="00216A5F" w:rsidRDefault="00216A5F" w:rsidP="004903EB">
      <w:pPr>
        <w:spacing w:after="0" w:line="240" w:lineRule="auto"/>
      </w:pPr>
      <w:r>
        <w:separator/>
      </w:r>
    </w:p>
  </w:endnote>
  <w:endnote w:type="continuationSeparator" w:id="0">
    <w:p w14:paraId="5203E6B3" w14:textId="77777777" w:rsidR="00216A5F" w:rsidRDefault="00216A5F"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F3942" w14:textId="77777777" w:rsidR="00216A5F" w:rsidRDefault="00216A5F" w:rsidP="004903EB">
      <w:pPr>
        <w:spacing w:after="0" w:line="240" w:lineRule="auto"/>
      </w:pPr>
      <w:r>
        <w:separator/>
      </w:r>
    </w:p>
  </w:footnote>
  <w:footnote w:type="continuationSeparator" w:id="0">
    <w:p w14:paraId="328195C3" w14:textId="77777777" w:rsidR="00216A5F" w:rsidRDefault="00216A5F"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8053E"/>
    <w:rsid w:val="00097397"/>
    <w:rsid w:val="000F1048"/>
    <w:rsid w:val="00156202"/>
    <w:rsid w:val="001846C6"/>
    <w:rsid w:val="00216A5F"/>
    <w:rsid w:val="00231F06"/>
    <w:rsid w:val="0023448F"/>
    <w:rsid w:val="002936D9"/>
    <w:rsid w:val="002D43B6"/>
    <w:rsid w:val="002D5501"/>
    <w:rsid w:val="00317E6E"/>
    <w:rsid w:val="004832F9"/>
    <w:rsid w:val="004903EB"/>
    <w:rsid w:val="00623AF3"/>
    <w:rsid w:val="00635A98"/>
    <w:rsid w:val="006454D6"/>
    <w:rsid w:val="006D4BBF"/>
    <w:rsid w:val="006E5AA0"/>
    <w:rsid w:val="007571B0"/>
    <w:rsid w:val="007811B3"/>
    <w:rsid w:val="007A388B"/>
    <w:rsid w:val="008A297A"/>
    <w:rsid w:val="0093382F"/>
    <w:rsid w:val="009B522A"/>
    <w:rsid w:val="00B52BAB"/>
    <w:rsid w:val="00C502A1"/>
    <w:rsid w:val="00C73E3D"/>
    <w:rsid w:val="00E17EBB"/>
    <w:rsid w:val="00ED6916"/>
    <w:rsid w:val="00F363E4"/>
    <w:rsid w:val="00FA12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 w:type="character" w:styleId="Hipervnculovisitado">
    <w:name w:val="FollowedHyperlink"/>
    <w:basedOn w:val="Fuentedeprrafopredeter"/>
    <w:uiPriority w:val="99"/>
    <w:semiHidden/>
    <w:unhideWhenUsed/>
    <w:rsid w:val="009338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8012">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421344019">
      <w:bodyDiv w:val="1"/>
      <w:marLeft w:val="0"/>
      <w:marRight w:val="0"/>
      <w:marTop w:val="0"/>
      <w:marBottom w:val="0"/>
      <w:divBdr>
        <w:top w:val="none" w:sz="0" w:space="0" w:color="auto"/>
        <w:left w:val="none" w:sz="0" w:space="0" w:color="auto"/>
        <w:bottom w:val="none" w:sz="0" w:space="0" w:color="auto"/>
        <w:right w:val="none" w:sz="0" w:space="0" w:color="auto"/>
      </w:divBdr>
    </w:div>
    <w:div w:id="926425236">
      <w:bodyDiv w:val="1"/>
      <w:marLeft w:val="0"/>
      <w:marRight w:val="0"/>
      <w:marTop w:val="0"/>
      <w:marBottom w:val="0"/>
      <w:divBdr>
        <w:top w:val="none" w:sz="0" w:space="0" w:color="auto"/>
        <w:left w:val="none" w:sz="0" w:space="0" w:color="auto"/>
        <w:bottom w:val="none" w:sz="0" w:space="0" w:color="auto"/>
        <w:right w:val="none" w:sz="0" w:space="0" w:color="auto"/>
      </w:divBdr>
    </w:div>
    <w:div w:id="1419255635">
      <w:bodyDiv w:val="1"/>
      <w:marLeft w:val="0"/>
      <w:marRight w:val="0"/>
      <w:marTop w:val="0"/>
      <w:marBottom w:val="0"/>
      <w:divBdr>
        <w:top w:val="none" w:sz="0" w:space="0" w:color="auto"/>
        <w:left w:val="none" w:sz="0" w:space="0" w:color="auto"/>
        <w:bottom w:val="none" w:sz="0" w:space="0" w:color="auto"/>
        <w:right w:val="none" w:sz="0" w:space="0" w:color="auto"/>
      </w:divBdr>
    </w:div>
    <w:div w:id="1516074952">
      <w:bodyDiv w:val="1"/>
      <w:marLeft w:val="0"/>
      <w:marRight w:val="0"/>
      <w:marTop w:val="0"/>
      <w:marBottom w:val="0"/>
      <w:divBdr>
        <w:top w:val="none" w:sz="0" w:space="0" w:color="auto"/>
        <w:left w:val="none" w:sz="0" w:space="0" w:color="auto"/>
        <w:bottom w:val="none" w:sz="0" w:space="0" w:color="auto"/>
        <w:right w:val="none" w:sz="0" w:space="0" w:color="auto"/>
      </w:divBdr>
    </w:div>
    <w:div w:id="180330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aho.org/es/documentos/lineamientos-para-respuesta-tuberculosis-vih-its-hepatitis-virales-personas-privadas" TargetMode="External"/><Relationship Id="rId5" Type="http://schemas.openxmlformats.org/officeDocument/2006/relationships/settings" Target="settings.xml"/><Relationship Id="rId10" Type="http://schemas.openxmlformats.org/officeDocument/2006/relationships/hyperlink" Target="https://www.minsalud.gov.co/salud/Paginas/SIVIGILA.aspx" TargetMode="External"/><Relationship Id="rId4" Type="http://schemas.openxmlformats.org/officeDocument/2006/relationships/styles" Target="styles.xml"/><Relationship Id="rId9" Type="http://schemas.openxmlformats.org/officeDocument/2006/relationships/hyperlink" Target="https://www.minsalud.gov.co/Proteccion-Social/Paginas/afiliacion-poblacion-privada-de-la-libertad.aspx"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602BD364-A1C4-4E2D-9AC3-CA564F6AE918}">
  <ds:schemaRefs>
    <ds:schemaRef ds:uri="http://schemas.microsoft.com/sharepoint/v3/contenttype/forms"/>
  </ds:schemaRefs>
</ds:datastoreItem>
</file>

<file path=customXml/itemProps2.xml><?xml version="1.0" encoding="utf-8"?>
<ds:datastoreItem xmlns:ds="http://schemas.openxmlformats.org/officeDocument/2006/customXml" ds:itemID="{51C5438E-1580-4177-B8F1-6AB4FB16B340}"/>
</file>

<file path=customXml/itemProps3.xml><?xml version="1.0" encoding="utf-8"?>
<ds:datastoreItem xmlns:ds="http://schemas.openxmlformats.org/officeDocument/2006/customXml" ds:itemID="{11DAD6CF-0BA3-4D5C-9111-B439CEE56612}">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925</Words>
  <Characters>5088</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Jair Enrique Coll Gallardo</cp:lastModifiedBy>
  <cp:revision>3</cp:revision>
  <dcterms:created xsi:type="dcterms:W3CDTF">2026-10-04T21:23:00Z</dcterms:created>
  <dcterms:modified xsi:type="dcterms:W3CDTF">2026-10-04T21:31:00Z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