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29049" w14:textId="0BA5CF7E" w:rsidR="00477539" w:rsidRDefault="00477539" w:rsidP="00477539">
      <w:pPr>
        <w:jc w:val="center"/>
        <w:rPr>
          <w:b/>
          <w:bCs/>
          <w:lang w:val="es-419"/>
        </w:rPr>
      </w:pPr>
      <w:r>
        <w:rPr>
          <w:b/>
          <w:bCs/>
          <w:lang w:val="es-419"/>
        </w:rPr>
        <w:t>D</w:t>
      </w:r>
      <w:r w:rsidRPr="00477539">
        <w:rPr>
          <w:b/>
          <w:bCs/>
          <w:lang w:val="es-419"/>
        </w:rPr>
        <w:t>EL HALLAZGO A LA MEJORA: APRENDIENDO DE LOS BROTES EPIDEMIOLÓGICOS</w:t>
      </w:r>
    </w:p>
    <w:p w14:paraId="75D62765" w14:textId="77777777" w:rsidR="00477539" w:rsidRPr="00477539" w:rsidRDefault="00477539" w:rsidP="00477539">
      <w:pPr>
        <w:jc w:val="both"/>
        <w:rPr>
          <w:lang w:val="es-419"/>
        </w:rPr>
      </w:pPr>
      <w:r w:rsidRPr="00477539">
        <w:rPr>
          <w:lang w:val="es-419"/>
        </w:rPr>
        <w:t>Cuando se implementan medidas para controlar un brote epidemiológico, podría parecer que el trabajo termina cuando disminuyen los casos. Sin embargo, existe una pregunta fundamental: ¿qué aprendimos de lo ocurrido y qué podemos hacer mejor ante un próximo evento?</w:t>
      </w:r>
    </w:p>
    <w:p w14:paraId="33B236AB" w14:textId="69E57B3F" w:rsidR="00477539" w:rsidRPr="00477539" w:rsidRDefault="00477539" w:rsidP="00477539">
      <w:pPr>
        <w:jc w:val="both"/>
        <w:rPr>
          <w:lang w:val="es-419"/>
        </w:rPr>
      </w:pPr>
      <w:r w:rsidRPr="00477539">
        <w:rPr>
          <w:lang w:val="es-419"/>
        </w:rPr>
        <w:t xml:space="preserve">Evaluar la respuesta permite reconocer qué funcionó, qué dificultades se presentaron y cuáles condiciones continúan representando un riesgo. En los Establecimientos de Reclusión del Orden Nacional, ERON, esta evaluación es especialmente importante porque sus resultados permiten fortalecer la capacidad institucional, orientar decisiones y mejorar la preparación frente a futuros eventos. </w:t>
      </w:r>
    </w:p>
    <w:p w14:paraId="56E80407" w14:textId="23B61C7F" w:rsidR="00477539" w:rsidRPr="00477539" w:rsidRDefault="00477539" w:rsidP="00477539">
      <w:pPr>
        <w:jc w:val="both"/>
        <w:rPr>
          <w:lang w:val="es-419"/>
        </w:rPr>
      </w:pPr>
      <w:r w:rsidRPr="00477539">
        <w:rPr>
          <w:lang w:val="es-419"/>
        </w:rPr>
        <w:t xml:space="preserve">El primer paso consiste en valorar si las acciones realizadas correspondieron con las guías, lineamientos y protocolos establecidos. Esto implica revisar aspectos como la notificación oportuna de los eventos, la investigación del brote, el seguimiento de los casos y sus contactos cuando corresponda, la aplicación de medidas de prevención y control y el análisis de los factores de riesgo. </w:t>
      </w:r>
    </w:p>
    <w:p w14:paraId="1DEF6C71" w14:textId="77777777" w:rsidR="00477539" w:rsidRPr="00477539" w:rsidRDefault="00477539" w:rsidP="00477539">
      <w:pPr>
        <w:jc w:val="both"/>
        <w:rPr>
          <w:lang w:val="es-419"/>
        </w:rPr>
      </w:pPr>
      <w:r w:rsidRPr="00477539">
        <w:rPr>
          <w:lang w:val="es-419"/>
        </w:rPr>
        <w:t>Pero evaluar no significa únicamente comprobar que una actividad fue realizada. También debemos preguntarnos: ¿produjo el resultado esperado?</w:t>
      </w:r>
    </w:p>
    <w:p w14:paraId="051FF41C" w14:textId="77777777" w:rsidR="00477539" w:rsidRPr="00477539" w:rsidRDefault="00477539" w:rsidP="00BA71FB">
      <w:pPr>
        <w:jc w:val="both"/>
        <w:rPr>
          <w:lang w:val="es-419"/>
        </w:rPr>
      </w:pPr>
      <w:r w:rsidRPr="00477539">
        <w:rPr>
          <w:lang w:val="es-419"/>
        </w:rPr>
        <w:t>Pensemos en un establecimiento penitenciario que presenta varios casos de una enfermedad transmitida por alimentos. Se identifica el evento, se atienden los casos y se realizan acciones de limpieza y desinfección. Posteriormente, la evaluación determina que existen deficiencias recurrentes en la manipulación de los alimentos. En este caso, haber cumplido con las actividades iniciales no significa necesariamente que el problema haya sido resuelto. El factor de riesgo continúa presente y puede favorecer la aparición de nuevos eventos.</w:t>
      </w:r>
    </w:p>
    <w:p w14:paraId="35E48D78" w14:textId="1C6FEA3D" w:rsidR="00477539" w:rsidRPr="00477539" w:rsidRDefault="00477539" w:rsidP="00BA71FB">
      <w:pPr>
        <w:jc w:val="both"/>
        <w:rPr>
          <w:lang w:val="es-419"/>
        </w:rPr>
      </w:pPr>
      <w:r w:rsidRPr="00477539">
        <w:rPr>
          <w:lang w:val="es-419"/>
        </w:rPr>
        <w:t xml:space="preserve">El propio componente muestra la importancia de este análisis. En la figura sobre enfermedades transmitidas por alimentos se identifica que una proporción importante de los factores de riesgo analizados está relacionada con el manejo higiénico de los alimentos por parte del operador. Esto demuestra por qué la evaluación debe trascender el cumplimiento de actividades y analizar las condiciones que pueden estar originando o manteniendo el riesgo. </w:t>
      </w:r>
    </w:p>
    <w:p w14:paraId="23577BFC" w14:textId="77777777" w:rsidR="00477539" w:rsidRDefault="00477539" w:rsidP="00477539">
      <w:pPr>
        <w:rPr>
          <w:lang w:val="es-419"/>
        </w:rPr>
      </w:pPr>
      <w:r w:rsidRPr="00477539">
        <w:rPr>
          <w:lang w:val="es-419"/>
        </w:rPr>
        <w:t xml:space="preserve">La evaluación debe considerar además condiciones como la disponibilidad de espacios adecuados para aislamiento, continuidad y calidad del agua, mantenimiento de tanques, condiciones sanitarias de la infraestructura y procedimientos de limpieza y desinfección. </w:t>
      </w:r>
    </w:p>
    <w:p w14:paraId="1C141062" w14:textId="6E3C4497" w:rsidR="00477539" w:rsidRPr="00477539" w:rsidRDefault="00477539" w:rsidP="00477539">
      <w:pPr>
        <w:jc w:val="both"/>
        <w:rPr>
          <w:lang w:val="es-419"/>
        </w:rPr>
      </w:pPr>
      <w:r w:rsidRPr="00477539">
        <w:rPr>
          <w:lang w:val="es-419"/>
        </w:rPr>
        <w:t xml:space="preserve">Estas condiciones son relevantes porque los entornos de privación de libertad presentan desafíos particulares para prevenir enfermedades transmisibles. La OPS destaca que el hacinamiento, las condiciones sanitarias y las barreras de acceso a los servicios de salud pueden incrementar los riesgos, haciendo necesaria una respuesta intersectorial. </w:t>
      </w:r>
    </w:p>
    <w:p w14:paraId="48C546A2" w14:textId="77777777" w:rsidR="00477539" w:rsidRPr="00477539" w:rsidRDefault="00477539" w:rsidP="00477539">
      <w:pPr>
        <w:rPr>
          <w:lang w:val="es-419"/>
        </w:rPr>
      </w:pPr>
      <w:r w:rsidRPr="00477539">
        <w:rPr>
          <w:lang w:val="es-419"/>
        </w:rPr>
        <w:t>Ahora bien, cuando la evaluación muestra que existe una diferencia entre lo que debería ocurrir y lo que realmente está ocurriendo, podemos identificar una brecha.</w:t>
      </w:r>
    </w:p>
    <w:p w14:paraId="5333962F" w14:textId="77777777" w:rsidR="00477539" w:rsidRPr="00477539" w:rsidRDefault="00477539" w:rsidP="00477539">
      <w:pPr>
        <w:jc w:val="both"/>
        <w:rPr>
          <w:lang w:val="es-419"/>
        </w:rPr>
      </w:pPr>
      <w:r w:rsidRPr="00477539">
        <w:rPr>
          <w:lang w:val="es-419"/>
        </w:rPr>
        <w:t xml:space="preserve">Una brecha puede encontrarse, por ejemplo, cuando existe un protocolo de aislamiento, pero no se dispone de espacios adecuados; cuando están programadas actividades de limpieza y desinfección, </w:t>
      </w:r>
      <w:r w:rsidRPr="00477539">
        <w:rPr>
          <w:lang w:val="es-419"/>
        </w:rPr>
        <w:lastRenderedPageBreak/>
        <w:t>pero no se ejecutan con la frecuencia requerida; o cuando se recopila información epidemiológica, pero esta no se utiliza oportunamente para tomar decisiones.</w:t>
      </w:r>
    </w:p>
    <w:p w14:paraId="38389FEA" w14:textId="77777777" w:rsidR="00477539" w:rsidRPr="00477539" w:rsidRDefault="00477539" w:rsidP="00477539">
      <w:pPr>
        <w:rPr>
          <w:lang w:val="es-419"/>
        </w:rPr>
      </w:pPr>
      <w:r w:rsidRPr="00477539">
        <w:rPr>
          <w:lang w:val="es-419"/>
        </w:rPr>
        <w:t>Por eso, identificar una brecha no debería entenderse solamente como encontrar un error. Su verdadero valor está en convertirla en una oportunidad de mejora.</w:t>
      </w:r>
    </w:p>
    <w:p w14:paraId="6F5BA168" w14:textId="77777777" w:rsidR="00477539" w:rsidRPr="00477539" w:rsidRDefault="00477539" w:rsidP="00477539">
      <w:pPr>
        <w:jc w:val="both"/>
        <w:rPr>
          <w:lang w:val="es-419"/>
        </w:rPr>
      </w:pPr>
      <w:r w:rsidRPr="00477539">
        <w:rPr>
          <w:lang w:val="es-419"/>
        </w:rPr>
        <w:t>Supongamos que después de un brote se identifica que el personal reconoce tardíamente determinados signos y síntomas. La oportunidad de mejora podría ser fortalecer su capacitación y establecer mecanismos que faciliten la detección temprana. Si la dificultad está relacionada con el abastecimiento de agua, las acciones deberán dirigirse hacia la infraestructura, mantenimiento y seguimiento sanitario. Si el problema corresponde a una comunicación insuficiente entre los responsables, será necesario fortalecer la articulación institucional.</w:t>
      </w:r>
    </w:p>
    <w:p w14:paraId="294C04F9" w14:textId="1D92F748" w:rsidR="00477539" w:rsidRPr="00477539" w:rsidRDefault="00477539" w:rsidP="00477539">
      <w:pPr>
        <w:jc w:val="both"/>
        <w:rPr>
          <w:lang w:val="es-419"/>
        </w:rPr>
      </w:pPr>
      <w:r w:rsidRPr="00477539">
        <w:rPr>
          <w:lang w:val="es-419"/>
        </w:rPr>
        <w:t>Las acciones de mejoramiento deben priorizarse según los riesgos identificados. El componente las organiza alrededor de tres grandes ámbitos: prevención y preparación; condiciones sanitarias y ambientales; y vigilancia, articulación y seguimiento. Esta lógica coincide con el enfoque regional de la OPS, que promueve respuestas integradas e intersectoriales frente a las enfermedades transmisibles en los contextos de privación de libertad</w:t>
      </w:r>
      <w:r w:rsidRPr="00477539">
        <w:rPr>
          <w:lang w:val="es-419"/>
        </w:rPr>
        <w:t xml:space="preserve"> </w:t>
      </w:r>
    </w:p>
    <w:p w14:paraId="64679767" w14:textId="77777777" w:rsidR="00477539" w:rsidRPr="00477539" w:rsidRDefault="00477539" w:rsidP="00BA71FB">
      <w:pPr>
        <w:jc w:val="both"/>
        <w:rPr>
          <w:lang w:val="es-419"/>
        </w:rPr>
      </w:pPr>
      <w:r w:rsidRPr="00477539">
        <w:rPr>
          <w:lang w:val="es-419"/>
        </w:rPr>
        <w:t>En conclusión, evaluar un brote no consiste únicamente en mirar hacia atrás. Significa utilizar lo ocurrido para prepararnos mejor hacia adelante. Cada resultado, dificultad o brecha identificada puede convertirse en una oportunidad para fortalecer la prevención, mejorar las condiciones sanitarias y optimizar la respuesta institucional.</w:t>
      </w:r>
    </w:p>
    <w:p w14:paraId="7528272D" w14:textId="77777777" w:rsidR="00477539" w:rsidRPr="00477539" w:rsidRDefault="00477539" w:rsidP="00BA71FB">
      <w:pPr>
        <w:rPr>
          <w:lang w:val="es-419"/>
        </w:rPr>
      </w:pPr>
      <w:r w:rsidRPr="00477539">
        <w:rPr>
          <w:lang w:val="es-419"/>
        </w:rPr>
        <w:t>Porque una gestión efectiva no termina cuando el brote disminuye. Termina cuando lo aprendido se transforma en acciones que ayudan a evitar que el problema vuelva a repetirse.</w:t>
      </w:r>
    </w:p>
    <w:p w14:paraId="5CD512B1" w14:textId="687886AF" w:rsidR="000F1048" w:rsidRDefault="00635A98" w:rsidP="00635A98">
      <w:pPr>
        <w:rPr>
          <w:b/>
          <w:bCs/>
        </w:rPr>
      </w:pPr>
      <w:r w:rsidRPr="0023448F">
        <w:rPr>
          <w:b/>
          <w:bCs/>
        </w:rPr>
        <w:t>Referencias bibliográficas</w:t>
      </w:r>
    </w:p>
    <w:p w14:paraId="3D61BC99" w14:textId="110C8037" w:rsidR="0023448F" w:rsidRPr="0023448F" w:rsidRDefault="0023448F" w:rsidP="00635A98">
      <w:r w:rsidRPr="0023448F">
        <w:t xml:space="preserve">Ministerio de Salud y Protección Social. (s. f.). </w:t>
      </w:r>
      <w:r w:rsidRPr="0023448F">
        <w:rPr>
          <w:i/>
          <w:iCs/>
        </w:rPr>
        <w:t>Población privada de la libertad</w:t>
      </w:r>
      <w:r w:rsidRPr="0023448F">
        <w:t xml:space="preserve">. Ministerio de Salud y Protección Social. </w:t>
      </w:r>
    </w:p>
    <w:p w14:paraId="5119BE5C" w14:textId="29C86D74" w:rsidR="0023448F" w:rsidRPr="00785E19" w:rsidRDefault="0023448F" w:rsidP="00635A98">
      <w:hyperlink r:id="rId9" w:history="1">
        <w:r w:rsidRPr="00785E19">
          <w:rPr>
            <w:rStyle w:val="Hipervnculo"/>
          </w:rPr>
          <w:t>https://www.minsalud.gov.co/Proteccion-Social/Paginas/afiliacion-poblacion-privada-de-la-libertad.aspx</w:t>
        </w:r>
      </w:hyperlink>
      <w:r w:rsidRPr="00785E19">
        <w:t xml:space="preserve"> </w:t>
      </w:r>
    </w:p>
    <w:p w14:paraId="08231CC3" w14:textId="43B7D825" w:rsidR="0023448F" w:rsidRPr="0023448F" w:rsidRDefault="0023448F" w:rsidP="00635A98">
      <w:r w:rsidRPr="0023448F">
        <w:t xml:space="preserve">Ministerio de Salud y Protección Social. (s. f.). </w:t>
      </w:r>
      <w:r w:rsidRPr="0023448F">
        <w:rPr>
          <w:i/>
          <w:iCs/>
        </w:rPr>
        <w:t>Población privada de la libertad</w:t>
      </w:r>
      <w:r w:rsidRPr="0023448F">
        <w:t>. Ministerio de Salud y Protección Social.</w:t>
      </w:r>
    </w:p>
    <w:p w14:paraId="6467FACE" w14:textId="00FC806A" w:rsidR="0023448F" w:rsidRPr="0023448F" w:rsidRDefault="0023448F" w:rsidP="00635A98">
      <w:hyperlink r:id="rId10" w:history="1">
        <w:r w:rsidRPr="0023448F">
          <w:rPr>
            <w:rStyle w:val="Hipervnculo"/>
          </w:rPr>
          <w:t>https://www.minsalud.gov.co/salud/Paginas/SIVIGILA.aspx</w:t>
        </w:r>
      </w:hyperlink>
      <w:r w:rsidRPr="0023448F">
        <w:t xml:space="preserve"> </w:t>
      </w:r>
    </w:p>
    <w:p w14:paraId="126BFB25" w14:textId="77777777" w:rsidR="00BA71FB" w:rsidRDefault="0023448F" w:rsidP="00635A98">
      <w:r w:rsidRPr="0023448F">
        <w:t xml:space="preserve">Organización Panamericana de la Salud. (2025). </w:t>
      </w:r>
      <w:r w:rsidRPr="0023448F">
        <w:rPr>
          <w:i/>
          <w:iCs/>
        </w:rPr>
        <w:t>Lineamientos para la respuesta a la tuberculosis, el VIH, las ITS y a las hepatitis virales en personas privadas de libertad en América Latina y el Caribe</w:t>
      </w:r>
      <w:r w:rsidRPr="0023448F">
        <w:t>. OPS.</w:t>
      </w:r>
    </w:p>
    <w:p w14:paraId="64A9BDB1" w14:textId="098D7270" w:rsidR="0023448F" w:rsidRPr="0023448F" w:rsidRDefault="0023448F" w:rsidP="00635A98">
      <w:hyperlink r:id="rId11" w:history="1">
        <w:r w:rsidRPr="0023448F">
          <w:rPr>
            <w:rStyle w:val="Hipervnculo"/>
          </w:rPr>
          <w:t>https://www.paho.org/es/documentos/lineamientos-para-respuesta-tuberculosis-vih-its-hepatitis-virales-personas-privadas</w:t>
        </w:r>
      </w:hyperlink>
      <w:r w:rsidRPr="0023448F">
        <w:t xml:space="preserve"> </w:t>
      </w:r>
    </w:p>
    <w:sectPr w:rsidR="0023448F" w:rsidRPr="0023448F" w:rsidSect="004903EB">
      <w:headerReference w:type="default" r:id="rId12"/>
      <w:pgSz w:w="12240" w:h="15840" w:code="1"/>
      <w:pgMar w:top="1701"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5BA05" w14:textId="77777777" w:rsidR="00E159BF" w:rsidRDefault="00E159BF" w:rsidP="004903EB">
      <w:pPr>
        <w:spacing w:after="0" w:line="240" w:lineRule="auto"/>
      </w:pPr>
      <w:r>
        <w:separator/>
      </w:r>
    </w:p>
  </w:endnote>
  <w:endnote w:type="continuationSeparator" w:id="0">
    <w:p w14:paraId="31FE85E9" w14:textId="77777777" w:rsidR="00E159BF" w:rsidRDefault="00E159BF" w:rsidP="004903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A5D65" w14:textId="77777777" w:rsidR="00E159BF" w:rsidRDefault="00E159BF" w:rsidP="004903EB">
      <w:pPr>
        <w:spacing w:after="0" w:line="240" w:lineRule="auto"/>
      </w:pPr>
      <w:r>
        <w:separator/>
      </w:r>
    </w:p>
  </w:footnote>
  <w:footnote w:type="continuationSeparator" w:id="0">
    <w:p w14:paraId="20FBAB23" w14:textId="77777777" w:rsidR="00E159BF" w:rsidRDefault="00E159BF" w:rsidP="004903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4FEC7" w14:textId="0D64481B" w:rsidR="004903EB" w:rsidRDefault="004903EB" w:rsidP="004903EB">
    <w:pPr>
      <w:pStyle w:val="Encabezado"/>
      <w:tabs>
        <w:tab w:val="clear" w:pos="4419"/>
      </w:tabs>
    </w:pPr>
    <w:r w:rsidRPr="001A74F0">
      <w:rPr>
        <w:noProof/>
      </w:rPr>
      <w:drawing>
        <wp:anchor distT="0" distB="0" distL="114300" distR="114300" simplePos="0" relativeHeight="251659264" behindDoc="0" locked="0" layoutInCell="1" allowOverlap="1" wp14:anchorId="582A2502" wp14:editId="43ACE061">
          <wp:simplePos x="0" y="0"/>
          <wp:positionH relativeFrom="column">
            <wp:posOffset>2400300</wp:posOffset>
          </wp:positionH>
          <wp:positionV relativeFrom="paragraph">
            <wp:posOffset>-95885</wp:posOffset>
          </wp:positionV>
          <wp:extent cx="592455" cy="561340"/>
          <wp:effectExtent l="0" t="0" r="4445" b="0"/>
          <wp:wrapSquare wrapText="bothSides"/>
          <wp:docPr id="20" name="Imagen 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3EB"/>
    <w:rsid w:val="00046484"/>
    <w:rsid w:val="00073A12"/>
    <w:rsid w:val="0008053E"/>
    <w:rsid w:val="00097397"/>
    <w:rsid w:val="000F1048"/>
    <w:rsid w:val="00156202"/>
    <w:rsid w:val="001846C6"/>
    <w:rsid w:val="00216A5F"/>
    <w:rsid w:val="00231F06"/>
    <w:rsid w:val="0023448F"/>
    <w:rsid w:val="002936D9"/>
    <w:rsid w:val="002D43B6"/>
    <w:rsid w:val="002D5501"/>
    <w:rsid w:val="00317E6E"/>
    <w:rsid w:val="00477539"/>
    <w:rsid w:val="004832F9"/>
    <w:rsid w:val="004903EB"/>
    <w:rsid w:val="00623AF3"/>
    <w:rsid w:val="00635A98"/>
    <w:rsid w:val="006454D6"/>
    <w:rsid w:val="006D4BBF"/>
    <w:rsid w:val="006E5AA0"/>
    <w:rsid w:val="007571B0"/>
    <w:rsid w:val="007811B3"/>
    <w:rsid w:val="00785E19"/>
    <w:rsid w:val="007A388B"/>
    <w:rsid w:val="008A297A"/>
    <w:rsid w:val="0093382F"/>
    <w:rsid w:val="009B522A"/>
    <w:rsid w:val="00A22100"/>
    <w:rsid w:val="00B52BAB"/>
    <w:rsid w:val="00BA71FB"/>
    <w:rsid w:val="00C502A1"/>
    <w:rsid w:val="00C73E3D"/>
    <w:rsid w:val="00E159BF"/>
    <w:rsid w:val="00E17EBB"/>
    <w:rsid w:val="00ED6916"/>
    <w:rsid w:val="00F363E4"/>
    <w:rsid w:val="00FA12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1623E"/>
  <w15:chartTrackingRefBased/>
  <w15:docId w15:val="{044053FA-5AF8-40C5-84D8-439A99C0B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4903EB"/>
    <w:rPr>
      <w:color w:val="0563C1" w:themeColor="hyperlink"/>
      <w:u w:val="single"/>
    </w:rPr>
  </w:style>
  <w:style w:type="character" w:styleId="Mencinsinresolver">
    <w:name w:val="Unresolved Mention"/>
    <w:basedOn w:val="Fuentedeprrafopredeter"/>
    <w:uiPriority w:val="99"/>
    <w:semiHidden/>
    <w:unhideWhenUsed/>
    <w:rsid w:val="004903EB"/>
    <w:rPr>
      <w:color w:val="605E5C"/>
      <w:shd w:val="clear" w:color="auto" w:fill="E1DFDD"/>
    </w:rPr>
  </w:style>
  <w:style w:type="paragraph" w:styleId="Encabezado">
    <w:name w:val="header"/>
    <w:basedOn w:val="Normal"/>
    <w:link w:val="EncabezadoCar"/>
    <w:uiPriority w:val="99"/>
    <w:unhideWhenUsed/>
    <w:rsid w:val="004903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03EB"/>
  </w:style>
  <w:style w:type="paragraph" w:styleId="Piedepgina">
    <w:name w:val="footer"/>
    <w:basedOn w:val="Normal"/>
    <w:link w:val="PiedepginaCar"/>
    <w:uiPriority w:val="99"/>
    <w:unhideWhenUsed/>
    <w:rsid w:val="004903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03EB"/>
  </w:style>
  <w:style w:type="character" w:styleId="Hipervnculovisitado">
    <w:name w:val="FollowedHyperlink"/>
    <w:basedOn w:val="Fuentedeprrafopredeter"/>
    <w:uiPriority w:val="99"/>
    <w:semiHidden/>
    <w:unhideWhenUsed/>
    <w:rsid w:val="0093382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8012">
      <w:bodyDiv w:val="1"/>
      <w:marLeft w:val="0"/>
      <w:marRight w:val="0"/>
      <w:marTop w:val="0"/>
      <w:marBottom w:val="0"/>
      <w:divBdr>
        <w:top w:val="none" w:sz="0" w:space="0" w:color="auto"/>
        <w:left w:val="none" w:sz="0" w:space="0" w:color="auto"/>
        <w:bottom w:val="none" w:sz="0" w:space="0" w:color="auto"/>
        <w:right w:val="none" w:sz="0" w:space="0" w:color="auto"/>
      </w:divBdr>
    </w:div>
    <w:div w:id="339434600">
      <w:bodyDiv w:val="1"/>
      <w:marLeft w:val="0"/>
      <w:marRight w:val="0"/>
      <w:marTop w:val="0"/>
      <w:marBottom w:val="0"/>
      <w:divBdr>
        <w:top w:val="none" w:sz="0" w:space="0" w:color="auto"/>
        <w:left w:val="none" w:sz="0" w:space="0" w:color="auto"/>
        <w:bottom w:val="none" w:sz="0" w:space="0" w:color="auto"/>
        <w:right w:val="none" w:sz="0" w:space="0" w:color="auto"/>
      </w:divBdr>
    </w:div>
    <w:div w:id="368527100">
      <w:bodyDiv w:val="1"/>
      <w:marLeft w:val="0"/>
      <w:marRight w:val="0"/>
      <w:marTop w:val="0"/>
      <w:marBottom w:val="0"/>
      <w:divBdr>
        <w:top w:val="none" w:sz="0" w:space="0" w:color="auto"/>
        <w:left w:val="none" w:sz="0" w:space="0" w:color="auto"/>
        <w:bottom w:val="none" w:sz="0" w:space="0" w:color="auto"/>
        <w:right w:val="none" w:sz="0" w:space="0" w:color="auto"/>
      </w:divBdr>
    </w:div>
    <w:div w:id="421344019">
      <w:bodyDiv w:val="1"/>
      <w:marLeft w:val="0"/>
      <w:marRight w:val="0"/>
      <w:marTop w:val="0"/>
      <w:marBottom w:val="0"/>
      <w:divBdr>
        <w:top w:val="none" w:sz="0" w:space="0" w:color="auto"/>
        <w:left w:val="none" w:sz="0" w:space="0" w:color="auto"/>
        <w:bottom w:val="none" w:sz="0" w:space="0" w:color="auto"/>
        <w:right w:val="none" w:sz="0" w:space="0" w:color="auto"/>
      </w:divBdr>
    </w:div>
    <w:div w:id="926425236">
      <w:bodyDiv w:val="1"/>
      <w:marLeft w:val="0"/>
      <w:marRight w:val="0"/>
      <w:marTop w:val="0"/>
      <w:marBottom w:val="0"/>
      <w:divBdr>
        <w:top w:val="none" w:sz="0" w:space="0" w:color="auto"/>
        <w:left w:val="none" w:sz="0" w:space="0" w:color="auto"/>
        <w:bottom w:val="none" w:sz="0" w:space="0" w:color="auto"/>
        <w:right w:val="none" w:sz="0" w:space="0" w:color="auto"/>
      </w:divBdr>
    </w:div>
    <w:div w:id="1419255635">
      <w:bodyDiv w:val="1"/>
      <w:marLeft w:val="0"/>
      <w:marRight w:val="0"/>
      <w:marTop w:val="0"/>
      <w:marBottom w:val="0"/>
      <w:divBdr>
        <w:top w:val="none" w:sz="0" w:space="0" w:color="auto"/>
        <w:left w:val="none" w:sz="0" w:space="0" w:color="auto"/>
        <w:bottom w:val="none" w:sz="0" w:space="0" w:color="auto"/>
        <w:right w:val="none" w:sz="0" w:space="0" w:color="auto"/>
      </w:divBdr>
    </w:div>
    <w:div w:id="1516074952">
      <w:bodyDiv w:val="1"/>
      <w:marLeft w:val="0"/>
      <w:marRight w:val="0"/>
      <w:marTop w:val="0"/>
      <w:marBottom w:val="0"/>
      <w:divBdr>
        <w:top w:val="none" w:sz="0" w:space="0" w:color="auto"/>
        <w:left w:val="none" w:sz="0" w:space="0" w:color="auto"/>
        <w:bottom w:val="none" w:sz="0" w:space="0" w:color="auto"/>
        <w:right w:val="none" w:sz="0" w:space="0" w:color="auto"/>
      </w:divBdr>
    </w:div>
    <w:div w:id="1803305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paho.org/es/documentos/lineamientos-para-respuesta-tuberculosis-vih-its-hepatitis-virales-personas-privadas" TargetMode="External"/><Relationship Id="rId5" Type="http://schemas.openxmlformats.org/officeDocument/2006/relationships/settings" Target="settings.xml"/><Relationship Id="rId10" Type="http://schemas.openxmlformats.org/officeDocument/2006/relationships/hyperlink" Target="https://www.minsalud.gov.co/salud/Paginas/SIVIGILA.aspx" TargetMode="External"/><Relationship Id="rId4" Type="http://schemas.openxmlformats.org/officeDocument/2006/relationships/styles" Target="styles.xml"/><Relationship Id="rId9" Type="http://schemas.openxmlformats.org/officeDocument/2006/relationships/hyperlink" Target="https://www.minsalud.gov.co/Proteccion-Social/Paginas/afiliacion-poblacion-privada-de-la-libertad.aspx"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2760c81-fd8e-4d59-8953-7cdb9f38b14f">
      <Terms xmlns="http://schemas.microsoft.com/office/infopath/2007/PartnerControls"/>
    </lcf76f155ced4ddcb4097134ff3c332f>
    <TaxCatchAll xmlns="67a0edcd-0de5-43ed-8c27-e32f38a00c91" xsi:nil="true"/>
  </documentManagement>
</p:properties>
</file>

<file path=customXml/itemProps1.xml><?xml version="1.0" encoding="utf-8"?>
<ds:datastoreItem xmlns:ds="http://schemas.openxmlformats.org/officeDocument/2006/customXml" ds:itemID="{14903E99-C510-43BC-A899-474E6C1081B4}"/>
</file>

<file path=customXml/itemProps2.xml><?xml version="1.0" encoding="utf-8"?>
<ds:datastoreItem xmlns:ds="http://schemas.openxmlformats.org/officeDocument/2006/customXml" ds:itemID="{602BD364-A1C4-4E2D-9AC3-CA564F6AE918}">
  <ds:schemaRefs>
    <ds:schemaRef ds:uri="http://schemas.microsoft.com/sharepoint/v3/contenttype/forms"/>
  </ds:schemaRefs>
</ds:datastoreItem>
</file>

<file path=customXml/itemProps3.xml><?xml version="1.0" encoding="utf-8"?>
<ds:datastoreItem xmlns:ds="http://schemas.openxmlformats.org/officeDocument/2006/customXml" ds:itemID="{11DAD6CF-0BA3-4D5C-9111-B439CEE56612}">
  <ds:schemaRefs>
    <ds:schemaRef ds:uri="http://schemas.microsoft.com/office/2006/metadata/properties"/>
    <ds:schemaRef ds:uri="http://schemas.microsoft.com/office/infopath/2007/PartnerControls"/>
    <ds:schemaRef ds:uri="42760c81-fd8e-4d59-8953-7cdb9f38b14f"/>
    <ds:schemaRef ds:uri="67a0edcd-0de5-43ed-8c27-e32f38a00c91"/>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941</Words>
  <Characters>5176</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Alfonso Morales Cabrera</dc:creator>
  <cp:keywords/>
  <dc:description/>
  <cp:lastModifiedBy>Jair Enrique Coll Gallardo</cp:lastModifiedBy>
  <cp:revision>4</cp:revision>
  <dcterms:created xsi:type="dcterms:W3CDTF">2026-10-04T21:58:00Z</dcterms:created>
  <dcterms:modified xsi:type="dcterms:W3CDTF">2026-10-04T21:59:00Z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ies>
</file>