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D609DB" w14:textId="77777777" w:rsidR="00BF27DB" w:rsidRDefault="00BF27DB" w:rsidP="00BF27DB">
      <w:pPr>
        <w:spacing w:after="240"/>
        <w:rPr>
          <w:b/>
          <w:sz w:val="20"/>
          <w:szCs w:val="20"/>
          <w:lang w:val="es-CO"/>
        </w:rPr>
      </w:pPr>
    </w:p>
    <w:p w14:paraId="1FCC884E" w14:textId="5E44FD22" w:rsidR="00A95318" w:rsidRPr="00BF27DB" w:rsidRDefault="00000000" w:rsidP="00BF27DB">
      <w:pPr>
        <w:spacing w:after="240"/>
        <w:jc w:val="center"/>
        <w:rPr>
          <w:sz w:val="20"/>
          <w:szCs w:val="20"/>
          <w:lang w:val="es-CO"/>
        </w:rPr>
      </w:pPr>
      <w:r w:rsidRPr="00BF27DB">
        <w:rPr>
          <w:b/>
          <w:sz w:val="20"/>
          <w:szCs w:val="20"/>
          <w:lang w:val="es-CO"/>
        </w:rPr>
        <w:t>¿Cómo orientar correctamente un requerimiento institucional en el SENA?</w:t>
      </w:r>
    </w:p>
    <w:p w14:paraId="0495C8D2" w14:textId="77777777" w:rsidR="00A95318" w:rsidRPr="00BF27DB" w:rsidRDefault="00000000" w:rsidP="00BF27DB">
      <w:pPr>
        <w:rPr>
          <w:sz w:val="20"/>
          <w:szCs w:val="20"/>
          <w:lang w:val="es-CO"/>
        </w:rPr>
      </w:pPr>
      <w:r w:rsidRPr="00BF27DB">
        <w:rPr>
          <w:sz w:val="20"/>
          <w:szCs w:val="20"/>
          <w:lang w:val="es-CO"/>
        </w:rPr>
        <w:t>La atención de un requerimiento institucional exige mucho más que ofrecer una respuesta inmediata. Para orientar adecuadamente una solicitud, consulta o necesidad de información es necesario identificar su naturaleza, consultar fuentes institucionales pertinentes, verificar la vigencia de la información y reconocer la dependencia competente para su gestión. Estas acciones contribuyen a que la respuesta institucional sea coherente con la normativa, los procesos y los procedimientos establecidos.</w:t>
      </w:r>
    </w:p>
    <w:p w14:paraId="0145C169" w14:textId="77777777" w:rsidR="00A95318" w:rsidRPr="00BF27DB" w:rsidRDefault="00000000" w:rsidP="00BF27DB">
      <w:pPr>
        <w:rPr>
          <w:sz w:val="20"/>
          <w:szCs w:val="20"/>
          <w:lang w:val="es-CO"/>
        </w:rPr>
      </w:pPr>
      <w:r w:rsidRPr="00BF27DB">
        <w:rPr>
          <w:sz w:val="20"/>
          <w:szCs w:val="20"/>
          <w:lang w:val="es-CO"/>
        </w:rPr>
        <w:t>El primer paso consiste en comprender qué se está solicitando. Un requerimiento puede estar relacionado con información, un trámite, un procedimiento o una actuación que corresponde a una dependencia específica. Identificar con claridad el asunto evita remisiones innecesarias y permite determinar qué fuentes deben consultarse antes de orientar a la persona interesada.</w:t>
      </w:r>
    </w:p>
    <w:p w14:paraId="6C19978F" w14:textId="77777777" w:rsidR="00A95318" w:rsidRPr="00BF27DB" w:rsidRDefault="00000000" w:rsidP="00BF27DB">
      <w:pPr>
        <w:rPr>
          <w:sz w:val="20"/>
          <w:szCs w:val="20"/>
          <w:lang w:val="es-CO"/>
        </w:rPr>
      </w:pPr>
      <w:r w:rsidRPr="00BF27DB">
        <w:rPr>
          <w:sz w:val="20"/>
          <w:szCs w:val="20"/>
          <w:lang w:val="es-CO"/>
        </w:rPr>
        <w:t>La consulta de información institucional debe realizarse a partir de fuentes confiables y competentes. Documentos normativos, procedimientos, sistemas de información, orientaciones emitidas por las dependencias responsables y demás fuentes institucionales permiten sustentar las actuaciones. Sin embargo, encontrar información no es suficiente: también debe verificarse que corresponda al asunto consultado y que se encuentre vigente al momento de utilizarla.</w:t>
      </w:r>
    </w:p>
    <w:p w14:paraId="2CD82E8E" w14:textId="77777777" w:rsidR="00A95318" w:rsidRPr="00BF27DB" w:rsidRDefault="00000000" w:rsidP="00BF27DB">
      <w:pPr>
        <w:rPr>
          <w:sz w:val="20"/>
          <w:szCs w:val="20"/>
          <w:lang w:val="es-CO"/>
        </w:rPr>
      </w:pPr>
      <w:r w:rsidRPr="00BF27DB">
        <w:rPr>
          <w:sz w:val="20"/>
          <w:szCs w:val="20"/>
          <w:lang w:val="es-CO"/>
        </w:rPr>
        <w:t>La vigencia es especialmente importante cuando se trabaja con normas, procedimientos, formatos o lineamientos que pueden ser modificados. Utilizar una versión desactualizada puede generar orientaciones incorrectas, reprocesos o decisiones que no correspondan con las disposiciones aplicables. Por ello, antes de comunicar una respuesta conviene comprobar la procedencia, fecha, versión y competencia de la fuente consultada.</w:t>
      </w:r>
    </w:p>
    <w:p w14:paraId="7C7EC849" w14:textId="77777777" w:rsidR="00A95318" w:rsidRPr="00BF27DB" w:rsidRDefault="00000000" w:rsidP="00BF27DB">
      <w:pPr>
        <w:rPr>
          <w:sz w:val="20"/>
          <w:szCs w:val="20"/>
          <w:lang w:val="es-CO"/>
        </w:rPr>
      </w:pPr>
      <w:r w:rsidRPr="00BF27DB">
        <w:rPr>
          <w:sz w:val="20"/>
          <w:szCs w:val="20"/>
          <w:lang w:val="es-CO"/>
        </w:rPr>
        <w:t>Una vez identificada y verificada la información, es necesario determinar quién tiene competencia para atender el requerimiento. La estructura organizacional del SENA permite distribuir funciones y responsabilidades entre sus diferentes dependencias. Conocer esa estructura facilita direccionar las solicitudes hacia el área correspondiente y evita que una persona o dependencia asuma actuaciones que no hacen parte de sus funciones.</w:t>
      </w:r>
    </w:p>
    <w:p w14:paraId="26D69C65" w14:textId="77777777" w:rsidR="00A95318" w:rsidRPr="00BF27DB" w:rsidRDefault="00000000" w:rsidP="00BF27DB">
      <w:pPr>
        <w:rPr>
          <w:sz w:val="20"/>
          <w:szCs w:val="20"/>
          <w:lang w:val="es-CO"/>
        </w:rPr>
      </w:pPr>
      <w:r w:rsidRPr="00BF27DB">
        <w:rPr>
          <w:sz w:val="20"/>
          <w:szCs w:val="20"/>
          <w:lang w:val="es-CO"/>
        </w:rPr>
        <w:t>Por ejemplo, si una persona recibe una consulta sobre un procedimiento institucional que desconoce, una respuesta responsable no consiste en ofrecer una interpretación personal. La actuación adecuada es identificar el asunto, consultar la normativa o el procedimiento aplicable, comprobar que la información esté vigente y, cuando corresponda, direccionar el requerimiento hacia la dependencia competente. De esta forma, la orientación se fundamenta en información institucional y no en apreciaciones individuales.</w:t>
      </w:r>
    </w:p>
    <w:p w14:paraId="123A9C8C" w14:textId="77777777" w:rsidR="00A95318" w:rsidRPr="00BF27DB" w:rsidRDefault="00000000" w:rsidP="00BF27DB">
      <w:pPr>
        <w:rPr>
          <w:sz w:val="20"/>
          <w:szCs w:val="20"/>
          <w:lang w:val="es-CO"/>
        </w:rPr>
      </w:pPr>
      <w:r w:rsidRPr="00BF27DB">
        <w:rPr>
          <w:sz w:val="20"/>
          <w:szCs w:val="20"/>
          <w:lang w:val="es-CO"/>
        </w:rPr>
        <w:t>La gestión de información también exige considerar su clasificación, actualización, seguridad y confidencialidad. No toda información institucional tiene las mismas condiciones de acceso o tratamiento. Por esta razón, quien consulta, utiliza o comunica información debe reconocer las condiciones aplicables y emplear los canales institucionales definidos para su manejo. La protección de los datos y el uso responsable de la información forman parte de una gestión institucional adecuada.</w:t>
      </w:r>
    </w:p>
    <w:p w14:paraId="6D944FC5" w14:textId="77777777" w:rsidR="00A95318" w:rsidRPr="00BF27DB" w:rsidRDefault="00000000" w:rsidP="00BF27DB">
      <w:pPr>
        <w:rPr>
          <w:sz w:val="20"/>
          <w:szCs w:val="20"/>
          <w:lang w:val="es-CO"/>
        </w:rPr>
      </w:pPr>
      <w:r w:rsidRPr="00BF27DB">
        <w:rPr>
          <w:sz w:val="20"/>
          <w:szCs w:val="20"/>
          <w:lang w:val="es-CO"/>
        </w:rPr>
        <w:t>En este proceso, el Sistema Integrado de Gestión y Autocontrol aporta un marco para relacionar la actuación cotidiana con el seguimiento, el control, la gestión del riesgo y la mejora de los procesos. Orientar correctamente un requerimiento contribuye a prevenir errores asociados con información desactualizada, direccionamientos equivocados o incumplimiento de procedimientos. Asimismo, permite identificar oportunidades de mejora cuando se presentan dificultades recurrentes en la gestión de solicitudes.</w:t>
      </w:r>
    </w:p>
    <w:p w14:paraId="6DC51926" w14:textId="77777777" w:rsidR="00A95318" w:rsidRPr="00BF27DB" w:rsidRDefault="00000000" w:rsidP="00BF27DB">
      <w:pPr>
        <w:rPr>
          <w:sz w:val="20"/>
          <w:szCs w:val="20"/>
          <w:lang w:val="es-CO"/>
        </w:rPr>
      </w:pPr>
      <w:r w:rsidRPr="00BF27DB">
        <w:rPr>
          <w:sz w:val="20"/>
          <w:szCs w:val="20"/>
          <w:lang w:val="es-CO"/>
        </w:rPr>
        <w:t>La calidad de la orientación institucional depende, entonces, de una secuencia coherente: comprender el requerimiento, consultar información, verificar su vigencia, identificar la competencia, aplicar el procedimiento correspondiente y comunicar o direccionar la solicitud por los canales establecidos. Cada una de estas acciones contribuye a una atención más consistente y reduce el riesgo de ofrecer información imprecisa.</w:t>
      </w:r>
    </w:p>
    <w:p w14:paraId="3D62A5E4" w14:textId="77777777" w:rsidR="00A95318" w:rsidRPr="00BF27DB" w:rsidRDefault="00000000" w:rsidP="00BF27DB">
      <w:pPr>
        <w:rPr>
          <w:sz w:val="20"/>
          <w:szCs w:val="20"/>
          <w:lang w:val="es-CO"/>
        </w:rPr>
      </w:pPr>
      <w:r w:rsidRPr="00BF27DB">
        <w:rPr>
          <w:sz w:val="20"/>
          <w:szCs w:val="20"/>
          <w:lang w:val="es-CO"/>
        </w:rPr>
        <w:t xml:space="preserve">En conclusión, orientar requerimientos institucionales implica articular normativa, procesos, información y calidad. Una actuación sustentada en fuentes vigentes y en la identificación de la dependencia competente fortalece la </w:t>
      </w:r>
      <w:r w:rsidRPr="00BF27DB">
        <w:rPr>
          <w:sz w:val="20"/>
          <w:szCs w:val="20"/>
          <w:lang w:val="es-CO"/>
        </w:rPr>
        <w:lastRenderedPageBreak/>
        <w:t>confiabilidad de la información y contribuye al adecuado funcionamiento institucional. Para quienes desarrollan actividades en el SENA, esta capacidad representa una práctica fundamental para brindar respuestas oportunas y coherentes con los lineamientos de la entidad.</w:t>
      </w:r>
    </w:p>
    <w:p w14:paraId="0C82E2A4" w14:textId="77777777" w:rsidR="00A95318" w:rsidRPr="00BF27DB" w:rsidRDefault="00000000" w:rsidP="00BF27DB">
      <w:pPr>
        <w:spacing w:before="160"/>
        <w:rPr>
          <w:sz w:val="20"/>
          <w:szCs w:val="20"/>
          <w:lang w:val="es-CO"/>
        </w:rPr>
      </w:pPr>
      <w:r w:rsidRPr="00BF27DB">
        <w:rPr>
          <w:b/>
          <w:sz w:val="20"/>
          <w:szCs w:val="20"/>
          <w:lang w:val="es-CO"/>
        </w:rPr>
        <w:t>Referencias bibliográficas</w:t>
      </w:r>
    </w:p>
    <w:p w14:paraId="143D53A5" w14:textId="77777777" w:rsidR="00A95318" w:rsidRPr="00BF27DB" w:rsidRDefault="00000000" w:rsidP="00BF27DB">
      <w:pPr>
        <w:spacing w:after="100"/>
        <w:rPr>
          <w:sz w:val="20"/>
          <w:szCs w:val="20"/>
          <w:lang w:val="es-CO"/>
        </w:rPr>
      </w:pPr>
      <w:r w:rsidRPr="00BF27DB">
        <w:rPr>
          <w:sz w:val="20"/>
          <w:szCs w:val="20"/>
          <w:lang w:val="es-CO"/>
        </w:rPr>
        <w:t>Congreso de Colombia. (1994). Ley 119 de 1994, por la cual se reestructura el Servicio Nacional de Aprendizaje, SENA, se deroga el Decreto 2149 de 1992 y se dictan otras disposiciones. Diario Oficial No. 41.216.</w:t>
      </w:r>
    </w:p>
    <w:p w14:paraId="0FBE9EE9" w14:textId="77777777" w:rsidR="00A95318" w:rsidRPr="00BF27DB" w:rsidRDefault="00000000" w:rsidP="00BF27DB">
      <w:pPr>
        <w:spacing w:after="100"/>
        <w:rPr>
          <w:sz w:val="20"/>
          <w:szCs w:val="20"/>
          <w:lang w:val="es-CO"/>
        </w:rPr>
      </w:pPr>
      <w:r w:rsidRPr="00BF27DB">
        <w:rPr>
          <w:sz w:val="20"/>
          <w:szCs w:val="20"/>
          <w:lang w:val="es-CO"/>
        </w:rPr>
        <w:t>Presidencia de la República de Colombia. (2004). Decreto 249 de 2004, por el cual se modifica la estructura del Servicio Nacional de Aprendizaje, SENA. Diario Oficial No. 45.445.</w:t>
      </w:r>
    </w:p>
    <w:p w14:paraId="1EE30C71" w14:textId="77777777" w:rsidR="00A95318" w:rsidRPr="00BF27DB" w:rsidRDefault="00000000" w:rsidP="00BF27DB">
      <w:pPr>
        <w:spacing w:after="100"/>
        <w:rPr>
          <w:sz w:val="20"/>
          <w:szCs w:val="20"/>
          <w:lang w:val="es-CO"/>
        </w:rPr>
      </w:pPr>
      <w:r w:rsidRPr="00BF27DB">
        <w:rPr>
          <w:sz w:val="20"/>
          <w:szCs w:val="20"/>
          <w:lang w:val="es-CO"/>
        </w:rPr>
        <w:t>Servicio Nacional de Aprendizaje [SENA]. (2026). Diseño curricular: Contextualización del SENA y la formación profesional integral. Código 41740038, versión 1. Dirección de Formación Profesional.</w:t>
      </w:r>
    </w:p>
    <w:p w14:paraId="0760FC95" w14:textId="77777777" w:rsidR="00A95318" w:rsidRPr="00BF27DB" w:rsidRDefault="00000000" w:rsidP="00BF27DB">
      <w:pPr>
        <w:spacing w:after="100"/>
        <w:rPr>
          <w:sz w:val="20"/>
          <w:szCs w:val="20"/>
        </w:rPr>
      </w:pPr>
      <w:r w:rsidRPr="00BF27DB">
        <w:rPr>
          <w:sz w:val="20"/>
          <w:szCs w:val="20"/>
          <w:lang w:val="es-CO"/>
        </w:rPr>
        <w:t xml:space="preserve">Servicio Nacional de Aprendizaje [SENA]. (2026). Planeación pedagógica: Contextualización del SENA y la formación profesional integral. </w:t>
      </w:r>
      <w:r w:rsidRPr="00BF27DB">
        <w:rPr>
          <w:sz w:val="20"/>
          <w:szCs w:val="20"/>
        </w:rPr>
        <w:t xml:space="preserve">Código 41740038, </w:t>
      </w:r>
      <w:proofErr w:type="spellStart"/>
      <w:r w:rsidRPr="00BF27DB">
        <w:rPr>
          <w:sz w:val="20"/>
          <w:szCs w:val="20"/>
        </w:rPr>
        <w:t>versión</w:t>
      </w:r>
      <w:proofErr w:type="spellEnd"/>
      <w:r w:rsidRPr="00BF27DB">
        <w:rPr>
          <w:sz w:val="20"/>
          <w:szCs w:val="20"/>
        </w:rPr>
        <w:t xml:space="preserve"> 1.</w:t>
      </w:r>
    </w:p>
    <w:p w14:paraId="7AA1A3AB" w14:textId="77777777" w:rsidR="00BF27DB" w:rsidRPr="00BF27DB" w:rsidRDefault="00BF27DB">
      <w:pPr>
        <w:spacing w:after="100"/>
        <w:rPr>
          <w:sz w:val="20"/>
          <w:szCs w:val="20"/>
        </w:rPr>
      </w:pPr>
    </w:p>
    <w:sectPr w:rsidR="00BF27DB" w:rsidRPr="00BF27DB" w:rsidSect="00034616">
      <w:head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9FF888" w14:textId="77777777" w:rsidR="00535648" w:rsidRDefault="00535648" w:rsidP="00BF27DB">
      <w:pPr>
        <w:spacing w:after="0" w:line="240" w:lineRule="auto"/>
      </w:pPr>
      <w:r>
        <w:separator/>
      </w:r>
    </w:p>
  </w:endnote>
  <w:endnote w:type="continuationSeparator" w:id="0">
    <w:p w14:paraId="337DA488" w14:textId="77777777" w:rsidR="00535648" w:rsidRDefault="00535648" w:rsidP="00BF2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2D23A3" w14:textId="77777777" w:rsidR="00535648" w:rsidRDefault="00535648" w:rsidP="00BF27DB">
      <w:pPr>
        <w:spacing w:after="0" w:line="240" w:lineRule="auto"/>
      </w:pPr>
      <w:r>
        <w:separator/>
      </w:r>
    </w:p>
  </w:footnote>
  <w:footnote w:type="continuationSeparator" w:id="0">
    <w:p w14:paraId="7703E0EC" w14:textId="77777777" w:rsidR="00535648" w:rsidRDefault="00535648" w:rsidP="00BF27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17ABA" w14:textId="63AF43F5" w:rsidR="00BF27DB" w:rsidRDefault="00BF27DB">
    <w:pPr>
      <w:pStyle w:val="Encabezado"/>
      <w:rPr>
        <w:lang w:val="es-ES_tradnl"/>
      </w:rPr>
    </w:pPr>
  </w:p>
  <w:p w14:paraId="0B29B935" w14:textId="55CEEFDC" w:rsidR="00BF27DB" w:rsidRDefault="00BF27DB">
    <w:pPr>
      <w:pStyle w:val="Encabezado"/>
      <w:rPr>
        <w:lang w:val="es-ES_tradnl"/>
      </w:rPr>
    </w:pPr>
    <w:r w:rsidRPr="001A74F0">
      <w:rPr>
        <w:noProof/>
      </w:rPr>
      <w:drawing>
        <wp:anchor distT="0" distB="0" distL="114300" distR="114300" simplePos="0" relativeHeight="251659264" behindDoc="0" locked="0" layoutInCell="1" allowOverlap="1" wp14:anchorId="24EEDB21" wp14:editId="618C942E">
          <wp:simplePos x="0" y="0"/>
          <wp:positionH relativeFrom="column">
            <wp:posOffset>2812076</wp:posOffset>
          </wp:positionH>
          <wp:positionV relativeFrom="paragraph">
            <wp:posOffset>62422</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1A57AC9C" w14:textId="77777777" w:rsidR="00BF27DB" w:rsidRDefault="00BF27DB">
    <w:pPr>
      <w:pStyle w:val="Encabezado"/>
      <w:rPr>
        <w:lang w:val="es-ES_tradnl"/>
      </w:rPr>
    </w:pPr>
  </w:p>
  <w:p w14:paraId="0EE69441" w14:textId="77777777" w:rsidR="00BF27DB" w:rsidRPr="00BF27DB" w:rsidRDefault="00BF27DB">
    <w:pPr>
      <w:pStyle w:val="Encabezado"/>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67530251">
    <w:abstractNumId w:val="8"/>
  </w:num>
  <w:num w:numId="2" w16cid:durableId="658582037">
    <w:abstractNumId w:val="6"/>
  </w:num>
  <w:num w:numId="3" w16cid:durableId="1032415989">
    <w:abstractNumId w:val="5"/>
  </w:num>
  <w:num w:numId="4" w16cid:durableId="1527713386">
    <w:abstractNumId w:val="4"/>
  </w:num>
  <w:num w:numId="5" w16cid:durableId="346635914">
    <w:abstractNumId w:val="7"/>
  </w:num>
  <w:num w:numId="6" w16cid:durableId="976184419">
    <w:abstractNumId w:val="3"/>
  </w:num>
  <w:num w:numId="7" w16cid:durableId="1138300718">
    <w:abstractNumId w:val="2"/>
  </w:num>
  <w:num w:numId="8" w16cid:durableId="596406751">
    <w:abstractNumId w:val="1"/>
  </w:num>
  <w:num w:numId="9" w16cid:durableId="14818455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240"/>
    <w:rsid w:val="0029639D"/>
    <w:rsid w:val="00326F90"/>
    <w:rsid w:val="00535648"/>
    <w:rsid w:val="00A95318"/>
    <w:rsid w:val="00AA1D8D"/>
    <w:rsid w:val="00B47730"/>
    <w:rsid w:val="00BF27D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10F6B"/>
  <w14:defaultImageDpi w14:val="300"/>
  <w15:docId w15:val="{45D6C8E3-06CA-3949-A5FC-D3E1B2EC6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18778E3-CECF-4A34-A6FF-D0A75F69FDC3}"/>
</file>

<file path=customXml/itemProps3.xml><?xml version="1.0" encoding="utf-8"?>
<ds:datastoreItem xmlns:ds="http://schemas.openxmlformats.org/officeDocument/2006/customXml" ds:itemID="{FA149422-0D92-4637-98A8-160F7A94DFD4}"/>
</file>

<file path=customXml/itemProps4.xml><?xml version="1.0" encoding="utf-8"?>
<ds:datastoreItem xmlns:ds="http://schemas.openxmlformats.org/officeDocument/2006/customXml" ds:itemID="{7FAEF130-A7CA-4437-BD05-792AFE203E49}"/>
</file>

<file path=docProps/app.xml><?xml version="1.0" encoding="utf-8"?>
<Properties xmlns="http://schemas.openxmlformats.org/officeDocument/2006/extended-properties" xmlns:vt="http://schemas.openxmlformats.org/officeDocument/2006/docPropsVTypes">
  <Template>Normal.dotm</Template>
  <TotalTime>1</TotalTime>
  <Pages>2</Pages>
  <Words>842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Fernanda Morales Angulo</cp:lastModifiedBy>
  <cp:revision>2</cp:revision>
  <dcterms:created xsi:type="dcterms:W3CDTF">2013-12-23T23:15:00Z</dcterms:created>
  <dcterms:modified xsi:type="dcterms:W3CDTF">2026-09-16T04:08:00Z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2026-09-16T04:08:03Z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278ebdff-9fa3-44e8-9756-74381f0c121f</vt:lpwstr>
  </property>
  <property fmtid="{D5CDD505-2E9C-101B-9397-08002B2CF9AE}" pid="8" name="MSIP_Label_fc111285-cafa-4fc9-8a9a-bd902089b24f_ContentBits">
    <vt:lpwstr>0</vt:lpwstr>
  </property>
  <property fmtid="{D5CDD505-2E9C-101B-9397-08002B2CF9AE}" pid="9" name="MSIP_Label_fc111285-cafa-4fc9-8a9a-bd902089b24f_Tag">
    <vt:lpwstr>50, 0, 1, 1</vt:lpwstr>
  </property>
  <property fmtid="{D5CDD505-2E9C-101B-9397-08002B2CF9AE}" pid="10" name="ContentTypeId">
    <vt:lpwstr>0x01010005252A1EF3BD024F856B47B579AB5244</vt:lpwstr>
  </property>
</Properties>
</file>