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A687C" w14:textId="77777777" w:rsidR="00C57B0F" w:rsidRPr="00CA3B9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A3B9F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CA3B9F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CA3B9F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2DFC6949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A3B9F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A3B9F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A3B9F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A3B9F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A3B9F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A3B9F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CA3B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CA3B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CA3B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A3B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CA3B9F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CA3B9F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responsive</w:t>
            </w:r>
            <w:proofErr w:type="spellEnd"/>
            <w:r w:rsidRPr="00CA3B9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web.</w:t>
            </w:r>
          </w:p>
        </w:tc>
      </w:tr>
      <w:tr w:rsidR="00C57B0F" w:rsidRPr="00CA3B9F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A3B9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A3B9F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CA3B9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3327CBE2" w:rsidR="009D553E" w:rsidRPr="00CA3B9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A3B9F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CA3B9F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067A4B" w:rsidRPr="00067A4B">
              <w:rPr>
                <w:rFonts w:ascii="Calibri" w:eastAsia="Calibri" w:hAnsi="Calibri" w:cs="Calibri"/>
                <w:color w:val="000000"/>
              </w:rPr>
              <w:t>Diseño del plan de la cadena de suministro sostenible.</w:t>
            </w:r>
          </w:p>
          <w:p w14:paraId="57F234BE" w14:textId="77777777" w:rsidR="009D553E" w:rsidRPr="00CA3B9F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CA3B9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A3B9F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CA3B9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CA3B9F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A3B9F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CA3B9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CA3B9F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A41419" w:rsidRPr="00CA3B9F" w14:paraId="749E10AF" w14:textId="77777777" w:rsidTr="00501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41419" w:rsidRPr="00CA3B9F" w:rsidRDefault="00A41419" w:rsidP="00A41419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2F401D5" w:rsidR="00A41419" w:rsidRPr="00CA3B9F" w:rsidRDefault="00AE6186" w:rsidP="00A414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Aspectos teóricos del plan de la cadena de suministro sostenible.</w:t>
            </w:r>
          </w:p>
        </w:tc>
      </w:tr>
      <w:tr w:rsidR="00A41419" w:rsidRPr="00CA3B9F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41419" w:rsidRPr="00CA3B9F" w:rsidRDefault="00A41419" w:rsidP="00A41419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B58A37A" w:rsidR="00A41419" w:rsidRPr="00CA3B9F" w:rsidRDefault="00AE6186" w:rsidP="00A414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Evaluar la comprensión de los aspectos teóricos del plan de la cadena de suministro sostenible y su aplicación en contextos empresariales responsables.</w:t>
            </w:r>
          </w:p>
        </w:tc>
      </w:tr>
      <w:tr w:rsidR="00C57B0F" w:rsidRPr="00CA3B9F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CA3B9F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A3B9F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A3B9F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CA3B9F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16AE2F2A" w:rsidR="00C57B0F" w:rsidRPr="00CA3B9F" w:rsidRDefault="00AE6186" w:rsidP="00AE61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cadena de suministro sostenible busca únicamente beneficios económicos.</w:t>
            </w:r>
          </w:p>
        </w:tc>
        <w:tc>
          <w:tcPr>
            <w:tcW w:w="2160" w:type="dxa"/>
          </w:tcPr>
          <w:p w14:paraId="7F132666" w14:textId="77777777" w:rsidR="00C57B0F" w:rsidRPr="00CA3B9F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CA3B9F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CA3B9F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CA3B9F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CA3B9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729B6DD1" w:rsidR="00C57B0F" w:rsidRPr="00CA3B9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A3B9F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CA3B9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D0D759" w:rsidR="00C57B0F" w:rsidRPr="00CA3B9F" w:rsidRDefault="003C3BB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A3B9F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63E9A04" w:rsidR="00C57B0F" w:rsidRPr="00CA3B9F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CA3B9F">
              <w:rPr>
                <w:rFonts w:ascii="Calibri" w:eastAsia="Calibri" w:hAnsi="Calibri" w:cs="Calibri"/>
                <w:color w:val="auto"/>
              </w:rPr>
              <w:t xml:space="preserve">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C57B0F" w:rsidRPr="00CA3B9F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CA3B9F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A3B9F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4B9466A" w:rsidR="00C57B0F" w:rsidRPr="00CA3B9F" w:rsidRDefault="000D6FDD" w:rsidP="000D6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Los objetivos sostenibles deben alinearse con criterios sociales, ambientales y económicos.</w:t>
            </w:r>
          </w:p>
        </w:tc>
      </w:tr>
      <w:tr w:rsidR="00C57B0F" w:rsidRPr="00CA3B9F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CA3B9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60FCEB5" w:rsidR="00C57B0F" w:rsidRPr="00CA3B9F" w:rsidRDefault="008E7C2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A3B9F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CA3B9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0779F403" w:rsidR="00C57B0F" w:rsidRPr="00CA3B9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CA3B9F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54C00A94" w:rsidR="00A9514B" w:rsidRPr="00CA3B9F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A9514B" w:rsidRPr="00CA3B9F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CA3B9F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A3B9F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09CF902" w:rsidR="00C57B0F" w:rsidRPr="00CA3B9F" w:rsidRDefault="000D6FDD" w:rsidP="000D6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metodología SMART permite formular objetivos vagos y generales.</w:t>
            </w:r>
          </w:p>
        </w:tc>
      </w:tr>
      <w:tr w:rsidR="00C57B0F" w:rsidRPr="00CA3B9F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CA3B9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5A8BBFF1" w:rsidR="00C57B0F" w:rsidRPr="00CA3B9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A3B9F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CA3B9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3E4F682D" w:rsidR="00C57B0F" w:rsidRPr="00CA3B9F" w:rsidRDefault="00A4141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CA3B9F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73957F85" w:rsidR="00A9514B" w:rsidRPr="00CA3B9F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A9514B" w:rsidRPr="00CA3B9F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CA3B9F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A3B9F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A125DBF" w14:textId="041C777C" w:rsidR="000D6FDD" w:rsidRPr="00CA3B9F" w:rsidRDefault="000D6FDD" w:rsidP="000D6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estrategias sostenibles pueden aplicarse en procesos de producción, transporte y posventa.</w:t>
            </w:r>
          </w:p>
          <w:p w14:paraId="4D6D2B7B" w14:textId="6C4BB2C2" w:rsidR="00C57B0F" w:rsidRPr="00CA3B9F" w:rsidRDefault="00C57B0F" w:rsidP="000D6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</w:tc>
      </w:tr>
      <w:tr w:rsidR="00C57B0F" w:rsidRPr="00CA3B9F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CA3B9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84CDE37" w:rsidR="00C57B0F" w:rsidRPr="00CA3B9F" w:rsidRDefault="000D6FD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A3B9F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CA3B9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7F5D07A" w:rsidR="00C57B0F" w:rsidRPr="00CA3B9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CA3B9F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69AEF00" w:rsidR="00A9514B" w:rsidRPr="00CA3B9F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A9514B" w:rsidRPr="00CA3B9F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CA3B9F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A3B9F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C240DEB" w:rsidR="00C57B0F" w:rsidRPr="00CA3B9F" w:rsidRDefault="00CA3B9F" w:rsidP="00CA3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cronograma del plan de integración sostenible no requiere responsables ni fases definidas.</w:t>
            </w:r>
          </w:p>
        </w:tc>
      </w:tr>
      <w:tr w:rsidR="00C57B0F" w:rsidRPr="00CA3B9F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CA3B9F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57011131" w:rsidR="00C57B0F" w:rsidRPr="00CA3B9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A3B9F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CA3B9F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74E6D833" w:rsidR="00C57B0F" w:rsidRPr="00CA3B9F" w:rsidRDefault="00CA3B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CA3B9F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B8815DE" w:rsidR="00A9514B" w:rsidRPr="00CA3B9F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A9514B" w:rsidRPr="00CA3B9F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CA3B9F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A3B9F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CA3B9F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4E09655" w:rsidR="00C57B0F" w:rsidRPr="00CA3B9F" w:rsidRDefault="00CA3B9F" w:rsidP="00CA3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matriz DOFA verde considera impactos ambientales y sociales en su análisis.</w:t>
            </w:r>
          </w:p>
        </w:tc>
      </w:tr>
      <w:tr w:rsidR="00C57B0F" w:rsidRPr="00CA3B9F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CA3B9F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6DEDFA62" w:rsidR="00C57B0F" w:rsidRPr="00CA3B9F" w:rsidRDefault="00CA3B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A3B9F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CA3B9F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CA3B9F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5DAB6721" w:rsidR="00C57B0F" w:rsidRPr="00CA3B9F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CA3B9F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825FCAF" w:rsidR="00A9514B" w:rsidRPr="00CA3B9F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A9514B" w:rsidRPr="00CA3B9F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CA3B9F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CA3B9F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8A45B47" w:rsidR="00075BDE" w:rsidRPr="00CA3B9F" w:rsidRDefault="00CA3B9F" w:rsidP="00CA3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r w:rsidRPr="00CA3B9F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benchmarking</w:t>
            </w: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sostenible se utiliza para comparar precios entre proveedores.</w:t>
            </w:r>
          </w:p>
        </w:tc>
      </w:tr>
      <w:tr w:rsidR="00075BDE" w:rsidRPr="00CA3B9F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CA3B9F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671F9EE5" w:rsidR="00075BDE" w:rsidRPr="00CA3B9F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CA3B9F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CA3B9F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22A0D238" w:rsidR="00075BDE" w:rsidRPr="00CA3B9F" w:rsidRDefault="00570901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CA3B9F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C63BBA3" w:rsidR="00A9514B" w:rsidRPr="00CA3B9F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A9514B" w:rsidRPr="00CA3B9F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CA3B9F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CA3B9F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AE2F165" w:rsidR="00075BDE" w:rsidRPr="00CA3B9F" w:rsidRDefault="00CA3B9F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r w:rsidR="008314D1"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Análisis </w:t>
            </w:r>
            <w:r w:rsidR="008314D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d</w:t>
            </w:r>
            <w:r w:rsidR="008314D1"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 Ciclo </w:t>
            </w:r>
            <w:r w:rsidR="008314D1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d</w:t>
            </w:r>
            <w:r w:rsidR="008314D1"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 Vida </w:t>
            </w: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(ACV) evalúa el impacto ambiental desde la producción hasta la disposición final del producto.</w:t>
            </w:r>
          </w:p>
        </w:tc>
      </w:tr>
      <w:tr w:rsidR="00075BDE" w:rsidRPr="00CA3B9F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CA3B9F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  <w:bookmarkStart w:id="0" w:name="_GoBack"/>
            <w:bookmarkEnd w:id="0"/>
          </w:p>
        </w:tc>
        <w:tc>
          <w:tcPr>
            <w:tcW w:w="2160" w:type="dxa"/>
            <w:shd w:val="clear" w:color="auto" w:fill="FFFFFF"/>
          </w:tcPr>
          <w:p w14:paraId="3D3D3203" w14:textId="3155C02D" w:rsidR="00075BDE" w:rsidRPr="00CA3B9F" w:rsidRDefault="00CA3B9F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CA3B9F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CA3B9F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41BA5663" w:rsidR="00075BDE" w:rsidRPr="00CA3B9F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CA3B9F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B5EE3DB" w:rsidR="00A9514B" w:rsidRPr="00CA3B9F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A9514B" w:rsidRPr="00CA3B9F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CA3B9F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CA3B9F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2D7CD387" w:rsidR="00075BDE" w:rsidRPr="00CA3B9F" w:rsidRDefault="00CA3B9F" w:rsidP="00CA3B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uso de indicadores (KPIs) permite medir el desempeño ambiental, social y financiero.</w:t>
            </w:r>
          </w:p>
        </w:tc>
      </w:tr>
      <w:tr w:rsidR="00075BDE" w:rsidRPr="00CA3B9F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CA3B9F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038301D7" w:rsidR="00075BDE" w:rsidRPr="00CA3B9F" w:rsidRDefault="00570901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CA3B9F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CA3B9F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40FB4B42" w:rsidR="00075BDE" w:rsidRPr="00CA3B9F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CA3B9F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00620D37" w:rsidR="00A9514B" w:rsidRPr="00CA3B9F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A9514B" w:rsidRPr="00CA3B9F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CA3B9F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CA3B9F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1C5C722" w14:textId="04A663F4" w:rsidR="00CA3B9F" w:rsidRPr="00CA3B9F" w:rsidRDefault="00CA3B9F" w:rsidP="00CA3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logística inversa consiste en eliminar productos defectuosos de la cadena.</w:t>
            </w:r>
          </w:p>
          <w:p w14:paraId="1DFCF96C" w14:textId="7E552E3A" w:rsidR="00075BDE" w:rsidRPr="00CA3B9F" w:rsidRDefault="00075BDE" w:rsidP="00CA3B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</w:p>
        </w:tc>
      </w:tr>
      <w:tr w:rsidR="00075BDE" w:rsidRPr="00CA3B9F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CA3B9F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0D77F863" w:rsidR="00075BDE" w:rsidRPr="00CA3B9F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CA3B9F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CA3B9F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CA3B9F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24DB55D1" w:rsidR="00075BDE" w:rsidRPr="00CA3B9F" w:rsidRDefault="00CA3B9F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CA3B9F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EB0D7B9" w:rsidR="00A9514B" w:rsidRPr="00CA3B9F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  <w:color w:val="auto"/>
              </w:rPr>
              <w:t>entendimiento de la cadena de suministro sostenible.</w:t>
            </w:r>
          </w:p>
        </w:tc>
      </w:tr>
      <w:tr w:rsidR="00A9514B" w:rsidRPr="00CA3B9F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CA3B9F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CA3B9F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CA3B9F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6DE5120" w:rsidR="009921BA" w:rsidRPr="00CA3B9F" w:rsidRDefault="00CA3B9F" w:rsidP="00C14D60">
            <w:pPr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CA3B9F">
              <w:rPr>
                <w:rFonts w:ascii="Calibri" w:eastAsia="Calibri" w:hAnsi="Calibri" w:cs="Calibri"/>
                <w:b/>
                <w:sz w:val="20"/>
                <w:szCs w:val="20"/>
              </w:rPr>
              <w:t>El presupuesto del plan de integración sostenible puede incluir fuentes de financiación como créditos verdes.</w:t>
            </w:r>
          </w:p>
        </w:tc>
      </w:tr>
      <w:tr w:rsidR="009921BA" w:rsidRPr="00CA3B9F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39DB0055" w:rsidR="009921BA" w:rsidRPr="00CA3B9F" w:rsidRDefault="00CA3B9F" w:rsidP="00DC691D">
            <w:pPr>
              <w:widowControl w:val="0"/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CA3B9F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21A89034" w:rsidR="009921BA" w:rsidRPr="00CA3B9F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CA3B9F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09923DD" w:rsidR="009921BA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9921BA" w:rsidRPr="00CA3B9F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CA3B9F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:rsidRPr="00CA3B9F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73A300D" w:rsidR="009921BA" w:rsidRPr="00CA3B9F" w:rsidRDefault="00CA3B9F" w:rsidP="00CA3B9F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sz w:val="20"/>
                <w:szCs w:val="20"/>
              </w:rPr>
              <w:t>El diseño de empaques sostenibles no tiene relación con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la cadena de suministro verde.</w:t>
            </w:r>
          </w:p>
        </w:tc>
      </w:tr>
      <w:tr w:rsidR="009921BA" w:rsidRPr="00CA3B9F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669EF2D1" w:rsidR="009921BA" w:rsidRPr="00CA3B9F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CA3B9F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6E524E9E" w:rsidR="009921BA" w:rsidRPr="00CA3B9F" w:rsidRDefault="00CA3B9F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CA3B9F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4E12B2E" w:rsidR="009921BA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9921BA" w:rsidRPr="00CA3B9F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CA3B9F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:rsidRPr="00CA3B9F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3896D4D" w:rsidR="009921BA" w:rsidRPr="00CA3B9F" w:rsidRDefault="00C50588" w:rsidP="00C5058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50588">
              <w:rPr>
                <w:rFonts w:ascii="Calibri" w:eastAsia="Calibri" w:hAnsi="Calibri" w:cs="Calibri"/>
                <w:b/>
                <w:sz w:val="20"/>
                <w:szCs w:val="20"/>
              </w:rPr>
              <w:t>Una estrategia de sostenibilidad puede incluir el uso de vehícu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los eléctricos para transporte.</w:t>
            </w:r>
          </w:p>
        </w:tc>
      </w:tr>
      <w:tr w:rsidR="009921BA" w:rsidRPr="00CA3B9F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CA3B9F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CA3B9F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CA3B9F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CA3B9F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6F7714A" w:rsidR="009921BA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9921BA" w:rsidRPr="00CA3B9F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CA3B9F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:rsidRPr="00CA3B9F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C4ACA31" w14:textId="6838FEAE" w:rsidR="00C50588" w:rsidRPr="00C50588" w:rsidRDefault="00C50588" w:rsidP="00C5058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50588">
              <w:rPr>
                <w:rFonts w:ascii="Calibri" w:eastAsia="Calibri" w:hAnsi="Calibri" w:cs="Calibri"/>
                <w:b/>
                <w:sz w:val="20"/>
                <w:szCs w:val="20"/>
              </w:rPr>
              <w:t>Las herramientas estratégicas ayudan a diagnosticar, planear y tomar decisiones responsables.</w:t>
            </w:r>
          </w:p>
          <w:p w14:paraId="70949CAA" w14:textId="0F51E92A" w:rsidR="009921BA" w:rsidRPr="00CA3B9F" w:rsidRDefault="009921BA" w:rsidP="00C5058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</w:tr>
      <w:tr w:rsidR="009921BA" w:rsidRPr="00CA3B9F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546ABA36" w:rsidR="009921BA" w:rsidRPr="00CA3B9F" w:rsidRDefault="00C50588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CA3B9F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1D768E2C" w:rsidR="009921BA" w:rsidRPr="00CA3B9F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CA3B9F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737E7FB" w:rsidR="009921BA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9921BA" w:rsidRPr="00CA3B9F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CA3B9F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:rsidRPr="00CA3B9F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5A18655" w:rsidR="009921BA" w:rsidRPr="00CA3B9F" w:rsidRDefault="00C50588" w:rsidP="00C5058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50588">
              <w:rPr>
                <w:rFonts w:ascii="Calibri" w:eastAsia="Calibri" w:hAnsi="Calibri" w:cs="Calibri"/>
                <w:b/>
                <w:sz w:val="20"/>
                <w:szCs w:val="20"/>
              </w:rPr>
              <w:t>La matriz de impactos no se considera útil en la sostenibi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lidad de cadenas de suministro.</w:t>
            </w:r>
          </w:p>
        </w:tc>
      </w:tr>
      <w:tr w:rsidR="009921BA" w:rsidRPr="00CA3B9F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12253ECD" w:rsidR="009921BA" w:rsidRPr="00CA3B9F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CA3B9F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CA3B9F" w:rsidRDefault="009921BA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10AB2E8B" w:rsidR="009921BA" w:rsidRPr="00CA3B9F" w:rsidRDefault="00C50588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CA3B9F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41D4A9D" w:rsidR="009921BA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9921BA" w:rsidRPr="00CA3B9F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CA3B9F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CA3B9F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CA3B9F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294832AC" w:rsidR="003605E9" w:rsidRPr="00CA3B9F" w:rsidRDefault="00C50588" w:rsidP="00C5058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50588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</w:t>
            </w:r>
            <w:r w:rsidRPr="00C50588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Balanced scorecard</w:t>
            </w:r>
            <w:r w:rsidRPr="00C50588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verde incorpora indicadores fi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nancieros, pero no ambientales.</w:t>
            </w:r>
          </w:p>
        </w:tc>
      </w:tr>
      <w:tr w:rsidR="003605E9" w:rsidRPr="00CA3B9F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564DBD71" w:rsidR="003605E9" w:rsidRPr="00CA3B9F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CA3B9F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70F085E6" w:rsidR="003605E9" w:rsidRPr="00CA3B9F" w:rsidRDefault="00C50588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CA3B9F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85E6112" w:rsidR="003605E9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3605E9" w:rsidRPr="00CA3B9F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CA3B9F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CA3B9F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84C4D32" w:rsidR="003605E9" w:rsidRPr="00CA3B9F" w:rsidRDefault="00C50588" w:rsidP="00C5058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50588">
              <w:rPr>
                <w:rFonts w:ascii="Calibri" w:eastAsia="Calibri" w:hAnsi="Calibri" w:cs="Calibri"/>
                <w:b/>
                <w:sz w:val="20"/>
                <w:szCs w:val="20"/>
              </w:rPr>
              <w:t>El plan de integración sostenible debe incluir etapas, re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cursos e indicadores definidos.</w:t>
            </w:r>
          </w:p>
        </w:tc>
      </w:tr>
      <w:tr w:rsidR="003605E9" w:rsidRPr="00CA3B9F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01B58B60" w:rsidR="003605E9" w:rsidRPr="00CA3B9F" w:rsidRDefault="00C50588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CA3B9F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323A4D55" w:rsidR="003605E9" w:rsidRPr="00CA3B9F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CA3B9F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014BF52" w:rsidR="003605E9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3605E9" w:rsidRPr="00CA3B9F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CA3B9F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CA3B9F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:rsidRPr="00CA3B9F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3C7877B" w:rsidR="003605E9" w:rsidRPr="00CA3B9F" w:rsidRDefault="00C50588" w:rsidP="00C5058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50588">
              <w:rPr>
                <w:rFonts w:ascii="Calibri" w:eastAsia="Calibri" w:hAnsi="Calibri" w:cs="Calibri"/>
                <w:b/>
                <w:sz w:val="20"/>
                <w:szCs w:val="20"/>
              </w:rPr>
              <w:t>Reducir residuos, mejorar trazabilidad y capacitar proveedores son ejemp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los de estrategias sostenibles.</w:t>
            </w:r>
          </w:p>
        </w:tc>
      </w:tr>
      <w:tr w:rsidR="003605E9" w:rsidRPr="00CA3B9F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378672E6" w:rsidR="003605E9" w:rsidRPr="00CA3B9F" w:rsidRDefault="008E7C2D" w:rsidP="00DC691D">
            <w:pPr>
              <w:widowControl w:val="0"/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CA3B9F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3BF2B9BF" w:rsidR="003605E9" w:rsidRPr="00CA3B9F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CA3B9F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04CE597" w:rsidR="003605E9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3605E9" w:rsidRPr="00CA3B9F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CA3B9F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CA3B9F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547D016" w:rsidR="003605E9" w:rsidRPr="00C50588" w:rsidRDefault="00C50588" w:rsidP="00C5058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50588">
              <w:rPr>
                <w:rFonts w:ascii="Calibri" w:eastAsia="Calibri" w:hAnsi="Calibri" w:cs="Calibri"/>
                <w:b/>
                <w:sz w:val="20"/>
                <w:szCs w:val="20"/>
              </w:rPr>
              <w:t>El análisis DOFA tradicional y el DOFA verde son exactamente iguales.</w:t>
            </w:r>
          </w:p>
        </w:tc>
      </w:tr>
      <w:tr w:rsidR="003605E9" w:rsidRPr="00CA3B9F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107C3E30" w:rsidR="003605E9" w:rsidRPr="00CA3B9F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CA3B9F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096A7B54" w:rsidR="003605E9" w:rsidRPr="00CA3B9F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CA3B9F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6A777C3A" w:rsidR="003605E9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3605E9" w:rsidRPr="00CA3B9F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CA3B9F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CA3B9F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AC5157F" w:rsidR="003605E9" w:rsidRPr="00CA3B9F" w:rsidRDefault="00A856F2" w:rsidP="00C5058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A856F2">
              <w:rPr>
                <w:rFonts w:ascii="Calibri" w:eastAsia="Calibri" w:hAnsi="Calibri" w:cs="Calibri"/>
                <w:b/>
                <w:sz w:val="20"/>
                <w:szCs w:val="20"/>
              </w:rPr>
              <w:t>El enfoque por etapas permite organizar el plan de integración sostenible de manera secuencial y eficiente.</w:t>
            </w:r>
          </w:p>
        </w:tc>
      </w:tr>
      <w:tr w:rsidR="003605E9" w:rsidRPr="00CA3B9F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524C073C" w:rsidR="003605E9" w:rsidRPr="00CA3B9F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CA3B9F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CA3B9F" w:rsidRDefault="003605E9" w:rsidP="00DC691D">
            <w:pPr>
              <w:rPr>
                <w:rFonts w:ascii="Calibri" w:eastAsia="Calibri" w:hAnsi="Calibri" w:cs="Calibri"/>
              </w:rPr>
            </w:pPr>
            <w:r w:rsidRPr="00CA3B9F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70DC6643" w:rsidR="003605E9" w:rsidRPr="00CA3B9F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CA3B9F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9A9D9FB" w:rsidR="003605E9" w:rsidRPr="00CA3B9F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 xml:space="preserve">Excelente trabajo. Tiene un claro </w:t>
            </w:r>
            <w:r w:rsidR="008314D1">
              <w:rPr>
                <w:rFonts w:ascii="Calibri" w:eastAsia="Calibri" w:hAnsi="Calibri" w:cs="Calibri"/>
              </w:rPr>
              <w:t>entendimiento de la cadena de suministro sostenible.</w:t>
            </w:r>
          </w:p>
        </w:tc>
      </w:tr>
      <w:tr w:rsidR="003605E9" w:rsidRPr="00CA3B9F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CA3B9F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CA3B9F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CA3B9F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CA3B9F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:rsidRPr="00CA3B9F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CA3B9F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CA3B9F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:rsidRPr="00CA3B9F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CA3B9F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A3B9F"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CA3B9F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A3B9F">
              <w:rPr>
                <w:rFonts w:ascii="Calibri" w:eastAsia="Calibri" w:hAnsi="Calibri" w:cs="Calibr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CA3B9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CA3B9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A3B9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A3B9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CA3B9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A3B9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A3B9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A3B9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:rsidRPr="00CA3B9F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Pr="00CA3B9F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Pr="00CA3B9F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8EA7752" w:rsidR="00E04750" w:rsidRPr="00CA3B9F" w:rsidRDefault="008314D1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J</w:t>
            </w:r>
            <w:r w:rsidR="00EC37DB" w:rsidRPr="00CA3B9F">
              <w:rPr>
                <w:rFonts w:ascii="Calibri" w:eastAsia="Calibri" w:hAnsi="Calibri" w:cs="Calibri"/>
                <w:b/>
                <w:color w:val="595959"/>
              </w:rPr>
              <w:t>unio</w:t>
            </w:r>
            <w:r w:rsidR="009D553E" w:rsidRPr="00CA3B9F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E04750" w:rsidRPr="00CA3B9F">
              <w:rPr>
                <w:rFonts w:ascii="Calibri" w:eastAsia="Calibri" w:hAnsi="Calibri" w:cs="Calibri"/>
                <w:b/>
                <w:color w:val="595959"/>
              </w:rPr>
              <w:t>de 2025</w:t>
            </w:r>
          </w:p>
        </w:tc>
      </w:tr>
      <w:tr w:rsidR="00E04750" w:rsidRPr="00CA3B9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Pr="00CA3B9F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A3B9F"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945219A" w:rsidR="00E04750" w:rsidRPr="00CA3B9F" w:rsidRDefault="008314D1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Heydy Cristina González García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4112C50" w:rsidR="00E04750" w:rsidRPr="00CA3B9F" w:rsidRDefault="008314D1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Octubre de 2025</w:t>
            </w:r>
          </w:p>
        </w:tc>
      </w:tr>
    </w:tbl>
    <w:p w14:paraId="19BF369A" w14:textId="75476914" w:rsidR="003F431E" w:rsidRPr="00CA3B9F" w:rsidRDefault="00AE6186" w:rsidP="00067A4B">
      <w:pPr>
        <w:pStyle w:val="Ttulo3"/>
      </w:pPr>
      <w:r w:rsidRPr="00C50588">
        <w:rPr>
          <w:rFonts w:ascii="Segoe UI Symbol" w:hAnsi="Segoe UI Symbol" w:cs="Segoe UI Symbol"/>
          <w:sz w:val="2"/>
          <w:szCs w:val="2"/>
        </w:rPr>
        <w:t>✅</w:t>
      </w:r>
      <w:r w:rsidRPr="00C50588">
        <w:rPr>
          <w:sz w:val="2"/>
          <w:szCs w:val="2"/>
        </w:rPr>
        <w:t xml:space="preserve"> </w:t>
      </w:r>
    </w:p>
    <w:sectPr w:rsidR="003F431E" w:rsidRPr="00CA3B9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2333F3" w14:textId="77777777" w:rsidR="00195420" w:rsidRDefault="00195420">
      <w:pPr>
        <w:spacing w:line="240" w:lineRule="auto"/>
      </w:pPr>
      <w:r>
        <w:separator/>
      </w:r>
    </w:p>
  </w:endnote>
  <w:endnote w:type="continuationSeparator" w:id="0">
    <w:p w14:paraId="524162A4" w14:textId="77777777" w:rsidR="00195420" w:rsidRDefault="001954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F0939D" w14:textId="77777777" w:rsidR="00195420" w:rsidRDefault="00195420">
      <w:pPr>
        <w:spacing w:line="240" w:lineRule="auto"/>
      </w:pPr>
      <w:r>
        <w:separator/>
      </w:r>
    </w:p>
  </w:footnote>
  <w:footnote w:type="continuationSeparator" w:id="0">
    <w:p w14:paraId="5E57E1D5" w14:textId="77777777" w:rsidR="00195420" w:rsidRDefault="001954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D39D1"/>
    <w:multiLevelType w:val="multilevel"/>
    <w:tmpl w:val="8C00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13AC"/>
    <w:rsid w:val="00067A4B"/>
    <w:rsid w:val="00075BDE"/>
    <w:rsid w:val="0009090B"/>
    <w:rsid w:val="000B103B"/>
    <w:rsid w:val="000C68FF"/>
    <w:rsid w:val="000D6787"/>
    <w:rsid w:val="000D6FDD"/>
    <w:rsid w:val="000E3ADC"/>
    <w:rsid w:val="000F39CD"/>
    <w:rsid w:val="0018141D"/>
    <w:rsid w:val="00195420"/>
    <w:rsid w:val="001B5CD5"/>
    <w:rsid w:val="001C2159"/>
    <w:rsid w:val="001D65D0"/>
    <w:rsid w:val="001E5C81"/>
    <w:rsid w:val="001F0B68"/>
    <w:rsid w:val="00222EAF"/>
    <w:rsid w:val="00230CDA"/>
    <w:rsid w:val="002D3052"/>
    <w:rsid w:val="002E46FB"/>
    <w:rsid w:val="003605E9"/>
    <w:rsid w:val="00362E05"/>
    <w:rsid w:val="00383143"/>
    <w:rsid w:val="00391997"/>
    <w:rsid w:val="003A42E0"/>
    <w:rsid w:val="003C3BBA"/>
    <w:rsid w:val="003C3F6E"/>
    <w:rsid w:val="003F431E"/>
    <w:rsid w:val="004044F1"/>
    <w:rsid w:val="00475EC9"/>
    <w:rsid w:val="00482C46"/>
    <w:rsid w:val="004A00B2"/>
    <w:rsid w:val="004E274A"/>
    <w:rsid w:val="004E57B2"/>
    <w:rsid w:val="00570901"/>
    <w:rsid w:val="00581582"/>
    <w:rsid w:val="005D6C01"/>
    <w:rsid w:val="00644858"/>
    <w:rsid w:val="00654A50"/>
    <w:rsid w:val="006634B4"/>
    <w:rsid w:val="00684E23"/>
    <w:rsid w:val="00692A3D"/>
    <w:rsid w:val="006C52FA"/>
    <w:rsid w:val="006F219D"/>
    <w:rsid w:val="00725E57"/>
    <w:rsid w:val="00736566"/>
    <w:rsid w:val="00763ED4"/>
    <w:rsid w:val="0078087A"/>
    <w:rsid w:val="00782B1E"/>
    <w:rsid w:val="007844D1"/>
    <w:rsid w:val="007878C4"/>
    <w:rsid w:val="007D71B5"/>
    <w:rsid w:val="00805A67"/>
    <w:rsid w:val="00807BF3"/>
    <w:rsid w:val="00822675"/>
    <w:rsid w:val="00822B52"/>
    <w:rsid w:val="00825F05"/>
    <w:rsid w:val="008314D1"/>
    <w:rsid w:val="00836FBD"/>
    <w:rsid w:val="00862211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334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A41419"/>
    <w:rsid w:val="00A50801"/>
    <w:rsid w:val="00A65CC2"/>
    <w:rsid w:val="00A856F2"/>
    <w:rsid w:val="00A9514B"/>
    <w:rsid w:val="00A96AF1"/>
    <w:rsid w:val="00AD367E"/>
    <w:rsid w:val="00AE6186"/>
    <w:rsid w:val="00B00A40"/>
    <w:rsid w:val="00B02B81"/>
    <w:rsid w:val="00B11CF2"/>
    <w:rsid w:val="00B33D03"/>
    <w:rsid w:val="00B63D1C"/>
    <w:rsid w:val="00BB561B"/>
    <w:rsid w:val="00BC5551"/>
    <w:rsid w:val="00BD183E"/>
    <w:rsid w:val="00BE7AE1"/>
    <w:rsid w:val="00C0495F"/>
    <w:rsid w:val="00C14D60"/>
    <w:rsid w:val="00C33AF7"/>
    <w:rsid w:val="00C50588"/>
    <w:rsid w:val="00C57B0F"/>
    <w:rsid w:val="00C85661"/>
    <w:rsid w:val="00C86876"/>
    <w:rsid w:val="00CA2567"/>
    <w:rsid w:val="00CA3B9F"/>
    <w:rsid w:val="00CD3981"/>
    <w:rsid w:val="00CF6CED"/>
    <w:rsid w:val="00D154B7"/>
    <w:rsid w:val="00D16CEB"/>
    <w:rsid w:val="00D70868"/>
    <w:rsid w:val="00D96770"/>
    <w:rsid w:val="00DB28AC"/>
    <w:rsid w:val="00DD23DB"/>
    <w:rsid w:val="00E04750"/>
    <w:rsid w:val="00E23F58"/>
    <w:rsid w:val="00E617CF"/>
    <w:rsid w:val="00E8117C"/>
    <w:rsid w:val="00EA1809"/>
    <w:rsid w:val="00EA1C3A"/>
    <w:rsid w:val="00EA4920"/>
    <w:rsid w:val="00EB32CB"/>
    <w:rsid w:val="00EC37DB"/>
    <w:rsid w:val="00ED3B41"/>
    <w:rsid w:val="00ED62F9"/>
    <w:rsid w:val="00F03327"/>
    <w:rsid w:val="00F22708"/>
    <w:rsid w:val="00F321DB"/>
    <w:rsid w:val="00F52AA1"/>
    <w:rsid w:val="00F63ADD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73bbb3c317121ea3087ce0564dba81cf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89b5199a66abea40ca7ec6b263fc5e35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677F6B-1F63-4C3C-9A68-EFADE06349A4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1506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Heydy Cristina Gonzalez Garcia</cp:lastModifiedBy>
  <cp:revision>4</cp:revision>
  <dcterms:created xsi:type="dcterms:W3CDTF">2025-06-19T17:53:00Z</dcterms:created>
  <dcterms:modified xsi:type="dcterms:W3CDTF">2025-10-22T18:22:00Z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