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01493" w14:textId="77777777" w:rsidR="00D60645" w:rsidRPr="00D60645" w:rsidRDefault="00D60645" w:rsidP="00D60645">
      <w:pPr>
        <w:jc w:val="center"/>
        <w:rPr>
          <w:rFonts w:ascii="Arial" w:hAnsi="Arial" w:cs="Arial"/>
          <w:b/>
          <w:bCs/>
        </w:rPr>
      </w:pPr>
      <w:r w:rsidRPr="00D60645">
        <w:rPr>
          <w:rFonts w:ascii="Arial" w:hAnsi="Arial" w:cs="Arial"/>
          <w:b/>
          <w:bCs/>
        </w:rPr>
        <w:t>¿Por qué los clientes dicen “déjeme pensarlo”? Cómo superar objeciones y cerrar más ventas</w:t>
      </w:r>
    </w:p>
    <w:p w14:paraId="7763C477" w14:textId="77777777" w:rsidR="00D60645" w:rsidRDefault="00D60645" w:rsidP="00D60645">
      <w:pPr>
        <w:jc w:val="both"/>
        <w:rPr>
          <w:rFonts w:ascii="Arial" w:hAnsi="Arial" w:cs="Arial"/>
        </w:rPr>
      </w:pPr>
    </w:p>
    <w:p w14:paraId="4BE2125C" w14:textId="0932A800" w:rsidR="00D60645" w:rsidRPr="00D60645" w:rsidRDefault="00D60645" w:rsidP="00D60645">
      <w:pPr>
        <w:jc w:val="both"/>
        <w:rPr>
          <w:rFonts w:ascii="Arial" w:hAnsi="Arial" w:cs="Arial"/>
        </w:rPr>
      </w:pPr>
      <w:r w:rsidRPr="00D60645">
        <w:rPr>
          <w:rFonts w:ascii="Arial" w:hAnsi="Arial" w:cs="Arial"/>
        </w:rPr>
        <w:t>Para muchos emprendedores, uno de los momentos más frustrantes dentro del proceso de ventas ocurre cuando un cliente, después de escuchar una propuesta comercial, responde con frases como “déjeme pensarlo”, “más adelante le confirmo” o “voy a revisarlo con calma”. Estas expresiones suelen interpretarse como una negativa, pero en la mayoría de los casos representan una oportunidad para comprender mejor las necesidades del consumidor y fortalecer la relación comercial.</w:t>
      </w:r>
    </w:p>
    <w:p w14:paraId="3AE72DC9" w14:textId="77777777" w:rsidR="00D60645" w:rsidRPr="00D60645" w:rsidRDefault="00D60645" w:rsidP="00D60645">
      <w:pPr>
        <w:jc w:val="both"/>
        <w:rPr>
          <w:rFonts w:ascii="Arial" w:hAnsi="Arial" w:cs="Arial"/>
        </w:rPr>
      </w:pPr>
      <w:r w:rsidRPr="00D60645">
        <w:rPr>
          <w:rFonts w:ascii="Arial" w:hAnsi="Arial" w:cs="Arial"/>
        </w:rPr>
        <w:t>Las objeciones forman parte natural del proceso de venta. Ningún producto o servicio está exento de generar preguntas, dudas o preocupaciones por parte de los clientes. De hecho, cuando una persona plantea una objeción demuestra que está evaluando la posibilidad de adquirir la oferta presentada. Por esta razón, las objeciones no deben verse como obstáculos, sino como señales que permiten identificar aspectos que requieren mayor explicación o acompañamiento.</w:t>
      </w:r>
    </w:p>
    <w:p w14:paraId="51D4541B" w14:textId="77777777" w:rsidR="00D60645" w:rsidRPr="00D60645" w:rsidRDefault="00D60645" w:rsidP="00D60645">
      <w:pPr>
        <w:jc w:val="both"/>
        <w:rPr>
          <w:rFonts w:ascii="Arial" w:hAnsi="Arial" w:cs="Arial"/>
        </w:rPr>
      </w:pPr>
      <w:r w:rsidRPr="00D60645">
        <w:rPr>
          <w:rFonts w:ascii="Arial" w:hAnsi="Arial" w:cs="Arial"/>
        </w:rPr>
        <w:t>Entre las objeciones más frecuentes se encuentran aquellas relacionadas con el precio, la necesidad, la confianza y el tiempo. Algunos clientes consideran que el valor económico es elevado, mientras que otros no perciben claramente los beneficios del producto o servicio. También existen consumidores que necesitan más información para sentirse seguros o que simplemente requieren tiempo para analizar la decisión. Comprender el origen de cada objeción permite responder de manera más efectiva y aumentar las posibilidades de concretar la venta.</w:t>
      </w:r>
    </w:p>
    <w:p w14:paraId="59AB72B6" w14:textId="77777777" w:rsidR="00D60645" w:rsidRPr="00D60645" w:rsidRDefault="00D60645" w:rsidP="00D60645">
      <w:pPr>
        <w:jc w:val="both"/>
        <w:rPr>
          <w:rFonts w:ascii="Arial" w:hAnsi="Arial" w:cs="Arial"/>
        </w:rPr>
      </w:pPr>
      <w:r w:rsidRPr="00D60645">
        <w:rPr>
          <w:rFonts w:ascii="Arial" w:hAnsi="Arial" w:cs="Arial"/>
        </w:rPr>
        <w:t>Uno de los errores más comunes que cometen los emprendedores consiste en responder de manera inmediata sin escuchar atentamente al cliente. En ocasiones, el vendedor asume que conoce la razón de la objeción y ofrece argumentos que no responden a la verdadera preocupación del consumidor. Otro error frecuente es intentar convencer al cliente mediante presión o insistencia excesiva, lo que puede generar incomodidad y disminuir la confianza. La venta moderna exige escuchar activamente, formular preguntas y construir soluciones que respondan a las necesidades reales de cada persona.</w:t>
      </w:r>
    </w:p>
    <w:p w14:paraId="215CA755" w14:textId="77777777" w:rsidR="00D60645" w:rsidRPr="00D60645" w:rsidRDefault="00D60645" w:rsidP="00D60645">
      <w:pPr>
        <w:jc w:val="both"/>
        <w:rPr>
          <w:rFonts w:ascii="Arial" w:hAnsi="Arial" w:cs="Arial"/>
        </w:rPr>
      </w:pPr>
      <w:r w:rsidRPr="00D60645">
        <w:rPr>
          <w:rFonts w:ascii="Arial" w:hAnsi="Arial" w:cs="Arial"/>
        </w:rPr>
        <w:t>La confianza constituye uno de los factores más importantes en cualquier relación comercial. Los consumidores suelen comprar a empresas y emprendedores que transmiten seguridad, profesionalismo y credibilidad. Por esta razón, resulta fundamental brindar información clara, actuar con transparencia y demostrar conocimiento sobre los productos o servicios ofrecidos. Asimismo, el uso de testimonios, casos de éxito y experiencias positivas de otros clientes contribuye a fortalecer la confianza y reducir la incertidumbre durante el proceso de compra.</w:t>
      </w:r>
    </w:p>
    <w:p w14:paraId="7A8C1AFA" w14:textId="77777777" w:rsidR="00D60645" w:rsidRPr="00D60645" w:rsidRDefault="00D60645" w:rsidP="00D60645">
      <w:pPr>
        <w:jc w:val="both"/>
        <w:rPr>
          <w:rFonts w:ascii="Arial" w:hAnsi="Arial" w:cs="Arial"/>
        </w:rPr>
      </w:pPr>
      <w:r w:rsidRPr="00D60645">
        <w:rPr>
          <w:rFonts w:ascii="Arial" w:hAnsi="Arial" w:cs="Arial"/>
        </w:rPr>
        <w:t xml:space="preserve">Cerrar una venta tampoco significa presionar al cliente para que tome una decisión inmediata. Un cierre efectivo ocurre cuando el consumidor comprende los beneficios de la propuesta y percibe que esta puede resolver una necesidad o problema específico. En este sentido, el emprendedor debe actuar como un asesor que acompaña al cliente durante el proceso de decisión y no como una persona que busca vender a cualquier costo. Cuando </w:t>
      </w:r>
      <w:r w:rsidRPr="00D60645">
        <w:rPr>
          <w:rFonts w:ascii="Arial" w:hAnsi="Arial" w:cs="Arial"/>
        </w:rPr>
        <w:lastRenderedPageBreak/>
        <w:t>las objeciones han sido resueltas adecuadamente y existe confianza, el cierre se convierte en una consecuencia natural de la conversación comercial.</w:t>
      </w:r>
    </w:p>
    <w:p w14:paraId="6BF3E460" w14:textId="77777777" w:rsidR="00D60645" w:rsidRPr="00D60645" w:rsidRDefault="00D60645" w:rsidP="00D60645">
      <w:pPr>
        <w:jc w:val="both"/>
        <w:rPr>
          <w:rFonts w:ascii="Arial" w:hAnsi="Arial" w:cs="Arial"/>
        </w:rPr>
      </w:pPr>
      <w:r w:rsidRPr="00D60645">
        <w:rPr>
          <w:rFonts w:ascii="Arial" w:hAnsi="Arial" w:cs="Arial"/>
        </w:rPr>
        <w:t>Un ejemplo de esta situación puede observarse en el caso de Laura, una emprendedora que comercializaba agendas personalizadas para profesionales independientes. Aunque recibía numerosas consultas a través de redes sociales, pocas personas concretaban la compra. Inicialmente, Laura se enfocaba en explicar las características físicas de sus productos, pero los resultados no eran los esperados. Después de analizar las conversaciones con sus clientes, descubrió que muchos buscaban herramientas que les ayudaran a organizar mejor su tiempo y aumentar su productividad. A partir de ese momento cambió su estrategia, resaltando los beneficios de las agendas y compartiendo experiencias de clientes satisfechos. Como resultado, logró incrementar sus ventas y fortalecer la confianza en su emprendimiento.</w:t>
      </w:r>
    </w:p>
    <w:p w14:paraId="068D24F3" w14:textId="77777777" w:rsidR="00D60645" w:rsidRPr="00D60645" w:rsidRDefault="00D60645" w:rsidP="00D60645">
      <w:pPr>
        <w:jc w:val="both"/>
        <w:rPr>
          <w:rFonts w:ascii="Arial" w:hAnsi="Arial" w:cs="Arial"/>
        </w:rPr>
      </w:pPr>
      <w:r w:rsidRPr="00D60645">
        <w:rPr>
          <w:rFonts w:ascii="Arial" w:hAnsi="Arial" w:cs="Arial"/>
        </w:rPr>
        <w:t>En conclusión, las objeciones son una etapa normal dentro de cualquier proceso comercial y representan oportunidades para comprender mejor las necesidades de los clientes. Los emprendedores que desarrollan habilidades de escucha, comunicación y generación de confianza tienen mayores posibilidades de convertir el interés de los consumidores en ventas efectivas. Más que vender productos o servicios, el verdadero desafío consiste en construir relaciones de valor que permitan a los clientes tomar decisiones informadas y satisfactorias. En un entorno empresarial cada vez más competitivo, la capacidad para gestionar objeciones y cerrar ventas de manera profesional se convierte en una herramienta fundamental para el crecimiento y sostenibilidad de cualquier emprendimiento.</w:t>
      </w:r>
    </w:p>
    <w:p w14:paraId="6FCF2B4F" w14:textId="77777777" w:rsidR="00D60645" w:rsidRPr="000F72C3" w:rsidRDefault="00D60645" w:rsidP="00D60645">
      <w:pPr>
        <w:jc w:val="both"/>
        <w:rPr>
          <w:rFonts w:ascii="Arial" w:hAnsi="Arial" w:cs="Arial"/>
          <w:b/>
          <w:bCs/>
          <w:lang w:val="en-US"/>
        </w:rPr>
      </w:pPr>
      <w:r w:rsidRPr="000F72C3">
        <w:rPr>
          <w:rFonts w:ascii="Arial" w:hAnsi="Arial" w:cs="Arial"/>
          <w:b/>
          <w:bCs/>
          <w:lang w:val="en-US"/>
        </w:rPr>
        <w:t>Referencias bibliográficas</w:t>
      </w:r>
    </w:p>
    <w:p w14:paraId="79BD55E7" w14:textId="77777777" w:rsidR="00D60645" w:rsidRPr="000F72C3" w:rsidRDefault="00D60645" w:rsidP="00D60645">
      <w:pPr>
        <w:jc w:val="both"/>
        <w:rPr>
          <w:rFonts w:ascii="Arial" w:hAnsi="Arial" w:cs="Arial"/>
          <w:lang w:val="en-US"/>
        </w:rPr>
      </w:pPr>
      <w:r w:rsidRPr="000F72C3">
        <w:rPr>
          <w:rFonts w:ascii="Arial" w:hAnsi="Arial" w:cs="Arial"/>
          <w:lang w:val="en-US"/>
        </w:rPr>
        <w:t xml:space="preserve">Kotler, P., Keller, K. L., &amp; Chernev, A. (2022). </w:t>
      </w:r>
      <w:r w:rsidRPr="000F72C3">
        <w:rPr>
          <w:rFonts w:ascii="Arial" w:hAnsi="Arial" w:cs="Arial"/>
          <w:i/>
          <w:iCs/>
          <w:lang w:val="en-US"/>
        </w:rPr>
        <w:t>Marketing management</w:t>
      </w:r>
      <w:r w:rsidRPr="000F72C3">
        <w:rPr>
          <w:rFonts w:ascii="Arial" w:hAnsi="Arial" w:cs="Arial"/>
          <w:lang w:val="en-US"/>
        </w:rPr>
        <w:t xml:space="preserve"> (16.ª ed.). Pearson.</w:t>
      </w:r>
    </w:p>
    <w:p w14:paraId="6F9587CF" w14:textId="77777777" w:rsidR="00D60645" w:rsidRPr="000F72C3" w:rsidRDefault="00D60645" w:rsidP="00D60645">
      <w:pPr>
        <w:jc w:val="both"/>
        <w:rPr>
          <w:rFonts w:ascii="Arial" w:hAnsi="Arial" w:cs="Arial"/>
          <w:lang w:val="en-US"/>
        </w:rPr>
      </w:pPr>
      <w:r w:rsidRPr="000F72C3">
        <w:rPr>
          <w:rFonts w:ascii="Arial" w:hAnsi="Arial" w:cs="Arial"/>
          <w:lang w:val="en-US"/>
        </w:rPr>
        <w:t xml:space="preserve">Rackham, N. (2020). </w:t>
      </w:r>
      <w:r w:rsidRPr="000F72C3">
        <w:rPr>
          <w:rFonts w:ascii="Arial" w:hAnsi="Arial" w:cs="Arial"/>
          <w:i/>
          <w:iCs/>
          <w:lang w:val="en-US"/>
        </w:rPr>
        <w:t>SPIN selling</w:t>
      </w:r>
      <w:r w:rsidRPr="000F72C3">
        <w:rPr>
          <w:rFonts w:ascii="Arial" w:hAnsi="Arial" w:cs="Arial"/>
          <w:lang w:val="en-US"/>
        </w:rPr>
        <w:t>. McGraw-Hill Education.</w:t>
      </w:r>
    </w:p>
    <w:p w14:paraId="56880B01" w14:textId="77777777" w:rsidR="00D60645" w:rsidRPr="000F72C3" w:rsidRDefault="00D60645" w:rsidP="00D60645">
      <w:pPr>
        <w:jc w:val="both"/>
        <w:rPr>
          <w:rFonts w:ascii="Arial" w:hAnsi="Arial" w:cs="Arial"/>
          <w:lang w:val="en-US"/>
        </w:rPr>
      </w:pPr>
      <w:r w:rsidRPr="000F72C3">
        <w:rPr>
          <w:rFonts w:ascii="Arial" w:hAnsi="Arial" w:cs="Arial"/>
          <w:lang w:val="en-US"/>
        </w:rPr>
        <w:t xml:space="preserve">Tracy, B. (2021). </w:t>
      </w:r>
      <w:r w:rsidRPr="000F72C3">
        <w:rPr>
          <w:rFonts w:ascii="Arial" w:hAnsi="Arial" w:cs="Arial"/>
          <w:i/>
          <w:iCs/>
          <w:lang w:val="en-US"/>
        </w:rPr>
        <w:t>The psychology of selling</w:t>
      </w:r>
      <w:r w:rsidRPr="000F72C3">
        <w:rPr>
          <w:rFonts w:ascii="Arial" w:hAnsi="Arial" w:cs="Arial"/>
          <w:lang w:val="en-US"/>
        </w:rPr>
        <w:t>. HarperCollins Leadership.</w:t>
      </w:r>
    </w:p>
    <w:p w14:paraId="3C1B1A7A" w14:textId="77777777" w:rsidR="00D60645" w:rsidRPr="000F72C3" w:rsidRDefault="00D60645" w:rsidP="00D60645">
      <w:pPr>
        <w:jc w:val="both"/>
        <w:rPr>
          <w:rFonts w:ascii="Arial" w:hAnsi="Arial" w:cs="Arial"/>
          <w:lang w:val="en-US"/>
        </w:rPr>
      </w:pPr>
      <w:r w:rsidRPr="000F72C3">
        <w:rPr>
          <w:rFonts w:ascii="Arial" w:hAnsi="Arial" w:cs="Arial"/>
          <w:lang w:val="en-US"/>
        </w:rPr>
        <w:t xml:space="preserve">Weinberg, M. (2021). </w:t>
      </w:r>
      <w:r w:rsidRPr="000F72C3">
        <w:rPr>
          <w:rFonts w:ascii="Arial" w:hAnsi="Arial" w:cs="Arial"/>
          <w:i/>
          <w:iCs/>
          <w:lang w:val="en-US"/>
        </w:rPr>
        <w:t>New sales. Simplified.</w:t>
      </w:r>
      <w:r w:rsidRPr="000F72C3">
        <w:rPr>
          <w:rFonts w:ascii="Arial" w:hAnsi="Arial" w:cs="Arial"/>
          <w:lang w:val="en-US"/>
        </w:rPr>
        <w:t xml:space="preserve"> Amacom.</w:t>
      </w:r>
    </w:p>
    <w:p w14:paraId="76D3907C" w14:textId="77777777" w:rsidR="00D60645" w:rsidRPr="00D60645" w:rsidRDefault="00D60645" w:rsidP="00D60645">
      <w:pPr>
        <w:jc w:val="both"/>
        <w:rPr>
          <w:rFonts w:ascii="Arial" w:hAnsi="Arial" w:cs="Arial"/>
        </w:rPr>
      </w:pPr>
      <w:r w:rsidRPr="000F72C3">
        <w:rPr>
          <w:rFonts w:ascii="Arial" w:hAnsi="Arial" w:cs="Arial"/>
          <w:lang w:val="en-US"/>
        </w:rPr>
        <w:t xml:space="preserve">Ziglar, Z. (2019). </w:t>
      </w:r>
      <w:r w:rsidRPr="000F72C3">
        <w:rPr>
          <w:rFonts w:ascii="Arial" w:hAnsi="Arial" w:cs="Arial"/>
          <w:i/>
          <w:iCs/>
          <w:lang w:val="en-US"/>
        </w:rPr>
        <w:t>Secrets of closing the sale</w:t>
      </w:r>
      <w:r w:rsidRPr="000F72C3">
        <w:rPr>
          <w:rFonts w:ascii="Arial" w:hAnsi="Arial" w:cs="Arial"/>
          <w:lang w:val="en-US"/>
        </w:rPr>
        <w:t xml:space="preserve">. </w:t>
      </w:r>
      <w:r w:rsidRPr="00D60645">
        <w:rPr>
          <w:rFonts w:ascii="Arial" w:hAnsi="Arial" w:cs="Arial"/>
        </w:rPr>
        <w:t>Revell.</w:t>
      </w:r>
    </w:p>
    <w:p w14:paraId="5CD512B1" w14:textId="471FF271" w:rsidR="000F1048" w:rsidRPr="00D60645" w:rsidRDefault="000F1048" w:rsidP="00D60645">
      <w:pPr>
        <w:jc w:val="both"/>
      </w:pPr>
    </w:p>
    <w:sectPr w:rsidR="000F1048" w:rsidRPr="00D60645"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318BD9" w14:textId="77777777" w:rsidR="00DF1655" w:rsidRDefault="00DF1655" w:rsidP="004903EB">
      <w:pPr>
        <w:spacing w:after="0" w:line="240" w:lineRule="auto"/>
      </w:pPr>
      <w:r>
        <w:separator/>
      </w:r>
    </w:p>
  </w:endnote>
  <w:endnote w:type="continuationSeparator" w:id="0">
    <w:p w14:paraId="189C3B57" w14:textId="77777777" w:rsidR="00DF1655" w:rsidRDefault="00DF1655"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9837BE" w14:textId="77777777" w:rsidR="00DF1655" w:rsidRDefault="00DF1655" w:rsidP="004903EB">
      <w:pPr>
        <w:spacing w:after="0" w:line="240" w:lineRule="auto"/>
      </w:pPr>
      <w:r>
        <w:separator/>
      </w:r>
    </w:p>
  </w:footnote>
  <w:footnote w:type="continuationSeparator" w:id="0">
    <w:p w14:paraId="15129411" w14:textId="77777777" w:rsidR="00DF1655" w:rsidRDefault="00DF1655"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0F72C3"/>
    <w:rsid w:val="00156202"/>
    <w:rsid w:val="001846C6"/>
    <w:rsid w:val="001D7F13"/>
    <w:rsid w:val="00207FFD"/>
    <w:rsid w:val="002936D9"/>
    <w:rsid w:val="002D43B6"/>
    <w:rsid w:val="0036019B"/>
    <w:rsid w:val="00487569"/>
    <w:rsid w:val="004903EB"/>
    <w:rsid w:val="005A7BF6"/>
    <w:rsid w:val="00753422"/>
    <w:rsid w:val="0077727C"/>
    <w:rsid w:val="008203BD"/>
    <w:rsid w:val="008522C4"/>
    <w:rsid w:val="00B41E63"/>
    <w:rsid w:val="00B52BAB"/>
    <w:rsid w:val="00BF5C09"/>
    <w:rsid w:val="00C218C2"/>
    <w:rsid w:val="00D04EB3"/>
    <w:rsid w:val="00D33C23"/>
    <w:rsid w:val="00D60645"/>
    <w:rsid w:val="00DF1655"/>
    <w:rsid w:val="00E14DE4"/>
    <w:rsid w:val="00F34DF1"/>
    <w:rsid w:val="00F363E4"/>
    <w:rsid w:val="00F65D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3008673">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570119128">
      <w:bodyDiv w:val="1"/>
      <w:marLeft w:val="0"/>
      <w:marRight w:val="0"/>
      <w:marTop w:val="0"/>
      <w:marBottom w:val="0"/>
      <w:divBdr>
        <w:top w:val="none" w:sz="0" w:space="0" w:color="auto"/>
        <w:left w:val="none" w:sz="0" w:space="0" w:color="auto"/>
        <w:bottom w:val="none" w:sz="0" w:space="0" w:color="auto"/>
        <w:right w:val="none" w:sz="0" w:space="0" w:color="auto"/>
      </w:divBdr>
    </w:div>
    <w:div w:id="784427600">
      <w:bodyDiv w:val="1"/>
      <w:marLeft w:val="0"/>
      <w:marRight w:val="0"/>
      <w:marTop w:val="0"/>
      <w:marBottom w:val="0"/>
      <w:divBdr>
        <w:top w:val="none" w:sz="0" w:space="0" w:color="auto"/>
        <w:left w:val="none" w:sz="0" w:space="0" w:color="auto"/>
        <w:bottom w:val="none" w:sz="0" w:space="0" w:color="auto"/>
        <w:right w:val="none" w:sz="0" w:space="0" w:color="auto"/>
      </w:divBdr>
    </w:div>
    <w:div w:id="861894947">
      <w:bodyDiv w:val="1"/>
      <w:marLeft w:val="0"/>
      <w:marRight w:val="0"/>
      <w:marTop w:val="0"/>
      <w:marBottom w:val="0"/>
      <w:divBdr>
        <w:top w:val="none" w:sz="0" w:space="0" w:color="auto"/>
        <w:left w:val="none" w:sz="0" w:space="0" w:color="auto"/>
        <w:bottom w:val="none" w:sz="0" w:space="0" w:color="auto"/>
        <w:right w:val="none" w:sz="0" w:space="0" w:color="auto"/>
      </w:divBdr>
    </w:div>
    <w:div w:id="967786696">
      <w:bodyDiv w:val="1"/>
      <w:marLeft w:val="0"/>
      <w:marRight w:val="0"/>
      <w:marTop w:val="0"/>
      <w:marBottom w:val="0"/>
      <w:divBdr>
        <w:top w:val="none" w:sz="0" w:space="0" w:color="auto"/>
        <w:left w:val="none" w:sz="0" w:space="0" w:color="auto"/>
        <w:bottom w:val="none" w:sz="0" w:space="0" w:color="auto"/>
        <w:right w:val="none" w:sz="0" w:space="0" w:color="auto"/>
      </w:divBdr>
    </w:div>
    <w:div w:id="1328510283">
      <w:bodyDiv w:val="1"/>
      <w:marLeft w:val="0"/>
      <w:marRight w:val="0"/>
      <w:marTop w:val="0"/>
      <w:marBottom w:val="0"/>
      <w:divBdr>
        <w:top w:val="none" w:sz="0" w:space="0" w:color="auto"/>
        <w:left w:val="none" w:sz="0" w:space="0" w:color="auto"/>
        <w:bottom w:val="none" w:sz="0" w:space="0" w:color="auto"/>
        <w:right w:val="none" w:sz="0" w:space="0" w:color="auto"/>
      </w:divBdr>
    </w:div>
    <w:div w:id="1557469492">
      <w:bodyDiv w:val="1"/>
      <w:marLeft w:val="0"/>
      <w:marRight w:val="0"/>
      <w:marTop w:val="0"/>
      <w:marBottom w:val="0"/>
      <w:divBdr>
        <w:top w:val="none" w:sz="0" w:space="0" w:color="auto"/>
        <w:left w:val="none" w:sz="0" w:space="0" w:color="auto"/>
        <w:bottom w:val="none" w:sz="0" w:space="0" w:color="auto"/>
        <w:right w:val="none" w:sz="0" w:space="0" w:color="auto"/>
      </w:divBdr>
    </w:div>
    <w:div w:id="1700617562">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2051227610">
      <w:bodyDiv w:val="1"/>
      <w:marLeft w:val="0"/>
      <w:marRight w:val="0"/>
      <w:marTop w:val="0"/>
      <w:marBottom w:val="0"/>
      <w:divBdr>
        <w:top w:val="none" w:sz="0" w:space="0" w:color="auto"/>
        <w:left w:val="none" w:sz="0" w:space="0" w:color="auto"/>
        <w:bottom w:val="none" w:sz="0" w:space="0" w:color="auto"/>
        <w:right w:val="none" w:sz="0" w:space="0" w:color="auto"/>
      </w:divBdr>
    </w:div>
    <w:div w:id="211316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61C06B-55CF-47D1-9CA2-1C12FA53A6AF}">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763EB9D1-F267-485E-AE64-218D94FC29C8}">
  <ds:schemaRefs>
    <ds:schemaRef ds:uri="http://schemas.microsoft.com/sharepoint/v3/contenttype/forms"/>
  </ds:schemaRefs>
</ds:datastoreItem>
</file>

<file path=customXml/itemProps3.xml><?xml version="1.0" encoding="utf-8"?>
<ds:datastoreItem xmlns:ds="http://schemas.openxmlformats.org/officeDocument/2006/customXml" ds:itemID="{8DBD5E90-8876-4D8B-904C-B168D8D1F686}"/>
</file>

<file path=docProps/app.xml><?xml version="1.0" encoding="utf-8"?>
<Properties xmlns="http://schemas.openxmlformats.org/officeDocument/2006/extended-properties" xmlns:vt="http://schemas.openxmlformats.org/officeDocument/2006/docPropsVTypes">
  <Template>Normal.dotm</Template>
  <TotalTime>1</TotalTime>
  <Pages>2</Pages>
  <Words>803</Words>
  <Characters>4420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Maria Fernanda Morales Angulo</cp:lastModifiedBy>
  <cp:revision>2</cp:revision>
  <dcterms:created xsi:type="dcterms:W3CDTF">2026-09-08T01:16:00Z</dcterms:created>
  <dcterms:modified xsi:type="dcterms:W3CDTF">2026-09-08T01:16:00Z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2026-09-08T01:15:26Z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0247e722-b0b1-45c1-ae30-527cb96c4175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ies>
</file>