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9A7D8" w14:textId="77777777" w:rsidR="00162931" w:rsidRDefault="00162931" w:rsidP="00B96B51">
      <w:pPr>
        <w:jc w:val="center"/>
        <w:rPr>
          <w:b/>
          <w:bCs/>
        </w:rPr>
      </w:pPr>
    </w:p>
    <w:p w14:paraId="46004BC2" w14:textId="32F56BFD" w:rsidR="00B43AFA" w:rsidRDefault="00162931" w:rsidP="00B96B51">
      <w:pPr>
        <w:jc w:val="center"/>
        <w:rPr>
          <w:b/>
          <w:bCs/>
        </w:rPr>
      </w:pPr>
      <w:r w:rsidRPr="00162931">
        <w:rPr>
          <w:b/>
          <w:bCs/>
        </w:rPr>
        <w:t>INVENTARIOS HOTELEROS: ORGANIZACIÓN, CONTROL Y OPERACIÓN</w:t>
      </w:r>
    </w:p>
    <w:p w14:paraId="354CA9FB" w14:textId="77777777" w:rsidR="00162931" w:rsidRPr="00B43AFA" w:rsidRDefault="00162931" w:rsidP="00B96B51">
      <w:pPr>
        <w:jc w:val="center"/>
      </w:pPr>
    </w:p>
    <w:p w14:paraId="41B82768" w14:textId="77777777" w:rsidR="006B5A97" w:rsidRDefault="006B5A97" w:rsidP="00B43AFA">
      <w:pPr>
        <w:jc w:val="both"/>
      </w:pPr>
      <w:r w:rsidRPr="006B5A97">
        <w:t>La gestión de inventarios, almacenamiento y suministros constituye un proceso esencial dentro de los establecimientos de alojamiento, debido a que garantiza la disponibilidad oportuna de los recursos necesarios para el desarrollo de las operaciones hoteleras. La adecuada administración de insumos, materiales y equipos permite fortalecer la continuidad del servicio, optimizar recursos y mantener condiciones adecuadas de organización, higiene y control operativo en el área de alojamiento.</w:t>
      </w:r>
    </w:p>
    <w:p w14:paraId="541B1A05" w14:textId="2AEA9618" w:rsidR="006B5A97" w:rsidRDefault="006B5A97" w:rsidP="00B43AFA">
      <w:pPr>
        <w:jc w:val="both"/>
      </w:pPr>
      <w:r w:rsidRPr="006B5A97">
        <w:t xml:space="preserve">Los sistemas de inventario aplicados en hotelería facilitan el control y seguimiento de elementos utilizados diariamente en habitaciones y áreas comunes, como lencería, amenidades, productos químicos, artículos de aseo, papelería y equipos operativos. Entre los principales sistemas utilizados se encuentra el método FIFO o PEPS, el cual establece que los productos que ingresan primero deben utilizarse antes para evitar vencimientos o deterioro. Asimismo, se emplean sistemas de máximos y mínimos, inventarios permanentes, inventarios periódicos, requisiciones y controles de </w:t>
      </w:r>
      <w:r w:rsidRPr="006C5B62">
        <w:rPr>
          <w:i/>
          <w:iCs/>
        </w:rPr>
        <w:t>stock</w:t>
      </w:r>
      <w:r w:rsidRPr="006B5A97">
        <w:t xml:space="preserve"> de seguridad que permiten supervisar el consumo y planificar oportunamente la reposición de suministros.</w:t>
      </w:r>
    </w:p>
    <w:p w14:paraId="62C15F3C" w14:textId="7BEC49BE" w:rsidR="006B5A97" w:rsidRDefault="006B5A97" w:rsidP="00B43AFA">
      <w:pPr>
        <w:jc w:val="both"/>
      </w:pPr>
      <w:r w:rsidRPr="006B5A97">
        <w:t xml:space="preserve">Dentro de la operación hotelera, los recursos se clasifican en suministros de consumo, activos operativos y activos fijos. Los suministros de consumo corresponden a elementos de reposición frecuente utilizados para la atención del huésped, como </w:t>
      </w:r>
      <w:r w:rsidR="00183E14" w:rsidRPr="00183E14">
        <w:rPr>
          <w:i/>
          <w:iCs/>
        </w:rPr>
        <w:t>shampoo</w:t>
      </w:r>
      <w:r w:rsidRPr="006B5A97">
        <w:t>, café y papelería. Los activos operativos incluyen elementos reutilizables necesarios para la prestación del servicio, entre ellos sábanas, toallas, almohadas y cristalería. Por su parte, los activos fijos hacen referencia a bienes permanentes de mayor valor y duración, como mobiliario, televisores, maquinaria y equipos utilizados en la operación del establecimiento</w:t>
      </w:r>
      <w:r>
        <w:t xml:space="preserve">. </w:t>
      </w:r>
      <w:r w:rsidRPr="006B5A97">
        <w:t xml:space="preserve">El control de existencias permite supervisar permanentemente la disponibilidad de productos y materiales requeridos para garantizar el adecuado funcionamiento del área de alojamiento. Para ello, los establecimientos hoteleros establecen parámetros relacionados con </w:t>
      </w:r>
      <w:r w:rsidRPr="006C5B62">
        <w:rPr>
          <w:i/>
          <w:iCs/>
        </w:rPr>
        <w:t>stock</w:t>
      </w:r>
      <w:r w:rsidRPr="006B5A97">
        <w:t xml:space="preserve"> mínimo, </w:t>
      </w:r>
      <w:r w:rsidRPr="006C5B62">
        <w:rPr>
          <w:i/>
          <w:iCs/>
        </w:rPr>
        <w:t>stock</w:t>
      </w:r>
      <w:r w:rsidRPr="006B5A97">
        <w:t xml:space="preserve"> máximo, </w:t>
      </w:r>
      <w:r w:rsidRPr="006C5B62">
        <w:rPr>
          <w:i/>
          <w:iCs/>
        </w:rPr>
        <w:t>stock</w:t>
      </w:r>
      <w:r w:rsidRPr="006B5A97">
        <w:t xml:space="preserve"> de seguridad y tiempos de espera o </w:t>
      </w:r>
      <w:r w:rsidRPr="00183E14">
        <w:rPr>
          <w:i/>
          <w:iCs/>
        </w:rPr>
        <w:t>lead</w:t>
      </w:r>
      <w:r w:rsidRPr="006B5A97">
        <w:t xml:space="preserve"> </w:t>
      </w:r>
      <w:r w:rsidRPr="00183E14">
        <w:rPr>
          <w:i/>
          <w:iCs/>
        </w:rPr>
        <w:t>time</w:t>
      </w:r>
      <w:r w:rsidRPr="006B5A97">
        <w:t>. Estas herramientas facilitan la planificación de compras, previenen desabastecimientos y disminuyen riesgos asociados a pérdidas operativas o acumulación innecesaria de inventario.</w:t>
      </w:r>
    </w:p>
    <w:p w14:paraId="5EBC6EB0" w14:textId="2C2E69DB" w:rsidR="006B5A97" w:rsidRDefault="006B5A97" w:rsidP="00B43AFA">
      <w:pPr>
        <w:jc w:val="both"/>
      </w:pPr>
      <w:r w:rsidRPr="006B5A97">
        <w:t>El cálculo de suministros y el factor de uso permiten determinar la cantidad de insumos necesarios para desarrollar actividades de limpieza, acondicionamiento y atención al huésped. Este proceso considera variables como número de habitaciones, rotación de huéspedes, frecuencia de reposición y tiempos de abastecimiento, favoreciendo el uso eficiente de recursos y evitando desperdicios o sobreabastecimiento. Entre los principales elementos controlados se encuentran amenidades, productos químicos, artículos de aseo, lencería y papelería utilizados diariamente en la operación hotelera.</w:t>
      </w:r>
    </w:p>
    <w:p w14:paraId="56DB7514" w14:textId="73051923" w:rsidR="006B5A97" w:rsidRDefault="006B5A97" w:rsidP="00B43AFA">
      <w:pPr>
        <w:jc w:val="both"/>
      </w:pPr>
      <w:r w:rsidRPr="006B5A97">
        <w:t>El almacenamiento y organización de suministros constituyen actividades fundamentales para preservar las condiciones de calidad, seguridad e higiene de los recursos operativos. Estas acciones incluyen procesos de recepción, clasificación, ubicación, rotación y seguimiento de materiales mediante métodos que fortalecen la trazabilidad y el control del inventario. Las áreas de almacenamiento deben mantenerse ventiladas, iluminadas y organizadas, evitando el contacto directo de los productos con el piso y separando adecuadamente químicos, textiles y alimentos para prevenir contaminación o deterioro de materiales.</w:t>
      </w:r>
      <w:r>
        <w:t xml:space="preserve"> </w:t>
      </w:r>
      <w:r w:rsidRPr="006B5A97">
        <w:t>La recepción de suministros requiere procesos de verificación técnica orientados a confirmar cantidades, condiciones físicas, fechas de vencimiento y cumplimiento de especificaciones establecidas en órdenes de compra y fichas técnicas. Cuando los productos presentan deterioro, empaques dañados o inconsistencias frente a lo solicitado, deben aplicarse criterios de devolución y reportes de novedad que garanticen la transparencia y el adecuado control de los recursos. Asimismo, la gestión de inventarios exige responsabilidad ética, evitando alteraciones de registros o uso inadecuado de suministros pertenecientes al establecimiento</w:t>
      </w:r>
      <w:r>
        <w:t>.</w:t>
      </w:r>
    </w:p>
    <w:p w14:paraId="4C1030A2" w14:textId="4AA93A81" w:rsidR="00B43AFA" w:rsidRDefault="006B5A97" w:rsidP="00B43AFA">
      <w:pPr>
        <w:jc w:val="both"/>
      </w:pPr>
      <w:r w:rsidRPr="006B5A97">
        <w:t>Finalmente, la organización y control operativo del office de piso permite abastecer eficientemente las labores desarrolladas por camarería y demás áreas operativas. Este espacio funciona como un almacén satélite donde se clasifican y distribuyen productos de aseo, lencería, amenidades y suministros utilizados durante la jornada laboral. La correcta organización del office incluye la aplicación del método PEPS, la adecuada rotulación de productos químicos, la ubicación estratégica de materiales según frecuencia de uso y la devolución de sobrantes o envases vacíos al finalizar cada turno. Estas acciones fortalecen el control operativo, optimizan tiempos de trabajo y garantizan condiciones adecuadas de seguridad e higiene dentro del establecimiento de alojamiento</w:t>
      </w:r>
      <w:r>
        <w:t>.</w:t>
      </w:r>
    </w:p>
    <w:p w14:paraId="01518D56" w14:textId="77777777" w:rsidR="006C5B62" w:rsidRDefault="006C5B62" w:rsidP="00B96B51">
      <w:pPr>
        <w:jc w:val="both"/>
        <w:rPr>
          <w:b/>
          <w:bCs/>
        </w:rPr>
      </w:pPr>
    </w:p>
    <w:p w14:paraId="5EDFDE34" w14:textId="63D68C51" w:rsidR="00D4774E" w:rsidRDefault="00D4774E" w:rsidP="00B96B51">
      <w:pPr>
        <w:jc w:val="both"/>
        <w:rPr>
          <w:b/>
          <w:bCs/>
        </w:rPr>
      </w:pPr>
      <w:r w:rsidRPr="00D4774E">
        <w:rPr>
          <w:b/>
          <w:bCs/>
        </w:rPr>
        <w:t>Referencias</w:t>
      </w:r>
    </w:p>
    <w:p w14:paraId="5F144133" w14:textId="77777777" w:rsidR="006C5B62" w:rsidRDefault="006C5B62" w:rsidP="006C5B62">
      <w:pPr>
        <w:spacing w:after="0"/>
        <w:jc w:val="both"/>
        <w:rPr>
          <w:b/>
          <w:bCs/>
        </w:rPr>
      </w:pPr>
      <w:r w:rsidRPr="006C5B62">
        <w:t xml:space="preserve">Fondo Nacional de Turismo (FONTUR). (2006). </w:t>
      </w:r>
      <w:r w:rsidRPr="006C5B62">
        <w:rPr>
          <w:i/>
          <w:iCs/>
        </w:rPr>
        <w:t>Norma Técnica Sectorial Colombiana NTS-TS 002 para establecimientos de alojamiento y hospedaje</w:t>
      </w:r>
      <w:r w:rsidRPr="006C5B62">
        <w:rPr>
          <w:b/>
          <w:bCs/>
        </w:rPr>
        <w:t xml:space="preserve">. </w:t>
      </w:r>
    </w:p>
    <w:p w14:paraId="1DBC5FF3" w14:textId="26895712" w:rsidR="006C5B62" w:rsidRPr="006C5B62" w:rsidRDefault="006C5B62" w:rsidP="006C5B62">
      <w:pPr>
        <w:tabs>
          <w:tab w:val="left" w:pos="567"/>
        </w:tabs>
        <w:spacing w:after="0"/>
        <w:ind w:left="567"/>
        <w:jc w:val="both"/>
        <w:rPr>
          <w:b/>
          <w:bCs/>
        </w:rPr>
      </w:pPr>
      <w:hyperlink r:id="rId9" w:history="1">
        <w:r w:rsidRPr="006C5B62">
          <w:rPr>
            <w:rStyle w:val="Hipervnculo"/>
            <w:b/>
            <w:bCs/>
          </w:rPr>
          <w:t>https://fontur.com.co/sites/default/files/2020-11/NTS_TS002.pdf</w:t>
        </w:r>
      </w:hyperlink>
      <w:r w:rsidRPr="006C5B62">
        <w:rPr>
          <w:b/>
          <w:bCs/>
        </w:rPr>
        <w:t xml:space="preserve"> </w:t>
      </w:r>
    </w:p>
    <w:p w14:paraId="20FFC27D" w14:textId="77777777" w:rsidR="00274B84" w:rsidRDefault="00274B84" w:rsidP="002D22B0">
      <w:pPr>
        <w:spacing w:after="0"/>
        <w:ind w:left="708"/>
        <w:jc w:val="both"/>
      </w:pPr>
    </w:p>
    <w:sectPr w:rsidR="00274B84">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B97172" w14:textId="77777777" w:rsidR="0057777B" w:rsidRDefault="0057777B" w:rsidP="006F751B">
      <w:pPr>
        <w:spacing w:after="0" w:line="240" w:lineRule="auto"/>
      </w:pPr>
      <w:r>
        <w:separator/>
      </w:r>
    </w:p>
  </w:endnote>
  <w:endnote w:type="continuationSeparator" w:id="0">
    <w:p w14:paraId="4A4FE228" w14:textId="77777777" w:rsidR="0057777B" w:rsidRDefault="0057777B" w:rsidP="006F75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5F3B7F" w14:textId="77777777" w:rsidR="0057777B" w:rsidRDefault="0057777B" w:rsidP="006F751B">
      <w:pPr>
        <w:spacing w:after="0" w:line="240" w:lineRule="auto"/>
      </w:pPr>
      <w:r>
        <w:separator/>
      </w:r>
    </w:p>
  </w:footnote>
  <w:footnote w:type="continuationSeparator" w:id="0">
    <w:p w14:paraId="5DE6767F" w14:textId="77777777" w:rsidR="0057777B" w:rsidRDefault="0057777B" w:rsidP="006F75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4B9B0" w14:textId="4AA4F1B4" w:rsidR="006F751B" w:rsidRDefault="006F751B">
    <w:pPr>
      <w:pStyle w:val="Encabezado"/>
    </w:pPr>
    <w:r w:rsidRPr="001A74F0">
      <w:rPr>
        <w:noProof/>
      </w:rPr>
      <w:drawing>
        <wp:anchor distT="0" distB="0" distL="114300" distR="114300" simplePos="0" relativeHeight="251659264" behindDoc="0" locked="0" layoutInCell="1" allowOverlap="1" wp14:anchorId="34D95152" wp14:editId="146D17D0">
          <wp:simplePos x="0" y="0"/>
          <wp:positionH relativeFrom="column">
            <wp:posOffset>2409245</wp:posOffset>
          </wp:positionH>
          <wp:positionV relativeFrom="paragraph">
            <wp:posOffset>-183515</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51B"/>
    <w:rsid w:val="00162931"/>
    <w:rsid w:val="0016755E"/>
    <w:rsid w:val="00183E14"/>
    <w:rsid w:val="00274B84"/>
    <w:rsid w:val="002B4F9B"/>
    <w:rsid w:val="002B66C6"/>
    <w:rsid w:val="002D22B0"/>
    <w:rsid w:val="004013A8"/>
    <w:rsid w:val="0042477B"/>
    <w:rsid w:val="00430356"/>
    <w:rsid w:val="0057777B"/>
    <w:rsid w:val="0069254B"/>
    <w:rsid w:val="006B5A97"/>
    <w:rsid w:val="006C5B62"/>
    <w:rsid w:val="006F5C36"/>
    <w:rsid w:val="006F751B"/>
    <w:rsid w:val="00855737"/>
    <w:rsid w:val="009C56F3"/>
    <w:rsid w:val="00A80BE7"/>
    <w:rsid w:val="00AA626B"/>
    <w:rsid w:val="00B43AFA"/>
    <w:rsid w:val="00B96B51"/>
    <w:rsid w:val="00D4412C"/>
    <w:rsid w:val="00D4774E"/>
    <w:rsid w:val="00F22FA3"/>
    <w:rsid w:val="54D0A3F8"/>
  </w:rsids>
  <m:mathPr>
    <m:mathFont m:val="Cambria Math"/>
    <m:brkBin m:val="before"/>
    <m:brkBinSub m:val="--"/>
    <m:smallFrac m:val="0"/>
    <m:dispDef/>
    <m:lMargin m:val="0"/>
    <m:rMargin m:val="0"/>
    <m:defJc m:val="centerGroup"/>
    <m:wrapIndent m:val="1440"/>
    <m:intLim m:val="subSup"/>
    <m:naryLim m:val="undOvr"/>
  </m:mathPr>
  <w:themeFontLang w:val="es-419"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99640"/>
  <w15:chartTrackingRefBased/>
  <w15:docId w15:val="{250EF337-0995-4032-8A3D-980781484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419"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F75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F75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F751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F751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F751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F751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F751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F751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F751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F751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F751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F751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F751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F751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F751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F751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F751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F751B"/>
    <w:rPr>
      <w:rFonts w:eastAsiaTheme="majorEastAsia" w:cstheme="majorBidi"/>
      <w:color w:val="272727" w:themeColor="text1" w:themeTint="D8"/>
    </w:rPr>
  </w:style>
  <w:style w:type="paragraph" w:styleId="Ttulo">
    <w:name w:val="Title"/>
    <w:basedOn w:val="Normal"/>
    <w:next w:val="Normal"/>
    <w:link w:val="TtuloCar"/>
    <w:uiPriority w:val="10"/>
    <w:qFormat/>
    <w:rsid w:val="006F75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F751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F751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F751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F751B"/>
    <w:pPr>
      <w:spacing w:before="160"/>
      <w:jc w:val="center"/>
    </w:pPr>
    <w:rPr>
      <w:i/>
      <w:iCs/>
      <w:color w:val="404040" w:themeColor="text1" w:themeTint="BF"/>
    </w:rPr>
  </w:style>
  <w:style w:type="character" w:customStyle="1" w:styleId="CitaCar">
    <w:name w:val="Cita Car"/>
    <w:basedOn w:val="Fuentedeprrafopredeter"/>
    <w:link w:val="Cita"/>
    <w:uiPriority w:val="29"/>
    <w:rsid w:val="006F751B"/>
    <w:rPr>
      <w:i/>
      <w:iCs/>
      <w:color w:val="404040" w:themeColor="text1" w:themeTint="BF"/>
    </w:rPr>
  </w:style>
  <w:style w:type="paragraph" w:styleId="Prrafodelista">
    <w:name w:val="List Paragraph"/>
    <w:basedOn w:val="Normal"/>
    <w:uiPriority w:val="34"/>
    <w:qFormat/>
    <w:rsid w:val="006F751B"/>
    <w:pPr>
      <w:ind w:left="720"/>
      <w:contextualSpacing/>
    </w:pPr>
  </w:style>
  <w:style w:type="character" w:styleId="nfasisintenso">
    <w:name w:val="Intense Emphasis"/>
    <w:basedOn w:val="Fuentedeprrafopredeter"/>
    <w:uiPriority w:val="21"/>
    <w:qFormat/>
    <w:rsid w:val="006F751B"/>
    <w:rPr>
      <w:i/>
      <w:iCs/>
      <w:color w:val="0F4761" w:themeColor="accent1" w:themeShade="BF"/>
    </w:rPr>
  </w:style>
  <w:style w:type="paragraph" w:styleId="Citadestacada">
    <w:name w:val="Intense Quote"/>
    <w:basedOn w:val="Normal"/>
    <w:next w:val="Normal"/>
    <w:link w:val="CitadestacadaCar"/>
    <w:uiPriority w:val="30"/>
    <w:qFormat/>
    <w:rsid w:val="006F75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F751B"/>
    <w:rPr>
      <w:i/>
      <w:iCs/>
      <w:color w:val="0F4761" w:themeColor="accent1" w:themeShade="BF"/>
    </w:rPr>
  </w:style>
  <w:style w:type="character" w:styleId="Referenciaintensa">
    <w:name w:val="Intense Reference"/>
    <w:basedOn w:val="Fuentedeprrafopredeter"/>
    <w:uiPriority w:val="32"/>
    <w:qFormat/>
    <w:rsid w:val="006F751B"/>
    <w:rPr>
      <w:b/>
      <w:bCs/>
      <w:smallCaps/>
      <w:color w:val="0F4761" w:themeColor="accent1" w:themeShade="BF"/>
      <w:spacing w:val="5"/>
    </w:rPr>
  </w:style>
  <w:style w:type="paragraph" w:styleId="Encabezado">
    <w:name w:val="header"/>
    <w:basedOn w:val="Normal"/>
    <w:link w:val="EncabezadoCar"/>
    <w:uiPriority w:val="99"/>
    <w:unhideWhenUsed/>
    <w:rsid w:val="006F751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F751B"/>
  </w:style>
  <w:style w:type="paragraph" w:styleId="Piedepgina">
    <w:name w:val="footer"/>
    <w:basedOn w:val="Normal"/>
    <w:link w:val="PiedepginaCar"/>
    <w:uiPriority w:val="99"/>
    <w:unhideWhenUsed/>
    <w:rsid w:val="006F751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F751B"/>
  </w:style>
  <w:style w:type="character" w:styleId="Hipervnculo">
    <w:name w:val="Hyperlink"/>
    <w:basedOn w:val="Fuentedeprrafopredeter"/>
    <w:uiPriority w:val="99"/>
    <w:unhideWhenUsed/>
    <w:rsid w:val="0016755E"/>
    <w:rPr>
      <w:color w:val="467886" w:themeColor="hyperlink"/>
      <w:u w:val="single"/>
    </w:rPr>
  </w:style>
  <w:style w:type="character" w:styleId="Mencinsinresolver">
    <w:name w:val="Unresolved Mention"/>
    <w:basedOn w:val="Fuentedeprrafopredeter"/>
    <w:uiPriority w:val="99"/>
    <w:semiHidden/>
    <w:unhideWhenUsed/>
    <w:rsid w:val="0016755E"/>
    <w:rPr>
      <w:color w:val="605E5C"/>
      <w:shd w:val="clear" w:color="auto" w:fill="E1DFDD"/>
    </w:rPr>
  </w:style>
  <w:style w:type="character" w:styleId="Hipervnculovisitado">
    <w:name w:val="FollowedHyperlink"/>
    <w:basedOn w:val="Fuentedeprrafopredeter"/>
    <w:uiPriority w:val="99"/>
    <w:semiHidden/>
    <w:unhideWhenUsed/>
    <w:rsid w:val="0016755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s://fontur.com.co/sites/default/files/2020-11/NTS_TS002.pd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A12FF06-7F94-48C5-93B2-C19CEB0284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E7206A9-BCC6-4E06-B3BA-4C1BAE25545B}">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6E75B9CC-9187-4E57-8EE5-388F5100BF9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816</Words>
  <Characters>4488</Characters>
  <Application>Microsoft Office Word</Application>
  <DocSecurity>0</DocSecurity>
  <Lines>37</Lines>
  <Paragraphs>10</Paragraphs>
  <ScaleCrop>false</ScaleCrop>
  <Company/>
  <LinksUpToDate>false</LinksUpToDate>
  <CharactersWithSpaces>5294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Jair Enrique Coll Gallardo</dc:creator>
  <cp:keywords/>
  <dc:description/>
  <cp:lastModifiedBy>Miguel De Jesus Paredes Maestre</cp:lastModifiedBy>
  <cp:revision>7</cp:revision>
  <dcterms:created xsi:type="dcterms:W3CDTF">2026-05-26T13:42:00Z</dcterms:created>
  <dcterms:modified xsi:type="dcterms:W3CDTF">2026-05-26T13:42:00Z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2026-05-26T13:42:14Z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7bc71456-7d37-4ef9-99e6-b70ed451b0fe</vt:lpwstr>
  </property>
  <property fmtid="{D5CDD505-2E9C-101B-9397-08002B2CF9AE}" pid="9" name="MSIP_Label_fc111285-cafa-4fc9-8a9a-bd902089b24f_ContentBits">
    <vt:lpwstr>0</vt:lpwstr>
  </property>
  <property fmtid="{D5CDD505-2E9C-101B-9397-08002B2CF9AE}" pid="10" name="MSIP_Label_fc111285-cafa-4fc9-8a9a-bd902089b24f_Tag">
    <vt:lpwstr>10, 0, 1, 2</vt:lpwstr>
  </property>
  <property fmtid="{D5CDD505-2E9C-101B-9397-08002B2CF9AE}" pid="11" name="MediaServiceImageTags">
    <vt:lpwstr/>
  </property>
</Properties>
</file>