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CA9FB" w14:textId="381C3499" w:rsidR="00162931" w:rsidRDefault="00623D5E" w:rsidP="00B96B51">
      <w:pPr>
        <w:jc w:val="center"/>
        <w:rPr>
          <w:b/>
          <w:bCs/>
        </w:rPr>
      </w:pPr>
      <w:r w:rsidRPr="00623D5E">
        <w:rPr>
          <w:b/>
          <w:bCs/>
        </w:rPr>
        <w:t>CONTROL TÉCNICO DE SUMINISTROS: EFICIENCIA Y ORGANIZACIÓN EN HOTELERÍA</w:t>
      </w:r>
    </w:p>
    <w:p w14:paraId="29420FF8" w14:textId="77777777" w:rsidR="00623D5E" w:rsidRDefault="00623D5E" w:rsidP="00B96B51">
      <w:pPr>
        <w:jc w:val="center"/>
        <w:rPr>
          <w:b/>
          <w:bCs/>
        </w:rPr>
      </w:pPr>
    </w:p>
    <w:p w14:paraId="6939D5ED" w14:textId="11971649" w:rsidR="00623D5E" w:rsidRDefault="00623D5E" w:rsidP="00623D5E">
      <w:pPr>
        <w:jc w:val="both"/>
      </w:pPr>
      <w:r w:rsidRPr="00623D5E">
        <w:t>La gestión técnica de suministros constituye un proceso fundamental dentro de los establecimientos de alojamiento, ya que integra actividades relacionadas con el control, manejo, conservación y distribución de los insumos necesarios para la operación hotelera. Su adecuada administración garantiza la disponibilidad oportuna de materiales y productos utilizados en las labores de limpieza, acondicionamiento de habitaciones y atención al huésped, favoreciendo la continuidad y eficiencia del servicio.</w:t>
      </w:r>
    </w:p>
    <w:p w14:paraId="13DF527E" w14:textId="0E7D05BD" w:rsidR="00623D5E" w:rsidRDefault="00623D5E" w:rsidP="00623D5E">
      <w:pPr>
        <w:jc w:val="both"/>
      </w:pPr>
      <w:r w:rsidRPr="00623D5E">
        <w:t xml:space="preserve">Dentro de la operación hotelera, los suministros corresponden a todos los elementos de consumo diario requeridos para el funcionamiento de habitaciones y áreas comunes. Estos recursos se clasifican principalmente en amenidades, suministros de limpieza y suministros de papelería y complementos. Las amenidades incluyen artículos de aseo personal destinados al </w:t>
      </w:r>
      <w:r w:rsidRPr="00D54BEE">
        <w:rPr>
          <w:i/>
          <w:iCs/>
        </w:rPr>
        <w:t>confort</w:t>
      </w:r>
      <w:r w:rsidRPr="00623D5E">
        <w:t xml:space="preserve"> del huésped, como jabones, </w:t>
      </w:r>
      <w:r w:rsidRPr="00D54BEE">
        <w:rPr>
          <w:i/>
          <w:iCs/>
        </w:rPr>
        <w:t>kits</w:t>
      </w:r>
      <w:r w:rsidRPr="00623D5E">
        <w:t xml:space="preserve"> dentales y gorros de ducha. Los suministros de limpieza abarcan productos químicos utilizados para higienizar superficies, entre ellos detergentes, desinfectantes y limpiavidrios. Por su parte, los suministros de papelería y complementos comprenden elementos como directorios, libretas, bolígrafos, papel higiénico, pañuelos faciales y bolsas de lavandería</w:t>
      </w:r>
      <w:r>
        <w:t>.</w:t>
      </w:r>
    </w:p>
    <w:p w14:paraId="545C2503" w14:textId="2D4F2FA0" w:rsidR="00623D5E" w:rsidRDefault="00623D5E" w:rsidP="00623D5E">
      <w:pPr>
        <w:jc w:val="both"/>
      </w:pPr>
      <w:r w:rsidRPr="00623D5E">
        <w:t>Las especificaciones y fichas técnicas representan herramientas esenciales para identificar las características, condiciones de uso y requerimientos de los productos empleados en la operación hotelera. Las especificaciones permiten conocer propiedades como composición, capacidad, presentación, forma de almacenamiento y medidas de seguridad, facilitando la correcta selección y utilización de los insumos. Asimismo, las fichas técnicas reúnen información organizada sobre características físicas y químicas, instrucciones de uso, tiempo de vida útil y recomendaciones de manipulación. Complementariamente, las fichas de datos de seguridad (FDS/SGA) permiten identificar niveles de toxicidad, elementos de protección personal requeridos y procedimientos de primeros auxilios, especialmente en el manejo de productos químicos</w:t>
      </w:r>
      <w:r>
        <w:t xml:space="preserve">. </w:t>
      </w:r>
      <w:r w:rsidRPr="00623D5E">
        <w:t xml:space="preserve">La gestión de suministros también requiere la aplicación adecuada de unidades de medida y presentaciones estandarizadas que faciliten el control de inventarios y el uso eficiente de recursos. Los productos líquidos se administran en galones, litros o pimpinas; las amenidades se controlan por unidades, cajas o gruesas; y la papelería se organiza mediante resmas, paquetes o bloques. Además, las presentaciones de los productos pueden variar entre </w:t>
      </w:r>
      <w:proofErr w:type="spellStart"/>
      <w:r w:rsidRPr="00623D5E">
        <w:rPr>
          <w:i/>
          <w:iCs/>
        </w:rPr>
        <w:t>sachets</w:t>
      </w:r>
      <w:proofErr w:type="spellEnd"/>
      <w:r w:rsidRPr="00623D5E">
        <w:t>, botellas PET o envases dispensadores, siendo estos últimos utilizados frecuentemente en establecimientos que aplican políticas de sostenibilidad y reducción de residuos.</w:t>
      </w:r>
    </w:p>
    <w:p w14:paraId="53D4FE90" w14:textId="1A216282" w:rsidR="00623D5E" w:rsidRDefault="00623D5E" w:rsidP="00623D5E">
      <w:pPr>
        <w:jc w:val="both"/>
      </w:pPr>
      <w:r w:rsidRPr="00623D5E">
        <w:t>Las tablas de rendimiento permiten calcular y controlar el consumo de insumos utilizados en las actividades de limpieza, desinfección y acondicionamiento de habitaciones. Estas herramientas facilitan el uso racional de productos y contribuyen a prevenir desperdicios o pérdidas operativas. Por ejemplo, una habitación ocupada puede requerir en promedio un cuarto de rollo de papel higiénico, una unidad de champú por persona o quince mililitros de limpiavidrios durante el proceso de acondicionamiento. El control de estos consumos favorece la planificación de compras y el seguimiento de inventarios dentro del área de alojamiento.</w:t>
      </w:r>
    </w:p>
    <w:p w14:paraId="17B03CB6" w14:textId="526D182E" w:rsidR="00623D5E" w:rsidRDefault="00623D5E" w:rsidP="00623D5E">
      <w:pPr>
        <w:jc w:val="both"/>
      </w:pPr>
      <w:r w:rsidRPr="00623D5E">
        <w:t>Los procedimientos de solicitud y manejo de suministros permiten mantener la trazabilidad y control de los recursos utilizados durante la operación hotelera. Este proceso inicia con la requisición interna realizada por camareras o auxiliares de habitaciones, quienes solicitan los insumos necesarios para el desarrollo de sus actividades. Posteriormente, se realiza la entrega y carga de los carros de limpieza verificando la disponibilidad de productos requeridos para atender el número de habitaciones asignadas. Al finalizar la jornada laboral, los suministros sobrantes y envases vacíos deben regresar al office o almacén de piso para su conteo, registro y control operativo</w:t>
      </w:r>
      <w:r>
        <w:t>.</w:t>
      </w:r>
    </w:p>
    <w:p w14:paraId="01518D56" w14:textId="5F97E67D" w:rsidR="006C5B62" w:rsidRPr="00623D5E" w:rsidRDefault="00623D5E" w:rsidP="00B96B51">
      <w:pPr>
        <w:jc w:val="both"/>
      </w:pPr>
      <w:r w:rsidRPr="00623D5E">
        <w:t xml:space="preserve">Finalmente, el control de rendimientos y costos permite supervisar el consumo y aprovechamiento de los suministros utilizados en la operación hotelera, contribuyendo al equilibrio entre calidad del servicio y optimización de recursos. Este proceso facilita la identificación de desperdicios, excesos de consumo y necesidades de reposición, fortaleciendo la administración de inventarios y presupuestos. Asimismo, el rendimiento de los productos se convierte en un indicador de calidad operativa, ya que el uso insuficiente puede afectar los procesos de limpieza y el uso excesivo puede generar deterioro de superficies, incremento de costos y desperdicio de recursos dentro del establecimiento de alojamiento. </w:t>
      </w:r>
    </w:p>
    <w:p w14:paraId="5EDFDE34" w14:textId="63D68C51" w:rsidR="00D4774E" w:rsidRDefault="00D4774E" w:rsidP="00B96B51">
      <w:pPr>
        <w:jc w:val="both"/>
        <w:rPr>
          <w:b/>
          <w:bCs/>
        </w:rPr>
      </w:pPr>
      <w:r w:rsidRPr="00D4774E">
        <w:rPr>
          <w:b/>
          <w:bCs/>
        </w:rPr>
        <w:t>Referencias</w:t>
      </w:r>
    </w:p>
    <w:p w14:paraId="32762130" w14:textId="77777777" w:rsidR="00D54BEE" w:rsidRDefault="00D54BEE" w:rsidP="00D54BEE">
      <w:pPr>
        <w:tabs>
          <w:tab w:val="left" w:pos="567"/>
        </w:tabs>
        <w:spacing w:after="0"/>
        <w:jc w:val="both"/>
      </w:pPr>
      <w:r w:rsidRPr="00D54BEE">
        <w:t xml:space="preserve">Ministerio de Comercio, Industria y Turismo. (s. f.). </w:t>
      </w:r>
      <w:r w:rsidRPr="00D54BEE">
        <w:rPr>
          <w:i/>
          <w:iCs/>
        </w:rPr>
        <w:t>Guía de implementación NTS-TS002 sostenibilidad alojamiento</w:t>
      </w:r>
      <w:r w:rsidRPr="00D54BEE">
        <w:t>. Gobierno de Colombia.</w:t>
      </w:r>
    </w:p>
    <w:p w14:paraId="1DBC5FF3" w14:textId="3440A6DE" w:rsidR="006C5B62" w:rsidRPr="006C5B62" w:rsidRDefault="00D54BEE" w:rsidP="006C5B62">
      <w:pPr>
        <w:tabs>
          <w:tab w:val="left" w:pos="567"/>
        </w:tabs>
        <w:spacing w:after="0"/>
        <w:ind w:left="567"/>
        <w:jc w:val="both"/>
        <w:rPr>
          <w:b/>
          <w:bCs/>
        </w:rPr>
      </w:pPr>
      <w:hyperlink r:id="rId9" w:history="1">
        <w:r w:rsidRPr="00392D8D">
          <w:rPr>
            <w:rStyle w:val="Hipervnculo"/>
            <w:b/>
            <w:bCs/>
          </w:rPr>
          <w:t>https://www.mincit.gov.co/getattachment/minturismo/calidad-y-desarrollo-sostenible/calidad-turistica/normas-tecnicas-sectoriales/normas-tecnicas-sectoriales/guia-de-implementacion-nts-ts002-sostenibilidad-al/guia-de-implementacion-nts-ts002-sostenibilidad-alojamiento.pdf.aspx</w:t>
        </w:r>
      </w:hyperlink>
      <w:r>
        <w:rPr>
          <w:b/>
          <w:bCs/>
        </w:rPr>
        <w:t xml:space="preserve"> </w:t>
      </w:r>
      <w:r w:rsidR="006C5B62" w:rsidRPr="006C5B62">
        <w:rPr>
          <w:b/>
          <w:bCs/>
        </w:rPr>
        <w:t xml:space="preserve"> </w:t>
      </w:r>
    </w:p>
    <w:p w14:paraId="20FFC27D" w14:textId="77777777" w:rsidR="00274B84" w:rsidRDefault="00274B84" w:rsidP="002D22B0">
      <w:pPr>
        <w:spacing w:after="0"/>
        <w:ind w:left="708"/>
        <w:jc w:val="both"/>
      </w:pPr>
    </w:p>
    <w:sectPr w:rsidR="00274B84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20E09" w14:textId="77777777" w:rsidR="005B7B1C" w:rsidRDefault="005B7B1C" w:rsidP="006F751B">
      <w:pPr>
        <w:spacing w:after="0" w:line="240" w:lineRule="auto"/>
      </w:pPr>
      <w:r>
        <w:separator/>
      </w:r>
    </w:p>
  </w:endnote>
  <w:endnote w:type="continuationSeparator" w:id="0">
    <w:p w14:paraId="660153E8" w14:textId="77777777" w:rsidR="005B7B1C" w:rsidRDefault="005B7B1C" w:rsidP="006F7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4BF1C" w14:textId="77777777" w:rsidR="005B7B1C" w:rsidRDefault="005B7B1C" w:rsidP="006F751B">
      <w:pPr>
        <w:spacing w:after="0" w:line="240" w:lineRule="auto"/>
      </w:pPr>
      <w:r>
        <w:separator/>
      </w:r>
    </w:p>
  </w:footnote>
  <w:footnote w:type="continuationSeparator" w:id="0">
    <w:p w14:paraId="7E5B8B3B" w14:textId="77777777" w:rsidR="005B7B1C" w:rsidRDefault="005B7B1C" w:rsidP="006F7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4B9B0" w14:textId="4AA4F1B4" w:rsidR="006F751B" w:rsidRDefault="006F751B">
    <w:pPr>
      <w:pStyle w:val="Encabezado"/>
    </w:pPr>
    <w:r w:rsidRPr="001A74F0">
      <w:rPr>
        <w:noProof/>
      </w:rPr>
      <w:drawing>
        <wp:anchor distT="0" distB="0" distL="114300" distR="114300" simplePos="0" relativeHeight="251659264" behindDoc="0" locked="0" layoutInCell="1" allowOverlap="1" wp14:anchorId="34D95152" wp14:editId="146D17D0">
          <wp:simplePos x="0" y="0"/>
          <wp:positionH relativeFrom="column">
            <wp:posOffset>2409245</wp:posOffset>
          </wp:positionH>
          <wp:positionV relativeFrom="paragraph">
            <wp:posOffset>-183515</wp:posOffset>
          </wp:positionV>
          <wp:extent cx="592455" cy="561340"/>
          <wp:effectExtent l="0" t="0" r="4445" b="0"/>
          <wp:wrapSquare wrapText="bothSides"/>
          <wp:docPr id="138875671" name="Imagen 13887567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1B"/>
    <w:rsid w:val="000F5B2D"/>
    <w:rsid w:val="00162931"/>
    <w:rsid w:val="0016755E"/>
    <w:rsid w:val="0020702E"/>
    <w:rsid w:val="00274B84"/>
    <w:rsid w:val="002B4F9B"/>
    <w:rsid w:val="002B66C6"/>
    <w:rsid w:val="002D22B0"/>
    <w:rsid w:val="004013A8"/>
    <w:rsid w:val="0042477B"/>
    <w:rsid w:val="00430356"/>
    <w:rsid w:val="005B0F3B"/>
    <w:rsid w:val="005B7B1C"/>
    <w:rsid w:val="00623D5E"/>
    <w:rsid w:val="006B5A97"/>
    <w:rsid w:val="006C5B62"/>
    <w:rsid w:val="006F751B"/>
    <w:rsid w:val="009C56F3"/>
    <w:rsid w:val="00A80BE7"/>
    <w:rsid w:val="00AA626B"/>
    <w:rsid w:val="00B43AFA"/>
    <w:rsid w:val="00B96B51"/>
    <w:rsid w:val="00D4412C"/>
    <w:rsid w:val="00D4774E"/>
    <w:rsid w:val="00D54BEE"/>
    <w:rsid w:val="00F22FA3"/>
    <w:rsid w:val="00F83926"/>
    <w:rsid w:val="00FB104C"/>
    <w:rsid w:val="659E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99640"/>
  <w15:chartTrackingRefBased/>
  <w15:docId w15:val="{250EF337-0995-4032-8A3D-98078148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7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7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7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7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7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7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7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7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7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7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7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7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75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75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75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75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75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75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7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7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7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7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7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75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75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75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7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75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751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F7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751B"/>
  </w:style>
  <w:style w:type="paragraph" w:styleId="Piedepgina">
    <w:name w:val="footer"/>
    <w:basedOn w:val="Normal"/>
    <w:link w:val="PiedepginaCar"/>
    <w:uiPriority w:val="99"/>
    <w:unhideWhenUsed/>
    <w:rsid w:val="006F7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751B"/>
  </w:style>
  <w:style w:type="character" w:styleId="Hipervnculo">
    <w:name w:val="Hyperlink"/>
    <w:basedOn w:val="Fuentedeprrafopredeter"/>
    <w:uiPriority w:val="99"/>
    <w:unhideWhenUsed/>
    <w:rsid w:val="0016755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6755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6755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www.mincit.gov.co/getattachment/minturismo/calidad-y-desarrollo-sostenible/calidad-turistica/normas-tecnicas-sectoriales/normas-tecnicas-sectoriales/guia-de-implementacion-nts-ts002-sostenibilidad-al/guia-de-implementacion-nts-ts002-sostenibilidad-alojamiento.pdf.asp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FD4A3D-B3B9-410C-B91F-23D8299C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4B58E7-F306-4394-A312-900485BD3506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01201DD8-5E32-4396-B0D2-146EA5003D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850</Words>
  <Characters>4680</Characters>
  <Application>Microsoft Office Word</Application>
  <DocSecurity>0</DocSecurity>
  <Lines>39</Lines>
  <Paragraphs>11</Paragraphs>
  <ScaleCrop>false</ScaleCrop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 Enrique Coll Gallardo</dc:creator>
  <cp:keywords/>
  <dc:description/>
  <cp:lastModifiedBy>Miguel De Jesus Paredes Maestre</cp:lastModifiedBy>
  <cp:revision>5</cp:revision>
  <dcterms:created xsi:type="dcterms:W3CDTF">2026-05-26T13:42:00Z</dcterms:created>
  <dcterms:modified xsi:type="dcterms:W3CDTF">2026-05-26T13:42:00Z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2026-05-26T13:42:51Z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a33e1459-1084-4584-a456-9cf3a6e7687d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